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1AA" w:rsidRDefault="000274F5" w:rsidP="006111AA">
      <w:pPr>
        <w:spacing w:before="0" w:after="120"/>
        <w:jc w:val="both"/>
        <w:rPr>
          <w:noProof/>
          <w:lang w:eastAsia="en-ZA"/>
        </w:rPr>
      </w:pPr>
      <w:r>
        <w:rPr>
          <w:noProof/>
          <w:lang w:eastAsia="en-ZA"/>
        </w:rPr>
        <w:drawing>
          <wp:inline distT="0" distB="0" distL="0" distR="0">
            <wp:extent cx="5731510" cy="86423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RST QUARTER 2016.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864235"/>
                    </a:xfrm>
                    <a:prstGeom prst="rect">
                      <a:avLst/>
                    </a:prstGeom>
                  </pic:spPr>
                </pic:pic>
              </a:graphicData>
            </a:graphic>
          </wp:inline>
        </w:drawing>
      </w:r>
    </w:p>
    <w:p w:rsidR="006111AA" w:rsidRDefault="006111AA" w:rsidP="00BB18DC">
      <w:pPr>
        <w:pStyle w:val="Heading1"/>
        <w:numPr>
          <w:ilvl w:val="0"/>
          <w:numId w:val="0"/>
        </w:numPr>
        <w:spacing w:before="0" w:after="120"/>
        <w:jc w:val="both"/>
        <w:rPr>
          <w:rFonts w:asciiTheme="minorHAnsi" w:hAnsiTheme="minorHAnsi"/>
          <w:b w:val="0"/>
          <w:i/>
          <w:iCs/>
          <w:color w:val="1B5068"/>
          <w:sz w:val="22"/>
          <w:szCs w:val="22"/>
        </w:rPr>
      </w:pPr>
      <w:r>
        <w:rPr>
          <w:rFonts w:asciiTheme="minorHAnsi" w:eastAsiaTheme="minorHAnsi" w:hAnsiTheme="minorHAnsi" w:cstheme="minorBidi"/>
          <w:b w:val="0"/>
          <w:bCs w:val="0"/>
          <w:iCs/>
          <w:noProof/>
          <w:color w:val="auto"/>
          <w:sz w:val="22"/>
          <w:szCs w:val="22"/>
          <w:lang w:eastAsia="en-ZA"/>
        </w:rPr>
        <mc:AlternateContent>
          <mc:Choice Requires="wps">
            <w:drawing>
              <wp:anchor distT="45720" distB="45720" distL="114300" distR="114300" simplePos="0" relativeHeight="251658240" behindDoc="0" locked="0" layoutInCell="1" allowOverlap="1">
                <wp:simplePos x="0" y="0"/>
                <wp:positionH relativeFrom="margin">
                  <wp:posOffset>3390900</wp:posOffset>
                </wp:positionH>
                <wp:positionV relativeFrom="paragraph">
                  <wp:posOffset>87630</wp:posOffset>
                </wp:positionV>
                <wp:extent cx="2321560" cy="7800975"/>
                <wp:effectExtent l="0" t="0" r="2159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7800975"/>
                        </a:xfrm>
                        <a:prstGeom prst="rect">
                          <a:avLst/>
                        </a:prstGeom>
                        <a:solidFill>
                          <a:schemeClr val="bg1">
                            <a:alpha val="50000"/>
                          </a:schemeClr>
                        </a:solidFill>
                        <a:ln w="9525">
                          <a:solidFill>
                            <a:srgbClr val="000000"/>
                          </a:solidFill>
                          <a:miter lim="800000"/>
                          <a:headEnd/>
                          <a:tailEnd/>
                        </a:ln>
                      </wps:spPr>
                      <wps:txbx>
                        <w:txbxContent>
                          <w:p w:rsidR="00A66BA2" w:rsidRPr="00C13426" w:rsidRDefault="00A66BA2" w:rsidP="006111AA">
                            <w:pPr>
                              <w:widowControl w:val="0"/>
                              <w:spacing w:after="120" w:line="286" w:lineRule="auto"/>
                              <w:jc w:val="center"/>
                              <w:rPr>
                                <w:rFonts w:ascii="HelveticaNeueLT Std Med" w:hAnsi="HelveticaNeueLT Std Med"/>
                                <w:sz w:val="36"/>
                                <w:szCs w:val="36"/>
                              </w:rPr>
                            </w:pPr>
                            <w:r w:rsidRPr="00C13426">
                              <w:rPr>
                                <w:rFonts w:ascii="HelveticaNeueLT Std Med" w:hAnsi="HelveticaNeueLT Std Med"/>
                                <w:sz w:val="36"/>
                                <w:szCs w:val="36"/>
                              </w:rPr>
                              <w:t>CONTENTS</w:t>
                            </w:r>
                          </w:p>
                          <w:p w:rsidR="00A66BA2" w:rsidRPr="00FF7490" w:rsidRDefault="00A66BA2" w:rsidP="006111AA">
                            <w:pPr>
                              <w:widowControl w:val="0"/>
                              <w:spacing w:before="0" w:after="160"/>
                              <w:jc w:val="center"/>
                              <w:rPr>
                                <w:rFonts w:ascii="HelveticaNeueLT Std Med" w:hAnsi="HelveticaNeueLT Std Med"/>
                                <w:sz w:val="22"/>
                              </w:rPr>
                            </w:pPr>
                            <w:r w:rsidRPr="00FF7490">
                              <w:rPr>
                                <w:rFonts w:ascii="HelveticaNeueLT Std Med" w:hAnsi="HelveticaNeueLT Std Med"/>
                                <w:sz w:val="22"/>
                              </w:rPr>
                              <w:t>Production and sales</w:t>
                            </w:r>
                          </w:p>
                          <w:p w:rsidR="00A66BA2" w:rsidRPr="00FF7490" w:rsidRDefault="00A66BA2" w:rsidP="006111AA">
                            <w:pPr>
                              <w:widowControl w:val="0"/>
                              <w:spacing w:before="0" w:after="160"/>
                              <w:jc w:val="center"/>
                              <w:rPr>
                                <w:rFonts w:ascii="HelveticaNeueLT Std Med" w:hAnsi="HelveticaNeueLT Std Med"/>
                                <w:sz w:val="22"/>
                              </w:rPr>
                            </w:pPr>
                            <w:r w:rsidRPr="00FF7490">
                              <w:rPr>
                                <w:rFonts w:ascii="HelveticaNeueLT Std Med" w:hAnsi="HelveticaNeueLT Std Med"/>
                                <w:sz w:val="22"/>
                              </w:rPr>
                              <w:t>Employment</w:t>
                            </w:r>
                          </w:p>
                          <w:p w:rsidR="00A66BA2" w:rsidRPr="00FF7490" w:rsidRDefault="00A66BA2" w:rsidP="006111AA">
                            <w:pPr>
                              <w:widowControl w:val="0"/>
                              <w:spacing w:before="0" w:after="160"/>
                              <w:jc w:val="center"/>
                              <w:rPr>
                                <w:rFonts w:ascii="HelveticaNeueLT Std Med" w:hAnsi="HelveticaNeueLT Std Med"/>
                                <w:sz w:val="22"/>
                              </w:rPr>
                            </w:pPr>
                            <w:r w:rsidRPr="00FF7490">
                              <w:rPr>
                                <w:rFonts w:ascii="HelveticaNeueLT Std Med" w:hAnsi="HelveticaNeueLT Std Med"/>
                                <w:sz w:val="22"/>
                              </w:rPr>
                              <w:t>Trends in trade</w:t>
                            </w:r>
                          </w:p>
                          <w:p w:rsidR="00A66BA2" w:rsidRPr="00FF7490" w:rsidRDefault="00A66BA2" w:rsidP="006111AA">
                            <w:pPr>
                              <w:widowControl w:val="0"/>
                              <w:spacing w:before="0" w:after="160"/>
                              <w:jc w:val="center"/>
                              <w:rPr>
                                <w:rFonts w:ascii="HelveticaNeueLT Std Med" w:hAnsi="HelveticaNeueLT Std Med"/>
                                <w:sz w:val="22"/>
                              </w:rPr>
                            </w:pPr>
                            <w:r w:rsidRPr="00FF7490">
                              <w:rPr>
                                <w:rFonts w:ascii="HelveticaNeueLT Std Med" w:hAnsi="HelveticaNeueLT Std Med"/>
                                <w:sz w:val="22"/>
                              </w:rPr>
                              <w:t>Productivity and investment</w:t>
                            </w:r>
                          </w:p>
                          <w:p w:rsidR="00A66BA2" w:rsidRDefault="00A66BA2" w:rsidP="006111AA">
                            <w:pPr>
                              <w:widowControl w:val="0"/>
                              <w:spacing w:before="0" w:after="160"/>
                              <w:jc w:val="center"/>
                              <w:rPr>
                                <w:rFonts w:ascii="HelveticaNeueLT Std Med" w:hAnsi="HelveticaNeueLT Std Med"/>
                                <w:sz w:val="22"/>
                              </w:rPr>
                            </w:pPr>
                            <w:r w:rsidRPr="00FF7490">
                              <w:rPr>
                                <w:rFonts w:ascii="HelveticaNeueLT Std Med" w:hAnsi="HelveticaNeueLT Std Med"/>
                                <w:sz w:val="22"/>
                              </w:rPr>
                              <w:t>Behind the trends</w:t>
                            </w:r>
                          </w:p>
                          <w:p w:rsidR="00A66BA2" w:rsidRDefault="00A66BA2" w:rsidP="006111AA">
                            <w:pPr>
                              <w:widowControl w:val="0"/>
                              <w:spacing w:before="0" w:after="160"/>
                              <w:jc w:val="center"/>
                              <w:rPr>
                                <w:rFonts w:ascii="HelveticaNeueLT Std Med" w:hAnsi="HelveticaNeueLT Std Med"/>
                                <w:sz w:val="22"/>
                              </w:rPr>
                            </w:pPr>
                            <w:r>
                              <w:rPr>
                                <w:rFonts w:ascii="HelveticaNeueLT Std Med" w:hAnsi="HelveticaNeueLT Std Med"/>
                                <w:sz w:val="22"/>
                              </w:rPr>
                              <w:t>Fiscal pressure on industrial policy programmes</w:t>
                            </w:r>
                          </w:p>
                          <w:p w:rsidR="00A66BA2" w:rsidRDefault="00A66BA2" w:rsidP="00BA7F19">
                            <w:pPr>
                              <w:widowControl w:val="0"/>
                              <w:spacing w:before="0" w:after="240"/>
                              <w:jc w:val="center"/>
                              <w:rPr>
                                <w:rFonts w:ascii="HelveticaNeueLT Std Med" w:hAnsi="HelveticaNeueLT Std Med"/>
                                <w:sz w:val="22"/>
                              </w:rPr>
                            </w:pPr>
                            <w:r>
                              <w:rPr>
                                <w:rFonts w:ascii="HelveticaNeueLT Std Med" w:hAnsi="HelveticaNeueLT Std Med"/>
                                <w:sz w:val="22"/>
                              </w:rPr>
                              <w:t xml:space="preserve">Briefing note: The crisis in </w:t>
                            </w:r>
                            <w:r>
                              <w:rPr>
                                <w:rFonts w:ascii="HelveticaNeueLT Std Med" w:hAnsi="HelveticaNeueLT Std Med"/>
                                <w:sz w:val="22"/>
                              </w:rPr>
                              <w:br/>
                              <w:t>the steel industry</w:t>
                            </w:r>
                          </w:p>
                          <w:p w:rsidR="00A66BA2" w:rsidRPr="00C13426" w:rsidRDefault="00A66BA2" w:rsidP="006111AA">
                            <w:pPr>
                              <w:widowControl w:val="0"/>
                              <w:spacing w:after="120" w:line="285" w:lineRule="auto"/>
                              <w:jc w:val="center"/>
                              <w:rPr>
                                <w:rFonts w:ascii="HelveticaNeueLT Std Med" w:hAnsi="HelveticaNeueLT Std Med"/>
                                <w:sz w:val="36"/>
                                <w:szCs w:val="36"/>
                              </w:rPr>
                            </w:pPr>
                            <w:r w:rsidRPr="00C13426">
                              <w:rPr>
                                <w:rFonts w:ascii="HelveticaNeueLT Std Med" w:hAnsi="HelveticaNeueLT Std Med"/>
                                <w:sz w:val="36"/>
                                <w:szCs w:val="36"/>
                              </w:rPr>
                              <w:t>EDITORIAL TEAM</w:t>
                            </w:r>
                          </w:p>
                          <w:p w:rsidR="00A66BA2" w:rsidRPr="00BD2EDA" w:rsidRDefault="00A66BA2" w:rsidP="006111AA">
                            <w:pPr>
                              <w:widowControl w:val="0"/>
                              <w:spacing w:before="0" w:after="120"/>
                              <w:jc w:val="center"/>
                              <w:rPr>
                                <w:rFonts w:ascii="HelveticaNeueLT Std Med" w:hAnsi="HelveticaNeueLT Std Med"/>
                                <w:sz w:val="22"/>
                              </w:rPr>
                            </w:pPr>
                            <w:r w:rsidRPr="00BD2EDA">
                              <w:rPr>
                                <w:rFonts w:ascii="HelveticaNeueLT Std Med" w:hAnsi="HelveticaNeueLT Std Med"/>
                                <w:sz w:val="22"/>
                              </w:rPr>
                              <w:t xml:space="preserve">The Real Economy Bulletin </w:t>
                            </w:r>
                            <w:r w:rsidRPr="00BD2EDA">
                              <w:rPr>
                                <w:rFonts w:ascii="HelveticaNeueLT Std Med" w:hAnsi="HelveticaNeueLT Std Med"/>
                                <w:sz w:val="22"/>
                              </w:rPr>
                              <w:br/>
                              <w:t>is a TIPS Publication</w:t>
                            </w:r>
                          </w:p>
                          <w:p w:rsidR="00A66BA2" w:rsidRPr="00BD2EDA" w:rsidRDefault="00A66BA2" w:rsidP="006111AA">
                            <w:pPr>
                              <w:widowControl w:val="0"/>
                              <w:spacing w:before="0" w:after="120"/>
                              <w:jc w:val="center"/>
                              <w:rPr>
                                <w:rFonts w:ascii="HelveticaNeueLT Std Med" w:hAnsi="HelveticaNeueLT Std Med"/>
                                <w:sz w:val="22"/>
                              </w:rPr>
                            </w:pPr>
                            <w:r w:rsidRPr="00BD2EDA">
                              <w:rPr>
                                <w:rFonts w:ascii="HelveticaNeueLT Std Med" w:hAnsi="HelveticaNeueLT Std Med"/>
                                <w:sz w:val="22"/>
                              </w:rPr>
                              <w:t xml:space="preserve">Editor: </w:t>
                            </w:r>
                          </w:p>
                          <w:p w:rsidR="00A66BA2" w:rsidRPr="00BD2EDA" w:rsidRDefault="00A66BA2" w:rsidP="006111AA">
                            <w:pPr>
                              <w:widowControl w:val="0"/>
                              <w:spacing w:before="0" w:after="240"/>
                              <w:jc w:val="center"/>
                              <w:rPr>
                                <w:rFonts w:ascii="HelveticaNeueLT Std Med" w:hAnsi="HelveticaNeueLT Std Med"/>
                                <w:bCs/>
                                <w:sz w:val="22"/>
                              </w:rPr>
                            </w:pPr>
                            <w:r>
                              <w:rPr>
                                <w:rFonts w:ascii="HelveticaNeueLT Std Med" w:hAnsi="HelveticaNeueLT Std Med"/>
                                <w:sz w:val="22"/>
                              </w:rPr>
                              <w:t>Christopher Wood</w:t>
                            </w:r>
                          </w:p>
                          <w:p w:rsidR="00A66BA2" w:rsidRPr="00BD2EDA" w:rsidRDefault="00A66BA2" w:rsidP="006111AA">
                            <w:pPr>
                              <w:widowControl w:val="0"/>
                              <w:spacing w:after="120"/>
                              <w:jc w:val="center"/>
                              <w:rPr>
                                <w:rFonts w:ascii="HelveticaNeueLT Std Med" w:hAnsi="HelveticaNeueLT Std Med"/>
                                <w:sz w:val="22"/>
                              </w:rPr>
                            </w:pPr>
                            <w:r w:rsidRPr="00BD2EDA">
                              <w:rPr>
                                <w:rFonts w:ascii="HelveticaNeueLT Std Med" w:hAnsi="HelveticaNeueLT Std Med"/>
                                <w:sz w:val="22"/>
                              </w:rPr>
                              <w:t>Contributors to this edition:</w:t>
                            </w:r>
                          </w:p>
                          <w:p w:rsidR="00B6022E" w:rsidRDefault="00B6022E" w:rsidP="006111AA">
                            <w:pPr>
                              <w:widowControl w:val="0"/>
                              <w:spacing w:before="0" w:after="120"/>
                              <w:jc w:val="center"/>
                              <w:rPr>
                                <w:rFonts w:ascii="HelveticaNeueLT Std Med" w:hAnsi="HelveticaNeueLT Std Med"/>
                                <w:sz w:val="22"/>
                              </w:rPr>
                            </w:pPr>
                            <w:r>
                              <w:rPr>
                                <w:rFonts w:ascii="HelveticaNeueLT Std Med" w:hAnsi="HelveticaNeueLT Std Med"/>
                                <w:sz w:val="22"/>
                              </w:rPr>
                              <w:t>Christopher Wood</w:t>
                            </w:r>
                          </w:p>
                          <w:p w:rsidR="00A66BA2" w:rsidRPr="00BD2EDA" w:rsidRDefault="00A66BA2" w:rsidP="006111AA">
                            <w:pPr>
                              <w:widowControl w:val="0"/>
                              <w:spacing w:before="0" w:after="120"/>
                              <w:jc w:val="center"/>
                              <w:rPr>
                                <w:rFonts w:ascii="HelveticaNeueLT Std Med" w:hAnsi="HelveticaNeueLT Std Med"/>
                                <w:sz w:val="22"/>
                              </w:rPr>
                            </w:pPr>
                            <w:r w:rsidRPr="00BD2EDA">
                              <w:rPr>
                                <w:rFonts w:ascii="HelveticaNeueLT Std Med" w:hAnsi="HelveticaNeueLT Std Med"/>
                                <w:sz w:val="22"/>
                              </w:rPr>
                              <w:t>Neva Makgetla</w:t>
                            </w:r>
                          </w:p>
                          <w:p w:rsidR="00A66BA2" w:rsidRDefault="00A66BA2" w:rsidP="00BA7F19">
                            <w:pPr>
                              <w:widowControl w:val="0"/>
                              <w:spacing w:before="0" w:after="360"/>
                              <w:jc w:val="center"/>
                              <w:rPr>
                                <w:rFonts w:ascii="HelveticaNeueLT Std Med" w:hAnsi="HelveticaNeueLT Std Med"/>
                                <w:sz w:val="22"/>
                              </w:rPr>
                            </w:pPr>
                            <w:proofErr w:type="spellStart"/>
                            <w:r>
                              <w:rPr>
                                <w:rFonts w:ascii="HelveticaNeueLT Std Med" w:hAnsi="HelveticaNeueLT Std Med"/>
                                <w:sz w:val="22"/>
                              </w:rPr>
                              <w:t>Mbofholowo</w:t>
                            </w:r>
                            <w:proofErr w:type="spellEnd"/>
                            <w:r>
                              <w:rPr>
                                <w:rFonts w:ascii="HelveticaNeueLT Std Med" w:hAnsi="HelveticaNeueLT Std Med"/>
                                <w:sz w:val="22"/>
                              </w:rPr>
                              <w:t xml:space="preserve"> </w:t>
                            </w:r>
                            <w:proofErr w:type="spellStart"/>
                            <w:r>
                              <w:rPr>
                                <w:rFonts w:ascii="HelveticaNeueLT Std Med" w:hAnsi="HelveticaNeueLT Std Med"/>
                                <w:sz w:val="22"/>
                              </w:rPr>
                              <w:t>Tsedu</w:t>
                            </w:r>
                            <w:proofErr w:type="spellEnd"/>
                          </w:p>
                          <w:p w:rsidR="00A66BA2" w:rsidRPr="00BD2EDA" w:rsidRDefault="00A66BA2" w:rsidP="006111AA">
                            <w:pPr>
                              <w:widowControl w:val="0"/>
                              <w:spacing w:before="0" w:after="120"/>
                              <w:jc w:val="center"/>
                              <w:rPr>
                                <w:rFonts w:ascii="HelveticaNeueLT Std Med" w:hAnsi="HelveticaNeueLT Std Med"/>
                                <w:sz w:val="22"/>
                              </w:rPr>
                            </w:pPr>
                            <w:r>
                              <w:rPr>
                                <w:noProof/>
                                <w:lang w:eastAsia="en-ZA"/>
                              </w:rPr>
                              <w:drawing>
                                <wp:inline distT="0" distB="0" distL="0" distR="0" wp14:anchorId="155AAE9A" wp14:editId="52E903CA">
                                  <wp:extent cx="2129790" cy="1051560"/>
                                  <wp:effectExtent l="0" t="0" r="3810" b="0"/>
                                  <wp:docPr id="7" name="Picture 2" descr="2016 logo with n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logo with name.gif"/>
                                          <pic:cNvPicPr/>
                                        </pic:nvPicPr>
                                        <pic:blipFill>
                                          <a:blip r:embed="rId9" cstate="print"/>
                                          <a:stretch>
                                            <a:fillRect/>
                                          </a:stretch>
                                        </pic:blipFill>
                                        <pic:spPr>
                                          <a:xfrm>
                                            <a:off x="0" y="0"/>
                                            <a:ext cx="2129790" cy="1051560"/>
                                          </a:xfrm>
                                          <a:prstGeom prst="rect">
                                            <a:avLst/>
                                          </a:prstGeom>
                                        </pic:spPr>
                                      </pic:pic>
                                    </a:graphicData>
                                  </a:graphic>
                                </wp:inline>
                              </w:drawing>
                            </w:r>
                          </w:p>
                          <w:p w:rsidR="00A66BA2" w:rsidRDefault="00A66BA2" w:rsidP="006111AA">
                            <w:pPr>
                              <w:widowControl w:val="0"/>
                            </w:pPr>
                          </w:p>
                          <w:p w:rsidR="00A66BA2" w:rsidRPr="000274F5" w:rsidRDefault="006F27FD" w:rsidP="000274F5">
                            <w:pPr>
                              <w:spacing w:before="0" w:line="264" w:lineRule="auto"/>
                              <w:jc w:val="center"/>
                              <w:rPr>
                                <w:b/>
                                <w:sz w:val="28"/>
                                <w:szCs w:val="28"/>
                              </w:rPr>
                            </w:pPr>
                            <w:hyperlink r:id="rId10" w:history="1">
                              <w:r w:rsidR="00A66BA2" w:rsidRPr="000274F5">
                                <w:rPr>
                                  <w:rStyle w:val="Hyperlink"/>
                                  <w:b/>
                                  <w:color w:val="auto"/>
                                  <w:sz w:val="28"/>
                                  <w:szCs w:val="28"/>
                                  <w:u w:val="none"/>
                                </w:rPr>
                                <w:t>info@ tips.org.za</w:t>
                              </w:r>
                            </w:hyperlink>
                          </w:p>
                          <w:p w:rsidR="00A66BA2" w:rsidRPr="000274F5" w:rsidRDefault="00A66BA2" w:rsidP="000274F5">
                            <w:pPr>
                              <w:spacing w:before="0" w:line="264" w:lineRule="auto"/>
                              <w:jc w:val="center"/>
                              <w:rPr>
                                <w:b/>
                                <w:sz w:val="28"/>
                                <w:szCs w:val="28"/>
                              </w:rPr>
                            </w:pPr>
                            <w:r w:rsidRPr="000274F5">
                              <w:rPr>
                                <w:b/>
                                <w:sz w:val="28"/>
                                <w:szCs w:val="28"/>
                              </w:rPr>
                              <w:t>+27 12 433 9340</w:t>
                            </w:r>
                          </w:p>
                          <w:p w:rsidR="00A66BA2" w:rsidRPr="000274F5" w:rsidRDefault="00A66BA2" w:rsidP="000274F5">
                            <w:pPr>
                              <w:spacing w:before="0" w:line="264" w:lineRule="auto"/>
                              <w:jc w:val="center"/>
                              <w:rPr>
                                <w:b/>
                                <w:sz w:val="28"/>
                                <w:szCs w:val="28"/>
                              </w:rPr>
                            </w:pPr>
                            <w:r w:rsidRPr="000274F5">
                              <w:rPr>
                                <w:b/>
                                <w:sz w:val="28"/>
                                <w:szCs w:val="28"/>
                              </w:rPr>
                              <w:t>www.tips.org.za</w:t>
                            </w:r>
                          </w:p>
                          <w:p w:rsidR="00A66BA2" w:rsidRPr="00B30D99" w:rsidRDefault="00A66BA2" w:rsidP="006111AA">
                            <w:pPr>
                              <w:widowControl w:val="0"/>
                              <w:rPr>
                                <w:rFonts w:ascii="Kelvetica Nobis" w:hAnsi="Kelvetica Nobi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left:0;text-align:left;margin-left:267pt;margin-top:6.9pt;width:182.8pt;height:614.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" fillcolor="white [3212]">
                <v:fill opacity="32896f"/>
                <v:textbox>
                  <w:txbxContent>
                    <w:p w:rsidR="00A66BA2" w:rsidRPr="00C13426" w:rsidRDefault="00A66BA2" w:rsidP="006111AA">
                      <w:pPr>
                        <w:widowControl w:val="0"/>
                        <w:spacing w:after="120" w:line="286" w:lineRule="auto"/>
                        <w:jc w:val="center"/>
                        <w:rPr>
                          <w:rFonts w:ascii="HelveticaNeueLT Std Med" w:hAnsi="HelveticaNeueLT Std Med"/>
                          <w:sz w:val="36"/>
                          <w:szCs w:val="36"/>
                        </w:rPr>
                      </w:pPr>
                      <w:r w:rsidRPr="00C13426">
                        <w:rPr>
                          <w:rFonts w:ascii="HelveticaNeueLT Std Med" w:hAnsi="HelveticaNeueLT Std Med"/>
                          <w:sz w:val="36"/>
                          <w:szCs w:val="36"/>
                        </w:rPr>
                        <w:t>CONTENTS</w:t>
                      </w:r>
                    </w:p>
                    <w:p w:rsidR="00A66BA2" w:rsidRPr="00FF7490" w:rsidRDefault="00A66BA2" w:rsidP="006111AA">
                      <w:pPr>
                        <w:widowControl w:val="0"/>
                        <w:spacing w:before="0" w:after="160"/>
                        <w:jc w:val="center"/>
                        <w:rPr>
                          <w:rFonts w:ascii="HelveticaNeueLT Std Med" w:hAnsi="HelveticaNeueLT Std Med"/>
                          <w:sz w:val="22"/>
                        </w:rPr>
                      </w:pPr>
                      <w:r w:rsidRPr="00FF7490">
                        <w:rPr>
                          <w:rFonts w:ascii="HelveticaNeueLT Std Med" w:hAnsi="HelveticaNeueLT Std Med"/>
                          <w:sz w:val="22"/>
                        </w:rPr>
                        <w:t>Production and sales</w:t>
                      </w:r>
                    </w:p>
                    <w:p w:rsidR="00A66BA2" w:rsidRPr="00FF7490" w:rsidRDefault="00A66BA2" w:rsidP="006111AA">
                      <w:pPr>
                        <w:widowControl w:val="0"/>
                        <w:spacing w:before="0" w:after="160"/>
                        <w:jc w:val="center"/>
                        <w:rPr>
                          <w:rFonts w:ascii="HelveticaNeueLT Std Med" w:hAnsi="HelveticaNeueLT Std Med"/>
                          <w:sz w:val="22"/>
                        </w:rPr>
                      </w:pPr>
                      <w:r w:rsidRPr="00FF7490">
                        <w:rPr>
                          <w:rFonts w:ascii="HelveticaNeueLT Std Med" w:hAnsi="HelveticaNeueLT Std Med"/>
                          <w:sz w:val="22"/>
                        </w:rPr>
                        <w:t>Employment</w:t>
                      </w:r>
                    </w:p>
                    <w:p w:rsidR="00A66BA2" w:rsidRPr="00FF7490" w:rsidRDefault="00A66BA2" w:rsidP="006111AA">
                      <w:pPr>
                        <w:widowControl w:val="0"/>
                        <w:spacing w:before="0" w:after="160"/>
                        <w:jc w:val="center"/>
                        <w:rPr>
                          <w:rFonts w:ascii="HelveticaNeueLT Std Med" w:hAnsi="HelveticaNeueLT Std Med"/>
                          <w:sz w:val="22"/>
                        </w:rPr>
                      </w:pPr>
                      <w:r w:rsidRPr="00FF7490">
                        <w:rPr>
                          <w:rFonts w:ascii="HelveticaNeueLT Std Med" w:hAnsi="HelveticaNeueLT Std Med"/>
                          <w:sz w:val="22"/>
                        </w:rPr>
                        <w:t>Trends in trade</w:t>
                      </w:r>
                    </w:p>
                    <w:p w:rsidR="00A66BA2" w:rsidRPr="00FF7490" w:rsidRDefault="00A66BA2" w:rsidP="006111AA">
                      <w:pPr>
                        <w:widowControl w:val="0"/>
                        <w:spacing w:before="0" w:after="160"/>
                        <w:jc w:val="center"/>
                        <w:rPr>
                          <w:rFonts w:ascii="HelveticaNeueLT Std Med" w:hAnsi="HelveticaNeueLT Std Med"/>
                          <w:sz w:val="22"/>
                        </w:rPr>
                      </w:pPr>
                      <w:r w:rsidRPr="00FF7490">
                        <w:rPr>
                          <w:rFonts w:ascii="HelveticaNeueLT Std Med" w:hAnsi="HelveticaNeueLT Std Med"/>
                          <w:sz w:val="22"/>
                        </w:rPr>
                        <w:t>Productivity and investment</w:t>
                      </w:r>
                    </w:p>
                    <w:p w:rsidR="00A66BA2" w:rsidRDefault="00A66BA2" w:rsidP="006111AA">
                      <w:pPr>
                        <w:widowControl w:val="0"/>
                        <w:spacing w:before="0" w:after="160"/>
                        <w:jc w:val="center"/>
                        <w:rPr>
                          <w:rFonts w:ascii="HelveticaNeueLT Std Med" w:hAnsi="HelveticaNeueLT Std Med"/>
                          <w:sz w:val="22"/>
                        </w:rPr>
                      </w:pPr>
                      <w:r w:rsidRPr="00FF7490">
                        <w:rPr>
                          <w:rFonts w:ascii="HelveticaNeueLT Std Med" w:hAnsi="HelveticaNeueLT Std Med"/>
                          <w:sz w:val="22"/>
                        </w:rPr>
                        <w:t>Behind the trends</w:t>
                      </w:r>
                    </w:p>
                    <w:p w:rsidR="00A66BA2" w:rsidRDefault="00A66BA2" w:rsidP="006111AA">
                      <w:pPr>
                        <w:widowControl w:val="0"/>
                        <w:spacing w:before="0" w:after="160"/>
                        <w:jc w:val="center"/>
                        <w:rPr>
                          <w:rFonts w:ascii="HelveticaNeueLT Std Med" w:hAnsi="HelveticaNeueLT Std Med"/>
                          <w:sz w:val="22"/>
                        </w:rPr>
                      </w:pPr>
                      <w:r>
                        <w:rPr>
                          <w:rFonts w:ascii="HelveticaNeueLT Std Med" w:hAnsi="HelveticaNeueLT Std Med"/>
                          <w:sz w:val="22"/>
                        </w:rPr>
                        <w:t>Fiscal pressure on industrial policy programmes</w:t>
                      </w:r>
                    </w:p>
                    <w:p w:rsidR="00A66BA2" w:rsidRDefault="00A66BA2" w:rsidP="00BA7F19">
                      <w:pPr>
                        <w:widowControl w:val="0"/>
                        <w:spacing w:before="0" w:after="240"/>
                        <w:jc w:val="center"/>
                        <w:rPr>
                          <w:rFonts w:ascii="HelveticaNeueLT Std Med" w:hAnsi="HelveticaNeueLT Std Med"/>
                          <w:sz w:val="22"/>
                        </w:rPr>
                      </w:pPr>
                      <w:r>
                        <w:rPr>
                          <w:rFonts w:ascii="HelveticaNeueLT Std Med" w:hAnsi="HelveticaNeueLT Std Med"/>
                          <w:sz w:val="22"/>
                        </w:rPr>
                        <w:t xml:space="preserve">Briefing note: The crisis in </w:t>
                      </w:r>
                      <w:r>
                        <w:rPr>
                          <w:rFonts w:ascii="HelveticaNeueLT Std Med" w:hAnsi="HelveticaNeueLT Std Med"/>
                          <w:sz w:val="22"/>
                        </w:rPr>
                        <w:br/>
                        <w:t>the steel industry</w:t>
                      </w:r>
                    </w:p>
                    <w:p w:rsidR="00A66BA2" w:rsidRPr="00C13426" w:rsidRDefault="00A66BA2" w:rsidP="006111AA">
                      <w:pPr>
                        <w:widowControl w:val="0"/>
                        <w:spacing w:after="120" w:line="285" w:lineRule="auto"/>
                        <w:jc w:val="center"/>
                        <w:rPr>
                          <w:rFonts w:ascii="HelveticaNeueLT Std Med" w:hAnsi="HelveticaNeueLT Std Med"/>
                          <w:sz w:val="36"/>
                          <w:szCs w:val="36"/>
                        </w:rPr>
                      </w:pPr>
                      <w:r w:rsidRPr="00C13426">
                        <w:rPr>
                          <w:rFonts w:ascii="HelveticaNeueLT Std Med" w:hAnsi="HelveticaNeueLT Std Med"/>
                          <w:sz w:val="36"/>
                          <w:szCs w:val="36"/>
                        </w:rPr>
                        <w:t>EDITORIAL TEAM</w:t>
                      </w:r>
                    </w:p>
                    <w:p w:rsidR="00A66BA2" w:rsidRPr="00BD2EDA" w:rsidRDefault="00A66BA2" w:rsidP="006111AA">
                      <w:pPr>
                        <w:widowControl w:val="0"/>
                        <w:spacing w:before="0" w:after="120"/>
                        <w:jc w:val="center"/>
                        <w:rPr>
                          <w:rFonts w:ascii="HelveticaNeueLT Std Med" w:hAnsi="HelveticaNeueLT Std Med"/>
                          <w:sz w:val="22"/>
                        </w:rPr>
                      </w:pPr>
                      <w:r w:rsidRPr="00BD2EDA">
                        <w:rPr>
                          <w:rFonts w:ascii="HelveticaNeueLT Std Med" w:hAnsi="HelveticaNeueLT Std Med"/>
                          <w:sz w:val="22"/>
                        </w:rPr>
                        <w:t xml:space="preserve">The Real Economy Bulletin </w:t>
                      </w:r>
                      <w:r w:rsidRPr="00BD2EDA">
                        <w:rPr>
                          <w:rFonts w:ascii="HelveticaNeueLT Std Med" w:hAnsi="HelveticaNeueLT Std Med"/>
                          <w:sz w:val="22"/>
                        </w:rPr>
                        <w:br/>
                        <w:t>is a TIPS Publication</w:t>
                      </w:r>
                    </w:p>
                    <w:p w:rsidR="00A66BA2" w:rsidRPr="00BD2EDA" w:rsidRDefault="00A66BA2" w:rsidP="006111AA">
                      <w:pPr>
                        <w:widowControl w:val="0"/>
                        <w:spacing w:before="0" w:after="120"/>
                        <w:jc w:val="center"/>
                        <w:rPr>
                          <w:rFonts w:ascii="HelveticaNeueLT Std Med" w:hAnsi="HelveticaNeueLT Std Med"/>
                          <w:sz w:val="22"/>
                        </w:rPr>
                      </w:pPr>
                      <w:r w:rsidRPr="00BD2EDA">
                        <w:rPr>
                          <w:rFonts w:ascii="HelveticaNeueLT Std Med" w:hAnsi="HelveticaNeueLT Std Med"/>
                          <w:sz w:val="22"/>
                        </w:rPr>
                        <w:t xml:space="preserve">Editor: </w:t>
                      </w:r>
                    </w:p>
                    <w:p w:rsidR="00A66BA2" w:rsidRPr="00BD2EDA" w:rsidRDefault="00A66BA2" w:rsidP="006111AA">
                      <w:pPr>
                        <w:widowControl w:val="0"/>
                        <w:spacing w:before="0" w:after="240"/>
                        <w:jc w:val="center"/>
                        <w:rPr>
                          <w:rFonts w:ascii="HelveticaNeueLT Std Med" w:hAnsi="HelveticaNeueLT Std Med"/>
                          <w:bCs/>
                          <w:sz w:val="22"/>
                        </w:rPr>
                      </w:pPr>
                      <w:r>
                        <w:rPr>
                          <w:rFonts w:ascii="HelveticaNeueLT Std Med" w:hAnsi="HelveticaNeueLT Std Med"/>
                          <w:sz w:val="22"/>
                        </w:rPr>
                        <w:t>Christopher Wood</w:t>
                      </w:r>
                    </w:p>
                    <w:p w:rsidR="00A66BA2" w:rsidRPr="00BD2EDA" w:rsidRDefault="00A66BA2" w:rsidP="006111AA">
                      <w:pPr>
                        <w:widowControl w:val="0"/>
                        <w:spacing w:after="120"/>
                        <w:jc w:val="center"/>
                        <w:rPr>
                          <w:rFonts w:ascii="HelveticaNeueLT Std Med" w:hAnsi="HelveticaNeueLT Std Med"/>
                          <w:sz w:val="22"/>
                        </w:rPr>
                      </w:pPr>
                      <w:r w:rsidRPr="00BD2EDA">
                        <w:rPr>
                          <w:rFonts w:ascii="HelveticaNeueLT Std Med" w:hAnsi="HelveticaNeueLT Std Med"/>
                          <w:sz w:val="22"/>
                        </w:rPr>
                        <w:t>Contributors to this edition:</w:t>
                      </w:r>
                    </w:p>
                    <w:p w:rsidR="00B6022E" w:rsidRDefault="00B6022E" w:rsidP="006111AA">
                      <w:pPr>
                        <w:widowControl w:val="0"/>
                        <w:spacing w:before="0" w:after="120"/>
                        <w:jc w:val="center"/>
                        <w:rPr>
                          <w:rFonts w:ascii="HelveticaNeueLT Std Med" w:hAnsi="HelveticaNeueLT Std Med"/>
                          <w:sz w:val="22"/>
                        </w:rPr>
                      </w:pPr>
                      <w:r>
                        <w:rPr>
                          <w:rFonts w:ascii="HelveticaNeueLT Std Med" w:hAnsi="HelveticaNeueLT Std Med"/>
                          <w:sz w:val="22"/>
                        </w:rPr>
                        <w:t>Christopher Wood</w:t>
                      </w:r>
                    </w:p>
                    <w:p w:rsidR="00A66BA2" w:rsidRPr="00BD2EDA" w:rsidRDefault="00A66BA2" w:rsidP="006111AA">
                      <w:pPr>
                        <w:widowControl w:val="0"/>
                        <w:spacing w:before="0" w:after="120"/>
                        <w:jc w:val="center"/>
                        <w:rPr>
                          <w:rFonts w:ascii="HelveticaNeueLT Std Med" w:hAnsi="HelveticaNeueLT Std Med"/>
                          <w:sz w:val="22"/>
                        </w:rPr>
                      </w:pPr>
                      <w:r w:rsidRPr="00BD2EDA">
                        <w:rPr>
                          <w:rFonts w:ascii="HelveticaNeueLT Std Med" w:hAnsi="HelveticaNeueLT Std Med"/>
                          <w:sz w:val="22"/>
                        </w:rPr>
                        <w:t>Neva Makgetla</w:t>
                      </w:r>
                    </w:p>
                    <w:p w:rsidR="00A66BA2" w:rsidRDefault="00A66BA2" w:rsidP="00BA7F19">
                      <w:pPr>
                        <w:widowControl w:val="0"/>
                        <w:spacing w:before="0" w:after="360"/>
                        <w:jc w:val="center"/>
                        <w:rPr>
                          <w:rFonts w:ascii="HelveticaNeueLT Std Med" w:hAnsi="HelveticaNeueLT Std Med"/>
                          <w:sz w:val="22"/>
                        </w:rPr>
                      </w:pPr>
                      <w:proofErr w:type="spellStart"/>
                      <w:r>
                        <w:rPr>
                          <w:rFonts w:ascii="HelveticaNeueLT Std Med" w:hAnsi="HelveticaNeueLT Std Med"/>
                          <w:sz w:val="22"/>
                        </w:rPr>
                        <w:t>Mbofholowo</w:t>
                      </w:r>
                      <w:proofErr w:type="spellEnd"/>
                      <w:r>
                        <w:rPr>
                          <w:rFonts w:ascii="HelveticaNeueLT Std Med" w:hAnsi="HelveticaNeueLT Std Med"/>
                          <w:sz w:val="22"/>
                        </w:rPr>
                        <w:t xml:space="preserve"> </w:t>
                      </w:r>
                      <w:proofErr w:type="spellStart"/>
                      <w:r>
                        <w:rPr>
                          <w:rFonts w:ascii="HelveticaNeueLT Std Med" w:hAnsi="HelveticaNeueLT Std Med"/>
                          <w:sz w:val="22"/>
                        </w:rPr>
                        <w:t>Tsedu</w:t>
                      </w:r>
                      <w:proofErr w:type="spellEnd"/>
                    </w:p>
                    <w:p w:rsidR="00A66BA2" w:rsidRPr="00BD2EDA" w:rsidRDefault="00A66BA2" w:rsidP="006111AA">
                      <w:pPr>
                        <w:widowControl w:val="0"/>
                        <w:spacing w:before="0" w:after="120"/>
                        <w:jc w:val="center"/>
                        <w:rPr>
                          <w:rFonts w:ascii="HelveticaNeueLT Std Med" w:hAnsi="HelveticaNeueLT Std Med"/>
                          <w:sz w:val="22"/>
                        </w:rPr>
                      </w:pPr>
                      <w:r>
                        <w:rPr>
                          <w:noProof/>
                          <w:lang w:eastAsia="en-ZA"/>
                        </w:rPr>
                        <w:drawing>
                          <wp:inline distT="0" distB="0" distL="0" distR="0" wp14:anchorId="155AAE9A" wp14:editId="52E903CA">
                            <wp:extent cx="2129790" cy="1051560"/>
                            <wp:effectExtent l="0" t="0" r="3810" b="0"/>
                            <wp:docPr id="7" name="Picture 2" descr="2016 logo with n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logo with name.gif"/>
                                    <pic:cNvPicPr/>
                                  </pic:nvPicPr>
                                  <pic:blipFill>
                                    <a:blip r:embed="rId9" cstate="print"/>
                                    <a:stretch>
                                      <a:fillRect/>
                                    </a:stretch>
                                  </pic:blipFill>
                                  <pic:spPr>
                                    <a:xfrm>
                                      <a:off x="0" y="0"/>
                                      <a:ext cx="2129790" cy="1051560"/>
                                    </a:xfrm>
                                    <a:prstGeom prst="rect">
                                      <a:avLst/>
                                    </a:prstGeom>
                                  </pic:spPr>
                                </pic:pic>
                              </a:graphicData>
                            </a:graphic>
                          </wp:inline>
                        </w:drawing>
                      </w:r>
                    </w:p>
                    <w:p w:rsidR="00A66BA2" w:rsidRDefault="00A66BA2" w:rsidP="006111AA">
                      <w:pPr>
                        <w:widowControl w:val="0"/>
                      </w:pPr>
                    </w:p>
                    <w:p w:rsidR="00A66BA2" w:rsidRPr="000274F5" w:rsidRDefault="006F27FD" w:rsidP="000274F5">
                      <w:pPr>
                        <w:spacing w:before="0" w:line="264" w:lineRule="auto"/>
                        <w:jc w:val="center"/>
                        <w:rPr>
                          <w:b/>
                          <w:sz w:val="28"/>
                          <w:szCs w:val="28"/>
                        </w:rPr>
                      </w:pPr>
                      <w:hyperlink r:id="rId11" w:history="1">
                        <w:r w:rsidR="00A66BA2" w:rsidRPr="000274F5">
                          <w:rPr>
                            <w:rStyle w:val="Hyperlink"/>
                            <w:b/>
                            <w:color w:val="auto"/>
                            <w:sz w:val="28"/>
                            <w:szCs w:val="28"/>
                            <w:u w:val="none"/>
                          </w:rPr>
                          <w:t>info@ tips.org.za</w:t>
                        </w:r>
                      </w:hyperlink>
                    </w:p>
                    <w:p w:rsidR="00A66BA2" w:rsidRPr="000274F5" w:rsidRDefault="00A66BA2" w:rsidP="000274F5">
                      <w:pPr>
                        <w:spacing w:before="0" w:line="264" w:lineRule="auto"/>
                        <w:jc w:val="center"/>
                        <w:rPr>
                          <w:b/>
                          <w:sz w:val="28"/>
                          <w:szCs w:val="28"/>
                        </w:rPr>
                      </w:pPr>
                      <w:r w:rsidRPr="000274F5">
                        <w:rPr>
                          <w:b/>
                          <w:sz w:val="28"/>
                          <w:szCs w:val="28"/>
                        </w:rPr>
                        <w:t>+27 12 433 9340</w:t>
                      </w:r>
                    </w:p>
                    <w:p w:rsidR="00A66BA2" w:rsidRPr="000274F5" w:rsidRDefault="00A66BA2" w:rsidP="000274F5">
                      <w:pPr>
                        <w:spacing w:before="0" w:line="264" w:lineRule="auto"/>
                        <w:jc w:val="center"/>
                        <w:rPr>
                          <w:b/>
                          <w:sz w:val="28"/>
                          <w:szCs w:val="28"/>
                        </w:rPr>
                      </w:pPr>
                      <w:r w:rsidRPr="000274F5">
                        <w:rPr>
                          <w:b/>
                          <w:sz w:val="28"/>
                          <w:szCs w:val="28"/>
                        </w:rPr>
                        <w:t>www.tips.org.za</w:t>
                      </w:r>
                    </w:p>
                    <w:p w:rsidR="00A66BA2" w:rsidRPr="00B30D99" w:rsidRDefault="00A66BA2" w:rsidP="006111AA">
                      <w:pPr>
                        <w:widowControl w:val="0"/>
                        <w:rPr>
                          <w:rFonts w:ascii="Kelvetica Nobis" w:hAnsi="Kelvetica Nobis"/>
                          <w:sz w:val="20"/>
                          <w:szCs w:val="20"/>
                        </w:rPr>
                      </w:pPr>
                    </w:p>
                  </w:txbxContent>
                </v:textbox>
                <w10:wrap type="square" anchorx="margin"/>
              </v:shape>
            </w:pict>
          </mc:Fallback>
        </mc:AlternateContent>
      </w:r>
      <w:r w:rsidRPr="00732ABB">
        <w:rPr>
          <w:rFonts w:asciiTheme="minorHAnsi" w:hAnsiTheme="minorHAnsi"/>
          <w:b w:val="0"/>
          <w:iCs/>
          <w:color w:val="auto"/>
          <w:sz w:val="22"/>
          <w:szCs w:val="22"/>
        </w:rPr>
        <w:t xml:space="preserve">The Real Economy Bulletin is a review of quarterly trends, developments and data in the real economy, </w:t>
      </w:r>
      <w:r w:rsidR="00FE17A5">
        <w:rPr>
          <w:rFonts w:asciiTheme="minorHAnsi" w:hAnsiTheme="minorHAnsi"/>
          <w:b w:val="0"/>
          <w:iCs/>
          <w:color w:val="auto"/>
          <w:sz w:val="22"/>
          <w:szCs w:val="22"/>
        </w:rPr>
        <w:t xml:space="preserve">with </w:t>
      </w:r>
      <w:r>
        <w:rPr>
          <w:rFonts w:asciiTheme="minorHAnsi" w:hAnsiTheme="minorHAnsi"/>
          <w:b w:val="0"/>
          <w:iCs/>
          <w:color w:val="auto"/>
          <w:sz w:val="22"/>
          <w:szCs w:val="22"/>
        </w:rPr>
        <w:t xml:space="preserve">notes on </w:t>
      </w:r>
      <w:r w:rsidR="00BB18DC">
        <w:rPr>
          <w:rFonts w:asciiTheme="minorHAnsi" w:hAnsiTheme="minorHAnsi"/>
          <w:b w:val="0"/>
          <w:iCs/>
          <w:color w:val="auto"/>
          <w:sz w:val="22"/>
          <w:szCs w:val="22"/>
        </w:rPr>
        <w:t xml:space="preserve">related </w:t>
      </w:r>
      <w:r>
        <w:rPr>
          <w:rFonts w:asciiTheme="minorHAnsi" w:hAnsiTheme="minorHAnsi"/>
          <w:b w:val="0"/>
          <w:iCs/>
          <w:color w:val="auto"/>
          <w:sz w:val="22"/>
          <w:szCs w:val="22"/>
        </w:rPr>
        <w:t>developments and key data in Excel format</w:t>
      </w:r>
      <w:r w:rsidR="00BB18DC">
        <w:rPr>
          <w:rFonts w:asciiTheme="minorHAnsi" w:hAnsiTheme="minorHAnsi"/>
          <w:b w:val="0"/>
          <w:iCs/>
          <w:color w:val="auto"/>
          <w:sz w:val="22"/>
          <w:szCs w:val="22"/>
        </w:rPr>
        <w:t xml:space="preserve">*. </w:t>
      </w:r>
    </w:p>
    <w:p w:rsidR="00346F04" w:rsidRPr="009D501A" w:rsidRDefault="006111AA" w:rsidP="00BB18DC">
      <w:pPr>
        <w:spacing w:before="0" w:after="120" w:line="264" w:lineRule="auto"/>
        <w:jc w:val="both"/>
      </w:pPr>
      <w:r>
        <w:rPr>
          <w:b/>
          <w:color w:val="1B5468"/>
          <w:sz w:val="28"/>
          <w:szCs w:val="28"/>
        </w:rPr>
        <w:t>Production and sales</w:t>
      </w:r>
    </w:p>
    <w:p w:rsidR="00EC5D9E" w:rsidRPr="0041472F" w:rsidRDefault="000E587A" w:rsidP="00BB18DC">
      <w:pPr>
        <w:tabs>
          <w:tab w:val="left" w:pos="7935"/>
        </w:tabs>
        <w:spacing w:before="0" w:after="120"/>
        <w:jc w:val="both"/>
        <w:rPr>
          <w:i/>
          <w:sz w:val="22"/>
        </w:rPr>
      </w:pPr>
      <w:r w:rsidRPr="0041472F">
        <w:rPr>
          <w:i/>
          <w:sz w:val="22"/>
        </w:rPr>
        <w:t>The first quarter of 2016 was marked by a contraction in GDP, with the economy</w:t>
      </w:r>
      <w:r w:rsidR="004D076A" w:rsidRPr="0041472F">
        <w:rPr>
          <w:i/>
          <w:sz w:val="22"/>
        </w:rPr>
        <w:t xml:space="preserve"> reported as</w:t>
      </w:r>
      <w:r w:rsidRPr="0041472F">
        <w:rPr>
          <w:i/>
          <w:sz w:val="22"/>
        </w:rPr>
        <w:t xml:space="preserve"> shrinking by </w:t>
      </w:r>
      <w:r w:rsidR="00FE17A5">
        <w:rPr>
          <w:i/>
          <w:sz w:val="22"/>
        </w:rPr>
        <w:t>0,3%</w:t>
      </w:r>
      <w:r w:rsidR="00470B02" w:rsidRPr="0041472F">
        <w:rPr>
          <w:i/>
          <w:sz w:val="22"/>
        </w:rPr>
        <w:t xml:space="preserve">, or 1,2% on </w:t>
      </w:r>
      <w:r w:rsidR="004D076A" w:rsidRPr="0041472F">
        <w:rPr>
          <w:i/>
          <w:sz w:val="22"/>
        </w:rPr>
        <w:t>an annualised basis</w:t>
      </w:r>
      <w:r w:rsidR="00470B02" w:rsidRPr="0041472F">
        <w:rPr>
          <w:i/>
          <w:sz w:val="22"/>
        </w:rPr>
        <w:t xml:space="preserve">. </w:t>
      </w:r>
      <w:r w:rsidR="00EC5D9E" w:rsidRPr="0041472F">
        <w:rPr>
          <w:i/>
          <w:sz w:val="22"/>
        </w:rPr>
        <w:t xml:space="preserve">The immediate cause of the downturn was a </w:t>
      </w:r>
      <w:r w:rsidR="00934F0B" w:rsidRPr="0041472F">
        <w:rPr>
          <w:i/>
          <w:sz w:val="22"/>
        </w:rPr>
        <w:t>4,9</w:t>
      </w:r>
      <w:r w:rsidR="00EC5D9E" w:rsidRPr="0041472F">
        <w:rPr>
          <w:i/>
          <w:sz w:val="22"/>
        </w:rPr>
        <w:t xml:space="preserve">% </w:t>
      </w:r>
      <w:r w:rsidR="00934F0B" w:rsidRPr="0041472F">
        <w:rPr>
          <w:i/>
          <w:sz w:val="22"/>
        </w:rPr>
        <w:t xml:space="preserve">quarterly </w:t>
      </w:r>
      <w:r w:rsidR="00EC5D9E" w:rsidRPr="0041472F">
        <w:rPr>
          <w:i/>
          <w:sz w:val="22"/>
        </w:rPr>
        <w:t xml:space="preserve">decline </w:t>
      </w:r>
      <w:r w:rsidR="00470B02" w:rsidRPr="0041472F">
        <w:rPr>
          <w:i/>
          <w:sz w:val="22"/>
        </w:rPr>
        <w:t xml:space="preserve">(equal to 18% in annualised terms) </w:t>
      </w:r>
      <w:r w:rsidR="00EC5D9E" w:rsidRPr="0041472F">
        <w:rPr>
          <w:i/>
          <w:sz w:val="22"/>
        </w:rPr>
        <w:t>in mining</w:t>
      </w:r>
      <w:r w:rsidR="00934F0B" w:rsidRPr="0041472F">
        <w:rPr>
          <w:i/>
          <w:sz w:val="22"/>
        </w:rPr>
        <w:t xml:space="preserve"> </w:t>
      </w:r>
      <w:r w:rsidR="00EC5D9E" w:rsidRPr="0041472F">
        <w:rPr>
          <w:i/>
          <w:sz w:val="22"/>
        </w:rPr>
        <w:t>and a</w:t>
      </w:r>
      <w:r w:rsidR="00470B02" w:rsidRPr="0041472F">
        <w:rPr>
          <w:i/>
          <w:sz w:val="22"/>
        </w:rPr>
        <w:t xml:space="preserve"> </w:t>
      </w:r>
      <w:r w:rsidR="00934F0B" w:rsidRPr="0041472F">
        <w:rPr>
          <w:i/>
          <w:sz w:val="22"/>
        </w:rPr>
        <w:t>1,7</w:t>
      </w:r>
      <w:r w:rsidR="00EC5D9E" w:rsidRPr="0041472F">
        <w:rPr>
          <w:i/>
          <w:sz w:val="22"/>
        </w:rPr>
        <w:t>% fall</w:t>
      </w:r>
      <w:r w:rsidR="00470B02" w:rsidRPr="0041472F">
        <w:rPr>
          <w:i/>
          <w:sz w:val="22"/>
        </w:rPr>
        <w:t xml:space="preserve"> (or 6,5% at an annual rate) </w:t>
      </w:r>
      <w:r w:rsidR="00EC5D9E" w:rsidRPr="0041472F">
        <w:rPr>
          <w:i/>
          <w:sz w:val="22"/>
        </w:rPr>
        <w:t>in agriculture. These contractions had a particularl</w:t>
      </w:r>
      <w:r w:rsidR="00470B02" w:rsidRPr="0041472F">
        <w:rPr>
          <w:i/>
          <w:sz w:val="22"/>
        </w:rPr>
        <w:t>y sharp impact on overall growth</w:t>
      </w:r>
      <w:r w:rsidR="00EC5D9E" w:rsidRPr="0041472F">
        <w:rPr>
          <w:i/>
          <w:sz w:val="22"/>
        </w:rPr>
        <w:t xml:space="preserve"> because of </w:t>
      </w:r>
      <w:r w:rsidR="00470B02" w:rsidRPr="0041472F">
        <w:rPr>
          <w:i/>
          <w:sz w:val="22"/>
        </w:rPr>
        <w:t xml:space="preserve">a </w:t>
      </w:r>
      <w:r w:rsidR="00EC5D9E" w:rsidRPr="0041472F">
        <w:rPr>
          <w:i/>
          <w:sz w:val="22"/>
        </w:rPr>
        <w:t xml:space="preserve">longer-term slowdown in growth in </w:t>
      </w:r>
      <w:r w:rsidR="000451A4" w:rsidRPr="0041472F">
        <w:rPr>
          <w:i/>
          <w:sz w:val="22"/>
        </w:rPr>
        <w:t>manufacturing and, to a lesser extent, the rest of the economy, which dates</w:t>
      </w:r>
      <w:r w:rsidR="00EC5D9E" w:rsidRPr="0041472F">
        <w:rPr>
          <w:i/>
          <w:sz w:val="22"/>
        </w:rPr>
        <w:t xml:space="preserve"> back to around 2013.  </w:t>
      </w:r>
    </w:p>
    <w:p w:rsidR="000451A4" w:rsidRDefault="00EC5D9E" w:rsidP="00BB18DC">
      <w:pPr>
        <w:tabs>
          <w:tab w:val="left" w:pos="7935"/>
        </w:tabs>
        <w:spacing w:before="0" w:after="120"/>
        <w:jc w:val="both"/>
        <w:rPr>
          <w:sz w:val="22"/>
        </w:rPr>
      </w:pPr>
      <w:r w:rsidRPr="0041472F">
        <w:rPr>
          <w:sz w:val="22"/>
        </w:rPr>
        <w:t xml:space="preserve">As </w:t>
      </w:r>
      <w:r w:rsidR="0041472F">
        <w:rPr>
          <w:sz w:val="22"/>
        </w:rPr>
        <w:t xml:space="preserve">Graph 1 </w:t>
      </w:r>
      <w:r w:rsidRPr="0041472F">
        <w:rPr>
          <w:sz w:val="22"/>
        </w:rPr>
        <w:t xml:space="preserve">shows, </w:t>
      </w:r>
      <w:r w:rsidR="000451A4" w:rsidRPr="0041472F">
        <w:rPr>
          <w:sz w:val="22"/>
        </w:rPr>
        <w:t xml:space="preserve">both mining and manufacturing production fell in the year to March for 2015 and 2016. Agriculture climbed sharply in the year to March 2015, but in the following year fell by </w:t>
      </w:r>
      <w:r w:rsidR="00A7065B" w:rsidRPr="0041472F">
        <w:rPr>
          <w:sz w:val="22"/>
        </w:rPr>
        <w:t>almost 9</w:t>
      </w:r>
      <w:r w:rsidR="000451A4" w:rsidRPr="0041472F">
        <w:rPr>
          <w:sz w:val="22"/>
        </w:rPr>
        <w:t>% due to the drought. Construction and the rest of the economy – essentially logistics and utilities, retail, and public and private services – grew over the past two years, but at a slower rate than before.</w:t>
      </w:r>
      <w:r w:rsidR="00FE17A5">
        <w:rPr>
          <w:sz w:val="22"/>
        </w:rPr>
        <w:t xml:space="preserve"> </w:t>
      </w:r>
    </w:p>
    <w:p w:rsidR="00F2758A" w:rsidRDefault="00F2758A" w:rsidP="00BB18DC">
      <w:pPr>
        <w:tabs>
          <w:tab w:val="left" w:pos="7935"/>
        </w:tabs>
        <w:spacing w:before="0" w:after="120"/>
        <w:jc w:val="both"/>
        <w:rPr>
          <w:sz w:val="22"/>
        </w:rPr>
      </w:pPr>
      <w:r>
        <w:rPr>
          <w:sz w:val="22"/>
        </w:rPr>
        <w:t>M</w:t>
      </w:r>
      <w:r w:rsidRPr="00F2758A">
        <w:rPr>
          <w:sz w:val="22"/>
        </w:rPr>
        <w:t xml:space="preserve">ining production has been highly volatile, with significant declines in 2012 and 2014. But in those years the rest of the economy was relatively robust, so the overall growth rate did not dip below zero (Graph 2). </w:t>
      </w:r>
    </w:p>
    <w:p w:rsidR="00BB18DC" w:rsidRDefault="00F2758A" w:rsidP="00BB18DC">
      <w:pPr>
        <w:tabs>
          <w:tab w:val="left" w:pos="7935"/>
        </w:tabs>
        <w:spacing w:before="0" w:after="120"/>
        <w:jc w:val="both"/>
        <w:rPr>
          <w:sz w:val="22"/>
        </w:rPr>
      </w:pPr>
      <w:r w:rsidRPr="00F2758A">
        <w:rPr>
          <w:sz w:val="22"/>
        </w:rPr>
        <w:t>From the fourth quarter of 2015 to the first quarter of 2016, the contribution of electricity and transport to the GDP dropped by 0,7%. It seems likely that th</w:t>
      </w:r>
      <w:r w:rsidR="00FE17A5">
        <w:rPr>
          <w:sz w:val="22"/>
        </w:rPr>
        <w:t xml:space="preserve">is </w:t>
      </w:r>
      <w:r w:rsidRPr="00F2758A">
        <w:rPr>
          <w:sz w:val="22"/>
        </w:rPr>
        <w:t>largely resulted from the contraction in mining and refining, which contribute a substantial share of demand for both Eskom and Transnet.</w:t>
      </w:r>
      <w:r w:rsidR="00BB18DC">
        <w:rPr>
          <w:sz w:val="22"/>
        </w:rPr>
        <w:t xml:space="preserve"> </w:t>
      </w:r>
      <w:r w:rsidRPr="00F2758A">
        <w:rPr>
          <w:sz w:val="22"/>
        </w:rPr>
        <w:t>The gradual slowdown in manufacturing production in volume terms from 2013 largely reflects a marked fall in output in the metals value chain, driven in part by the</w:t>
      </w:r>
      <w:r>
        <w:rPr>
          <w:sz w:val="22"/>
        </w:rPr>
        <w:t xml:space="preserve"> </w:t>
      </w:r>
      <w:r w:rsidRPr="00F2758A">
        <w:rPr>
          <w:sz w:val="22"/>
        </w:rPr>
        <w:t>end of the commodity boom and in part by rising competition from China</w:t>
      </w:r>
      <w:r w:rsidR="00FE17A5">
        <w:rPr>
          <w:sz w:val="22"/>
        </w:rPr>
        <w:t xml:space="preserve"> (see briefing on </w:t>
      </w:r>
      <w:r w:rsidRPr="00F2758A">
        <w:rPr>
          <w:sz w:val="22"/>
        </w:rPr>
        <w:t>the steel industry</w:t>
      </w:r>
      <w:r w:rsidR="00FE17A5">
        <w:rPr>
          <w:sz w:val="22"/>
        </w:rPr>
        <w:t>)</w:t>
      </w:r>
      <w:r w:rsidRPr="00F2758A">
        <w:rPr>
          <w:sz w:val="22"/>
        </w:rPr>
        <w:t xml:space="preserve">. </w:t>
      </w:r>
      <w:r w:rsidR="00B71801">
        <w:rPr>
          <w:sz w:val="22"/>
        </w:rPr>
        <w:t xml:space="preserve"> </w:t>
      </w:r>
      <w:r w:rsidRPr="00F2758A">
        <w:rPr>
          <w:sz w:val="22"/>
        </w:rPr>
        <w:t xml:space="preserve">In the past quarter, these trends were aggravated by a sharp fall in food and beverages production, presumably triggered by the drought. </w:t>
      </w:r>
      <w:r w:rsidR="00FE17A5">
        <w:rPr>
          <w:sz w:val="22"/>
        </w:rPr>
        <w:t>The f</w:t>
      </w:r>
      <w:r w:rsidRPr="00F2758A">
        <w:rPr>
          <w:sz w:val="22"/>
        </w:rPr>
        <w:t xml:space="preserve">ood and beverages </w:t>
      </w:r>
      <w:r w:rsidR="00FE17A5">
        <w:rPr>
          <w:sz w:val="22"/>
        </w:rPr>
        <w:t>industry</w:t>
      </w:r>
      <w:r w:rsidRPr="00F2758A">
        <w:rPr>
          <w:sz w:val="22"/>
        </w:rPr>
        <w:t xml:space="preserve"> was a mainstay of growth in manufacturing for most of the past five years (Graph 3). </w:t>
      </w:r>
      <w:r w:rsidR="00BB18DC">
        <w:rPr>
          <w:sz w:val="22"/>
        </w:rPr>
        <w:t xml:space="preserve">     </w:t>
      </w:r>
    </w:p>
    <w:p w:rsidR="00F2758A" w:rsidRPr="00F2758A" w:rsidRDefault="00BB18DC" w:rsidP="00FE17A5">
      <w:pPr>
        <w:tabs>
          <w:tab w:val="left" w:pos="7935"/>
        </w:tabs>
        <w:rPr>
          <w:sz w:val="22"/>
        </w:rPr>
      </w:pPr>
      <w:r>
        <w:rPr>
          <w:sz w:val="22"/>
        </w:rPr>
        <w:t>*</w:t>
      </w:r>
      <w:r w:rsidR="00FE17A5">
        <w:rPr>
          <w:sz w:val="22"/>
        </w:rPr>
        <w:t xml:space="preserve">Available to download at </w:t>
      </w:r>
      <w:hyperlink r:id="rId12" w:history="1">
        <w:r w:rsidRPr="00682E3D">
          <w:rPr>
            <w:rStyle w:val="Hyperlink"/>
            <w:color w:val="auto"/>
            <w:sz w:val="22"/>
            <w:u w:val="none"/>
          </w:rPr>
          <w:t>www.tips.org.za/publications/the-real-economy-bulletin</w:t>
        </w:r>
      </w:hyperlink>
      <w:r w:rsidR="00FE17A5" w:rsidRPr="00682E3D">
        <w:rPr>
          <w:sz w:val="22"/>
        </w:rPr>
        <w:t>.</w:t>
      </w:r>
      <w:r w:rsidRPr="00682E3D">
        <w:rPr>
          <w:sz w:val="22"/>
        </w:rPr>
        <w:t xml:space="preserve"> </w:t>
      </w:r>
      <w:r>
        <w:rPr>
          <w:sz w:val="22"/>
        </w:rPr>
        <w:t xml:space="preserve">       </w:t>
      </w:r>
    </w:p>
    <w:p w:rsidR="0041472F" w:rsidRPr="00557237" w:rsidRDefault="0041472F" w:rsidP="0041472F">
      <w:pPr>
        <w:tabs>
          <w:tab w:val="left" w:pos="7935"/>
        </w:tabs>
        <w:spacing w:before="0"/>
        <w:jc w:val="center"/>
        <w:rPr>
          <w:b/>
          <w:color w:val="1B5068"/>
          <w:sz w:val="22"/>
        </w:rPr>
      </w:pPr>
      <w:r>
        <w:rPr>
          <w:b/>
          <w:color w:val="1B5068"/>
          <w:sz w:val="22"/>
        </w:rPr>
        <w:lastRenderedPageBreak/>
        <w:t>Graph 1</w:t>
      </w:r>
    </w:p>
    <w:p w:rsidR="0041472F" w:rsidRPr="0041472F" w:rsidRDefault="0041472F" w:rsidP="0041472F">
      <w:pPr>
        <w:tabs>
          <w:tab w:val="left" w:pos="7935"/>
        </w:tabs>
        <w:jc w:val="center"/>
        <w:rPr>
          <w:sz w:val="22"/>
        </w:rPr>
      </w:pPr>
      <w:r w:rsidRPr="00470B02">
        <w:rPr>
          <w:noProof/>
          <w:lang w:eastAsia="en-ZA"/>
        </w:rPr>
        <w:drawing>
          <wp:inline distT="0" distB="0" distL="0" distR="0" wp14:anchorId="0E15E449" wp14:editId="78E372BF">
            <wp:extent cx="4644000" cy="2869200"/>
            <wp:effectExtent l="0" t="0" r="444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44000" cy="2869200"/>
                    </a:xfrm>
                    <a:prstGeom prst="rect">
                      <a:avLst/>
                    </a:prstGeom>
                    <a:noFill/>
                    <a:ln>
                      <a:noFill/>
                    </a:ln>
                  </pic:spPr>
                </pic:pic>
              </a:graphicData>
            </a:graphic>
          </wp:inline>
        </w:drawing>
      </w:r>
    </w:p>
    <w:p w:rsidR="00A7065B" w:rsidRPr="00E235AC" w:rsidRDefault="00A7065B" w:rsidP="00E235AC">
      <w:pPr>
        <w:pStyle w:val="source"/>
        <w:spacing w:after="120"/>
        <w:ind w:left="851" w:right="851"/>
        <w:rPr>
          <w:sz w:val="18"/>
          <w:szCs w:val="18"/>
        </w:rPr>
      </w:pPr>
      <w:r w:rsidRPr="00E235AC">
        <w:rPr>
          <w:i/>
          <w:sz w:val="18"/>
          <w:szCs w:val="18"/>
        </w:rPr>
        <w:t xml:space="preserve">Source: </w:t>
      </w:r>
      <w:r w:rsidRPr="00E235AC">
        <w:rPr>
          <w:sz w:val="18"/>
          <w:szCs w:val="18"/>
        </w:rPr>
        <w:t xml:space="preserve">Calculated from Statistics South Africa. </w:t>
      </w:r>
      <w:r w:rsidR="005C03AB" w:rsidRPr="00E235AC">
        <w:rPr>
          <w:sz w:val="18"/>
          <w:szCs w:val="18"/>
        </w:rPr>
        <w:t xml:space="preserve">GDP </w:t>
      </w:r>
      <w:r w:rsidR="005C03AB">
        <w:rPr>
          <w:sz w:val="18"/>
          <w:szCs w:val="18"/>
        </w:rPr>
        <w:t>(Quarterly) (2016Q1)</w:t>
      </w:r>
      <w:r w:rsidRPr="00E235AC">
        <w:rPr>
          <w:sz w:val="18"/>
          <w:szCs w:val="18"/>
        </w:rPr>
        <w:t xml:space="preserve">. Excel database. Series on GDP in constant rand. Downloaded from </w:t>
      </w:r>
      <w:hyperlink r:id="rId14" w:history="1">
        <w:r w:rsidRPr="00E235AC">
          <w:rPr>
            <w:rStyle w:val="Hyperlink"/>
            <w:color w:val="auto"/>
            <w:sz w:val="18"/>
            <w:szCs w:val="18"/>
            <w:u w:val="none"/>
          </w:rPr>
          <w:t>www.statssa.gov.za</w:t>
        </w:r>
      </w:hyperlink>
      <w:r w:rsidRPr="00E235AC">
        <w:rPr>
          <w:sz w:val="18"/>
          <w:szCs w:val="18"/>
        </w:rPr>
        <w:t xml:space="preserve"> in June 2016.</w:t>
      </w:r>
    </w:p>
    <w:p w:rsidR="00F2758A" w:rsidRPr="00557237" w:rsidRDefault="00F2758A" w:rsidP="00F2758A">
      <w:pPr>
        <w:tabs>
          <w:tab w:val="left" w:pos="7935"/>
        </w:tabs>
        <w:spacing w:before="0"/>
        <w:jc w:val="center"/>
        <w:rPr>
          <w:b/>
          <w:color w:val="1B5068"/>
          <w:sz w:val="22"/>
        </w:rPr>
      </w:pPr>
      <w:r>
        <w:rPr>
          <w:b/>
          <w:color w:val="1B5068"/>
          <w:sz w:val="22"/>
        </w:rPr>
        <w:t xml:space="preserve">Graph </w:t>
      </w:r>
      <w:r w:rsidR="00E235AC">
        <w:rPr>
          <w:b/>
          <w:color w:val="1B5068"/>
          <w:sz w:val="22"/>
        </w:rPr>
        <w:t>2</w:t>
      </w:r>
    </w:p>
    <w:p w:rsidR="00E235AC" w:rsidRDefault="00A7065B" w:rsidP="00E235AC">
      <w:pPr>
        <w:pStyle w:val="source"/>
        <w:spacing w:after="120"/>
        <w:ind w:left="567" w:right="567"/>
        <w:jc w:val="center"/>
        <w:rPr>
          <w:i/>
          <w:sz w:val="18"/>
          <w:szCs w:val="18"/>
        </w:rPr>
      </w:pPr>
      <w:r w:rsidRPr="00A7065B">
        <w:rPr>
          <w:noProof/>
          <w:lang w:eastAsia="en-ZA"/>
        </w:rPr>
        <w:drawing>
          <wp:inline distT="0" distB="0" distL="0" distR="0" wp14:anchorId="5C113A61" wp14:editId="1BF99260">
            <wp:extent cx="4644000" cy="211680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44000" cy="2116800"/>
                    </a:xfrm>
                    <a:prstGeom prst="rect">
                      <a:avLst/>
                    </a:prstGeom>
                    <a:noFill/>
                    <a:ln>
                      <a:noFill/>
                    </a:ln>
                  </pic:spPr>
                </pic:pic>
              </a:graphicData>
            </a:graphic>
          </wp:inline>
        </w:drawing>
      </w:r>
    </w:p>
    <w:p w:rsidR="00A7065B" w:rsidRDefault="00A7065B" w:rsidP="00E235AC">
      <w:pPr>
        <w:pStyle w:val="source"/>
        <w:spacing w:after="120"/>
        <w:ind w:left="851" w:right="851"/>
      </w:pPr>
      <w:r w:rsidRPr="00E235AC">
        <w:rPr>
          <w:i/>
          <w:sz w:val="18"/>
          <w:szCs w:val="18"/>
        </w:rPr>
        <w:t xml:space="preserve">Source: </w:t>
      </w:r>
      <w:r w:rsidRPr="00E235AC">
        <w:rPr>
          <w:sz w:val="18"/>
          <w:szCs w:val="18"/>
        </w:rPr>
        <w:t xml:space="preserve">Calculated from Statistics South Africa. GDP </w:t>
      </w:r>
      <w:r w:rsidR="005C03AB">
        <w:rPr>
          <w:sz w:val="18"/>
          <w:szCs w:val="18"/>
        </w:rPr>
        <w:t>(Quarterly) (2016Q1).</w:t>
      </w:r>
      <w:r w:rsidRPr="00E235AC">
        <w:rPr>
          <w:sz w:val="18"/>
          <w:szCs w:val="18"/>
        </w:rPr>
        <w:t xml:space="preserve"> Excel database. Series on GDP in constant rand, seasonally adjusted. Downloaded from </w:t>
      </w:r>
      <w:hyperlink r:id="rId16" w:history="1">
        <w:r w:rsidRPr="00E235AC">
          <w:rPr>
            <w:rStyle w:val="Hyperlink"/>
            <w:color w:val="auto"/>
            <w:sz w:val="18"/>
            <w:szCs w:val="18"/>
            <w:u w:val="none"/>
          </w:rPr>
          <w:t>www.statssa.gov.za</w:t>
        </w:r>
      </w:hyperlink>
      <w:r w:rsidRPr="00E235AC">
        <w:rPr>
          <w:sz w:val="18"/>
          <w:szCs w:val="18"/>
        </w:rPr>
        <w:t xml:space="preserve"> in June 2016.</w:t>
      </w:r>
      <w:r w:rsidR="005C03AB" w:rsidRPr="005C03AB">
        <w:rPr>
          <w:rFonts w:ascii="Calibri" w:hAnsi="Calibri"/>
          <w:color w:val="1F497D"/>
          <w:sz w:val="22"/>
          <w:szCs w:val="22"/>
          <w:shd w:val="clear" w:color="auto" w:fill="FFFFFF"/>
        </w:rPr>
        <w:t xml:space="preserve"> </w:t>
      </w:r>
    </w:p>
    <w:p w:rsidR="00E235AC" w:rsidRPr="00A7065B" w:rsidRDefault="00E235AC" w:rsidP="00E235AC">
      <w:pPr>
        <w:tabs>
          <w:tab w:val="left" w:pos="7935"/>
        </w:tabs>
        <w:spacing w:before="0"/>
        <w:jc w:val="center"/>
      </w:pPr>
      <w:r>
        <w:rPr>
          <w:b/>
          <w:color w:val="1B5068"/>
          <w:sz w:val="22"/>
        </w:rPr>
        <w:t>Graph 3</w:t>
      </w:r>
    </w:p>
    <w:p w:rsidR="00934F0B" w:rsidRPr="00A55C40" w:rsidRDefault="00A7065B" w:rsidP="00E235AC">
      <w:pPr>
        <w:pStyle w:val="charts"/>
        <w:jc w:val="center"/>
      </w:pPr>
      <w:r w:rsidRPr="00A7065B">
        <w:rPr>
          <w:noProof/>
          <w:lang w:eastAsia="en-ZA"/>
        </w:rPr>
        <w:drawing>
          <wp:inline distT="0" distB="0" distL="0" distR="0" wp14:anchorId="07C54382" wp14:editId="35BB8434">
            <wp:extent cx="4644000" cy="217800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44000" cy="2178000"/>
                    </a:xfrm>
                    <a:prstGeom prst="rect">
                      <a:avLst/>
                    </a:prstGeom>
                    <a:noFill/>
                    <a:ln>
                      <a:noFill/>
                    </a:ln>
                  </pic:spPr>
                </pic:pic>
              </a:graphicData>
            </a:graphic>
          </wp:inline>
        </w:drawing>
      </w:r>
    </w:p>
    <w:p w:rsidR="00934F0B" w:rsidRPr="00E235AC" w:rsidRDefault="00934F0B" w:rsidP="00A66BA2">
      <w:pPr>
        <w:pStyle w:val="source"/>
        <w:ind w:left="851"/>
        <w:rPr>
          <w:sz w:val="18"/>
          <w:szCs w:val="18"/>
        </w:rPr>
      </w:pPr>
      <w:r w:rsidRPr="00E235AC">
        <w:rPr>
          <w:i/>
          <w:sz w:val="18"/>
          <w:szCs w:val="18"/>
        </w:rPr>
        <w:t xml:space="preserve">Notes: </w:t>
      </w:r>
      <w:r w:rsidRPr="00E235AC">
        <w:rPr>
          <w:sz w:val="18"/>
          <w:szCs w:val="18"/>
        </w:rPr>
        <w:t xml:space="preserve">(a) Deflated with CPI. </w:t>
      </w:r>
      <w:r w:rsidRPr="00E235AC">
        <w:rPr>
          <w:i/>
          <w:sz w:val="18"/>
          <w:szCs w:val="18"/>
        </w:rPr>
        <w:t xml:space="preserve">Source: </w:t>
      </w:r>
      <w:r w:rsidRPr="00E235AC">
        <w:rPr>
          <w:sz w:val="18"/>
          <w:szCs w:val="18"/>
        </w:rPr>
        <w:t xml:space="preserve">Statistics South Africa. Manufacturing production and sales. </w:t>
      </w:r>
      <w:r w:rsidR="00A66BA2">
        <w:rPr>
          <w:sz w:val="18"/>
          <w:szCs w:val="18"/>
        </w:rPr>
        <w:br/>
      </w:r>
      <w:r w:rsidRPr="00E235AC">
        <w:rPr>
          <w:sz w:val="18"/>
          <w:szCs w:val="18"/>
        </w:rPr>
        <w:t xml:space="preserve">Series on actual sales. Excel database downloaded from </w:t>
      </w:r>
      <w:hyperlink r:id="rId18" w:history="1">
        <w:r w:rsidRPr="00E235AC">
          <w:rPr>
            <w:rStyle w:val="Hyperlink"/>
            <w:color w:val="auto"/>
            <w:sz w:val="18"/>
            <w:szCs w:val="18"/>
            <w:u w:val="none"/>
          </w:rPr>
          <w:t>www.statssa.gov.za</w:t>
        </w:r>
      </w:hyperlink>
      <w:r w:rsidRPr="00E235AC">
        <w:rPr>
          <w:sz w:val="18"/>
          <w:szCs w:val="18"/>
        </w:rPr>
        <w:t xml:space="preserve"> in June 2016.</w:t>
      </w:r>
      <w:r w:rsidR="00A66BA2">
        <w:rPr>
          <w:sz w:val="18"/>
          <w:szCs w:val="18"/>
        </w:rPr>
        <w:t xml:space="preserve">                                 </w:t>
      </w:r>
      <w:r w:rsidR="00A66BA2" w:rsidRPr="00A66BA2">
        <w:rPr>
          <w:b/>
          <w:sz w:val="22"/>
          <w:szCs w:val="22"/>
        </w:rPr>
        <w:t xml:space="preserve">2  </w:t>
      </w:r>
      <w:r w:rsidR="00A66BA2">
        <w:rPr>
          <w:sz w:val="18"/>
          <w:szCs w:val="18"/>
        </w:rPr>
        <w:t xml:space="preserve">                                               </w:t>
      </w:r>
    </w:p>
    <w:p w:rsidR="000274F5" w:rsidRPr="009D501A" w:rsidRDefault="000274F5" w:rsidP="000274F5">
      <w:pPr>
        <w:spacing w:before="0" w:after="120" w:line="264" w:lineRule="auto"/>
        <w:ind w:left="567" w:right="567"/>
        <w:jc w:val="both"/>
      </w:pPr>
      <w:r>
        <w:rPr>
          <w:b/>
          <w:color w:val="1B5468"/>
          <w:sz w:val="28"/>
          <w:szCs w:val="28"/>
        </w:rPr>
        <w:lastRenderedPageBreak/>
        <w:t>Employment</w:t>
      </w:r>
    </w:p>
    <w:p w:rsidR="00C34787" w:rsidRDefault="00C34787" w:rsidP="000274F5">
      <w:pPr>
        <w:tabs>
          <w:tab w:val="left" w:pos="7935"/>
        </w:tabs>
        <w:spacing w:before="0" w:after="120" w:line="264" w:lineRule="auto"/>
        <w:ind w:left="567" w:right="567"/>
        <w:jc w:val="both"/>
        <w:rPr>
          <w:b/>
          <w:sz w:val="22"/>
        </w:rPr>
      </w:pPr>
      <w:r w:rsidRPr="000274F5">
        <w:rPr>
          <w:b/>
          <w:sz w:val="22"/>
        </w:rPr>
        <w:t xml:space="preserve">NOTE: Due to changes to the master sample used in the QLFS, employment data for the </w:t>
      </w:r>
      <w:r w:rsidR="007A0BDE">
        <w:rPr>
          <w:b/>
          <w:sz w:val="22"/>
        </w:rPr>
        <w:t>f</w:t>
      </w:r>
      <w:r w:rsidR="000274F5">
        <w:rPr>
          <w:b/>
          <w:sz w:val="22"/>
        </w:rPr>
        <w:t>irst</w:t>
      </w:r>
      <w:r w:rsidRPr="000274F5">
        <w:rPr>
          <w:b/>
          <w:sz w:val="22"/>
        </w:rPr>
        <w:t xml:space="preserve"> </w:t>
      </w:r>
      <w:r w:rsidR="007A0BDE">
        <w:rPr>
          <w:b/>
          <w:sz w:val="22"/>
        </w:rPr>
        <w:t>q</w:t>
      </w:r>
      <w:r w:rsidRPr="000274F5">
        <w:rPr>
          <w:b/>
          <w:sz w:val="22"/>
        </w:rPr>
        <w:t xml:space="preserve">uarter may include some temporary distortions. While the general direction of employment (jobs losses) is </w:t>
      </w:r>
      <w:r w:rsidRPr="007A0BDE">
        <w:rPr>
          <w:b/>
          <w:sz w:val="22"/>
        </w:rPr>
        <w:t xml:space="preserve">likely accurate, the exact figures may not be as accurate as other quarters. </w:t>
      </w:r>
      <w:r w:rsidR="007A0BDE" w:rsidRPr="007A0BDE">
        <w:rPr>
          <w:b/>
          <w:sz w:val="22"/>
        </w:rPr>
        <w:t>For m</w:t>
      </w:r>
      <w:r w:rsidRPr="007A0BDE">
        <w:rPr>
          <w:b/>
          <w:sz w:val="22"/>
        </w:rPr>
        <w:t>ore information</w:t>
      </w:r>
      <w:r w:rsidR="007A0BDE">
        <w:rPr>
          <w:b/>
          <w:sz w:val="22"/>
        </w:rPr>
        <w:t>,</w:t>
      </w:r>
      <w:r w:rsidRPr="007A0BDE">
        <w:rPr>
          <w:b/>
          <w:sz w:val="22"/>
        </w:rPr>
        <w:t xml:space="preserve"> </w:t>
      </w:r>
      <w:r w:rsidR="007A0BDE" w:rsidRPr="007A0BDE">
        <w:rPr>
          <w:b/>
          <w:sz w:val="22"/>
        </w:rPr>
        <w:t xml:space="preserve">see TIPS Policy Brief: </w:t>
      </w:r>
      <w:hyperlink r:id="rId19" w:history="1">
        <w:r w:rsidR="007A0BDE" w:rsidRPr="00C51359">
          <w:rPr>
            <w:rStyle w:val="Hyperlink"/>
            <w:b/>
            <w:i/>
            <w:color w:val="auto"/>
            <w:sz w:val="22"/>
            <w:u w:val="none"/>
          </w:rPr>
          <w:t>The jobs bloodbath that wasn’t – What happened to employment in the first quarter of 2</w:t>
        </w:r>
        <w:r w:rsidR="007A0BDE" w:rsidRPr="00C51359">
          <w:rPr>
            <w:rStyle w:val="Hyperlink"/>
            <w:b/>
            <w:color w:val="auto"/>
            <w:sz w:val="22"/>
            <w:u w:val="none"/>
          </w:rPr>
          <w:t>016</w:t>
        </w:r>
      </w:hyperlink>
      <w:r w:rsidR="007A0BDE" w:rsidRPr="007A0BDE">
        <w:rPr>
          <w:b/>
          <w:sz w:val="22"/>
        </w:rPr>
        <w:t xml:space="preserve"> (available at </w:t>
      </w:r>
      <w:hyperlink r:id="rId20" w:history="1">
        <w:r w:rsidR="007A0BDE" w:rsidRPr="007A0BDE">
          <w:rPr>
            <w:rStyle w:val="Hyperlink"/>
            <w:b/>
            <w:color w:val="auto"/>
            <w:sz w:val="22"/>
            <w:u w:val="none"/>
          </w:rPr>
          <w:t>www.tips.org.za</w:t>
        </w:r>
      </w:hyperlink>
      <w:r w:rsidR="007A0BDE" w:rsidRPr="007A0BDE">
        <w:rPr>
          <w:b/>
          <w:sz w:val="22"/>
        </w:rPr>
        <w:t xml:space="preserve">). </w:t>
      </w:r>
      <w:r w:rsidR="000274F5" w:rsidRPr="007A0BDE">
        <w:rPr>
          <w:b/>
          <w:sz w:val="22"/>
        </w:rPr>
        <w:t xml:space="preserve">For this reason, we </w:t>
      </w:r>
      <w:r w:rsidR="002B169D" w:rsidRPr="007A0BDE">
        <w:rPr>
          <w:b/>
          <w:sz w:val="22"/>
        </w:rPr>
        <w:t>only give data for the year-on-year change in employment by sector, which seems more reliable than the figures for the latest quarterly change.</w:t>
      </w:r>
    </w:p>
    <w:p w:rsidR="002B169D" w:rsidRPr="000274F5" w:rsidRDefault="000274F5" w:rsidP="000274F5">
      <w:pPr>
        <w:tabs>
          <w:tab w:val="left" w:pos="7935"/>
        </w:tabs>
        <w:spacing w:before="0" w:after="120" w:line="264" w:lineRule="auto"/>
        <w:ind w:left="567" w:right="567"/>
        <w:jc w:val="both"/>
        <w:rPr>
          <w:i/>
          <w:sz w:val="22"/>
        </w:rPr>
      </w:pPr>
      <w:r>
        <w:rPr>
          <w:i/>
          <w:sz w:val="22"/>
        </w:rPr>
        <w:t>In year-on-</w:t>
      </w:r>
      <w:r w:rsidR="002B169D" w:rsidRPr="000274F5">
        <w:rPr>
          <w:i/>
          <w:sz w:val="22"/>
        </w:rPr>
        <w:t xml:space="preserve">year terms, employment in the real economy </w:t>
      </w:r>
      <w:r w:rsidR="00C306F0" w:rsidRPr="000274F5">
        <w:rPr>
          <w:i/>
          <w:sz w:val="22"/>
        </w:rPr>
        <w:t>contracted by 2,6%</w:t>
      </w:r>
      <w:r w:rsidR="002B169D" w:rsidRPr="000274F5">
        <w:rPr>
          <w:i/>
          <w:sz w:val="22"/>
        </w:rPr>
        <w:t xml:space="preserve">. In </w:t>
      </w:r>
      <w:r w:rsidR="002B169D" w:rsidRPr="007A0BDE">
        <w:rPr>
          <w:i/>
          <w:sz w:val="22"/>
        </w:rPr>
        <w:t xml:space="preserve">agriculture it reportedly </w:t>
      </w:r>
      <w:r w:rsidR="00C306F0" w:rsidRPr="007A0BDE">
        <w:rPr>
          <w:i/>
          <w:sz w:val="22"/>
        </w:rPr>
        <w:t>shrunk by 1,7% and</w:t>
      </w:r>
      <w:r w:rsidR="002B169D" w:rsidRPr="007A0BDE">
        <w:rPr>
          <w:i/>
          <w:sz w:val="22"/>
        </w:rPr>
        <w:t xml:space="preserve"> in manufacturing</w:t>
      </w:r>
      <w:r w:rsidR="00934F0B" w:rsidRPr="007A0BDE">
        <w:rPr>
          <w:i/>
          <w:sz w:val="22"/>
        </w:rPr>
        <w:t xml:space="preserve"> </w:t>
      </w:r>
      <w:r w:rsidR="00C306F0" w:rsidRPr="007A0BDE">
        <w:rPr>
          <w:i/>
          <w:sz w:val="22"/>
        </w:rPr>
        <w:t>by 7,9%</w:t>
      </w:r>
      <w:r w:rsidR="002B169D" w:rsidRPr="007A0BDE">
        <w:rPr>
          <w:i/>
          <w:sz w:val="22"/>
        </w:rPr>
        <w:t xml:space="preserve">, </w:t>
      </w:r>
      <w:r w:rsidR="00C306F0" w:rsidRPr="007A0BDE">
        <w:rPr>
          <w:i/>
          <w:sz w:val="22"/>
        </w:rPr>
        <w:t>while</w:t>
      </w:r>
      <w:r w:rsidR="002B169D" w:rsidRPr="007A0BDE">
        <w:rPr>
          <w:i/>
          <w:sz w:val="22"/>
        </w:rPr>
        <w:t xml:space="preserve"> construction </w:t>
      </w:r>
      <w:r w:rsidR="00C306F0" w:rsidRPr="007A0BDE">
        <w:rPr>
          <w:i/>
          <w:sz w:val="22"/>
        </w:rPr>
        <w:t xml:space="preserve">saw an </w:t>
      </w:r>
      <w:r w:rsidR="00934F0B" w:rsidRPr="007A0BDE">
        <w:rPr>
          <w:i/>
          <w:sz w:val="22"/>
        </w:rPr>
        <w:t>i</w:t>
      </w:r>
      <w:r w:rsidR="00C306F0" w:rsidRPr="007A0BDE">
        <w:rPr>
          <w:i/>
          <w:sz w:val="22"/>
        </w:rPr>
        <w:t>ncrease of 3%</w:t>
      </w:r>
      <w:r w:rsidR="002B169D" w:rsidRPr="007A0BDE">
        <w:rPr>
          <w:i/>
          <w:sz w:val="22"/>
        </w:rPr>
        <w:t xml:space="preserve">. In the rest of the economy, employment </w:t>
      </w:r>
      <w:r w:rsidR="00C306F0" w:rsidRPr="007A0BDE">
        <w:rPr>
          <w:i/>
          <w:sz w:val="22"/>
        </w:rPr>
        <w:t>expanded by 3%</w:t>
      </w:r>
      <w:r w:rsidR="002B169D" w:rsidRPr="007A0BDE">
        <w:rPr>
          <w:i/>
          <w:sz w:val="22"/>
        </w:rPr>
        <w:t>. In mining, using the employer survey (which is considered more reliable for this sector</w:t>
      </w:r>
      <w:r w:rsidR="00934F0B" w:rsidRPr="007A0BDE">
        <w:rPr>
          <w:i/>
          <w:sz w:val="22"/>
        </w:rPr>
        <w:t>)</w:t>
      </w:r>
      <w:r w:rsidR="002B169D" w:rsidRPr="007A0BDE">
        <w:rPr>
          <w:i/>
          <w:sz w:val="22"/>
        </w:rPr>
        <w:t>, employment</w:t>
      </w:r>
      <w:r w:rsidR="007A0BDE" w:rsidRPr="007A0BDE">
        <w:rPr>
          <w:i/>
          <w:sz w:val="22"/>
        </w:rPr>
        <w:t xml:space="preserve"> fell by 5.9%</w:t>
      </w:r>
      <w:r w:rsidR="002B169D" w:rsidRPr="007A0BDE">
        <w:rPr>
          <w:i/>
          <w:sz w:val="22"/>
        </w:rPr>
        <w:t xml:space="preserve"> from the last quarter of 2014 to the last quarter of 2015.</w:t>
      </w:r>
      <w:r w:rsidR="002B169D" w:rsidRPr="000274F5">
        <w:rPr>
          <w:i/>
          <w:sz w:val="22"/>
        </w:rPr>
        <w:t xml:space="preserve"> </w:t>
      </w:r>
    </w:p>
    <w:p w:rsidR="002B169D" w:rsidRDefault="000274F5" w:rsidP="000274F5">
      <w:pPr>
        <w:spacing w:before="0" w:after="120" w:line="264" w:lineRule="auto"/>
        <w:ind w:left="567" w:right="567"/>
        <w:jc w:val="both"/>
        <w:rPr>
          <w:sz w:val="22"/>
        </w:rPr>
      </w:pPr>
      <w:r>
        <w:rPr>
          <w:sz w:val="22"/>
        </w:rPr>
        <w:t>Graph 4</w:t>
      </w:r>
      <w:r w:rsidR="002B169D" w:rsidRPr="000274F5">
        <w:rPr>
          <w:sz w:val="22"/>
        </w:rPr>
        <w:t xml:space="preserve"> shows the change in employment year on year from the first quarter of 2008 to the first quarter of 2016.</w:t>
      </w:r>
    </w:p>
    <w:p w:rsidR="000274F5" w:rsidRPr="00A7065B" w:rsidRDefault="000274F5" w:rsidP="000274F5">
      <w:pPr>
        <w:tabs>
          <w:tab w:val="left" w:pos="7935"/>
        </w:tabs>
        <w:spacing w:before="0"/>
        <w:jc w:val="center"/>
      </w:pPr>
      <w:r>
        <w:rPr>
          <w:b/>
          <w:color w:val="1B5068"/>
          <w:sz w:val="22"/>
        </w:rPr>
        <w:t>Graph 4</w:t>
      </w:r>
    </w:p>
    <w:p w:rsidR="002B169D" w:rsidRPr="000274F5" w:rsidRDefault="008919B2" w:rsidP="000274F5">
      <w:pPr>
        <w:spacing w:before="0" w:after="120" w:line="264" w:lineRule="auto"/>
        <w:ind w:left="567" w:right="567"/>
        <w:jc w:val="both"/>
        <w:rPr>
          <w:sz w:val="22"/>
        </w:rPr>
      </w:pPr>
      <w:r w:rsidRPr="000274F5">
        <w:rPr>
          <w:noProof/>
          <w:sz w:val="22"/>
          <w:lang w:eastAsia="en-ZA"/>
        </w:rPr>
        <w:drawing>
          <wp:inline distT="0" distB="0" distL="0" distR="0" wp14:anchorId="3DCECCE1" wp14:editId="41969A3F">
            <wp:extent cx="5039297" cy="2486025"/>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47443" cy="2490044"/>
                    </a:xfrm>
                    <a:prstGeom prst="rect">
                      <a:avLst/>
                    </a:prstGeom>
                    <a:noFill/>
                    <a:ln>
                      <a:noFill/>
                    </a:ln>
                  </pic:spPr>
                </pic:pic>
              </a:graphicData>
            </a:graphic>
          </wp:inline>
        </w:drawing>
      </w:r>
    </w:p>
    <w:p w:rsidR="008919B2" w:rsidRPr="000274F5" w:rsidRDefault="008919B2" w:rsidP="000274F5">
      <w:pPr>
        <w:pStyle w:val="source"/>
        <w:spacing w:after="120" w:line="264" w:lineRule="auto"/>
        <w:ind w:left="567" w:right="567"/>
        <w:jc w:val="both"/>
        <w:rPr>
          <w:sz w:val="18"/>
          <w:szCs w:val="18"/>
        </w:rPr>
      </w:pPr>
      <w:r w:rsidRPr="000274F5">
        <w:rPr>
          <w:i/>
          <w:sz w:val="18"/>
          <w:szCs w:val="18"/>
        </w:rPr>
        <w:t xml:space="preserve">Source: </w:t>
      </w:r>
      <w:r w:rsidRPr="000274F5">
        <w:rPr>
          <w:sz w:val="18"/>
          <w:szCs w:val="18"/>
        </w:rPr>
        <w:t xml:space="preserve">Statistics South Africa. Quarterly Labour Force Survey. Trends from 2008. Excel spreadsheet. Downloaded in June 2016. </w:t>
      </w:r>
    </w:p>
    <w:p w:rsidR="00213431" w:rsidRDefault="00213431" w:rsidP="000274F5">
      <w:pPr>
        <w:spacing w:before="0" w:after="120" w:line="264" w:lineRule="auto"/>
        <w:ind w:left="567" w:right="567"/>
        <w:jc w:val="both"/>
        <w:rPr>
          <w:sz w:val="22"/>
        </w:rPr>
      </w:pPr>
      <w:r w:rsidRPr="000274F5">
        <w:rPr>
          <w:sz w:val="22"/>
        </w:rPr>
        <w:t>The data indicate continued job losses in manufacturing, continuing a long-term trend from 2008</w:t>
      </w:r>
      <w:r w:rsidR="00137DC9">
        <w:rPr>
          <w:sz w:val="22"/>
        </w:rPr>
        <w:t xml:space="preserve"> (Graph 5)</w:t>
      </w:r>
      <w:r w:rsidRPr="000274F5">
        <w:rPr>
          <w:sz w:val="22"/>
        </w:rPr>
        <w:t xml:space="preserve">. </w:t>
      </w:r>
    </w:p>
    <w:p w:rsidR="00A66BA2" w:rsidRDefault="00137DC9" w:rsidP="00A66BA2">
      <w:pPr>
        <w:spacing w:before="0" w:line="264" w:lineRule="auto"/>
        <w:ind w:left="567" w:right="567"/>
        <w:jc w:val="both"/>
        <w:rPr>
          <w:sz w:val="22"/>
        </w:rPr>
      </w:pPr>
      <w:r w:rsidRPr="000274F5">
        <w:rPr>
          <w:sz w:val="22"/>
        </w:rPr>
        <w:t xml:space="preserve">By subsector within manufacturing, machinery and equipment reportedly experienced the strongest year-on-year employment growth, closely followed by clothing and footwear. In contrast, the metals and basic </w:t>
      </w:r>
      <w:r w:rsidR="007A0BDE">
        <w:rPr>
          <w:sz w:val="22"/>
        </w:rPr>
        <w:t xml:space="preserve">metals </w:t>
      </w:r>
      <w:r w:rsidRPr="000274F5">
        <w:rPr>
          <w:sz w:val="22"/>
        </w:rPr>
        <w:t>products sector reportedly shed 46 000 jobs over the course of the year to date, reflecting the combination of lower export prices for refineries and the challenges in the steel industry. Furthermore, food, beverages and tobacco lost over 50 000 jobs. The sector has been the largest employment generator in manufacturing in recent years, but i</w:t>
      </w:r>
      <w:r w:rsidR="007A0BDE">
        <w:rPr>
          <w:sz w:val="22"/>
        </w:rPr>
        <w:t>t</w:t>
      </w:r>
      <w:r w:rsidRPr="000274F5">
        <w:rPr>
          <w:sz w:val="22"/>
        </w:rPr>
        <w:t xml:space="preserve"> suffered a significant slowdown in the past quarter, presumably due to the drought</w:t>
      </w:r>
      <w:r>
        <w:rPr>
          <w:sz w:val="22"/>
        </w:rPr>
        <w:t xml:space="preserve"> (Graph 6)</w:t>
      </w:r>
      <w:r w:rsidRPr="000274F5">
        <w:rPr>
          <w:sz w:val="22"/>
        </w:rPr>
        <w:t>.</w:t>
      </w:r>
      <w:r w:rsidR="00A66BA2">
        <w:rPr>
          <w:sz w:val="22"/>
        </w:rPr>
        <w:t xml:space="preserve"> </w:t>
      </w:r>
    </w:p>
    <w:p w:rsidR="00A66BA2" w:rsidRPr="00A66BA2" w:rsidRDefault="00A66BA2" w:rsidP="00A66BA2">
      <w:pPr>
        <w:spacing w:before="0" w:line="264" w:lineRule="auto"/>
        <w:ind w:left="567"/>
        <w:jc w:val="both"/>
        <w:rPr>
          <w:b/>
          <w:sz w:val="22"/>
        </w:rPr>
      </w:pPr>
      <w:r>
        <w:rPr>
          <w:b/>
          <w:sz w:val="22"/>
        </w:rPr>
        <w:t xml:space="preserve">                                                                                                                                                                     </w:t>
      </w:r>
      <w:r w:rsidRPr="00A66BA2">
        <w:rPr>
          <w:b/>
          <w:sz w:val="22"/>
        </w:rPr>
        <w:t>3</w:t>
      </w:r>
    </w:p>
    <w:p w:rsidR="00137DC9" w:rsidRPr="00D91606" w:rsidRDefault="00137DC9" w:rsidP="00D91606">
      <w:pPr>
        <w:spacing w:before="0" w:line="264" w:lineRule="auto"/>
        <w:ind w:left="567" w:right="567"/>
        <w:jc w:val="center"/>
        <w:rPr>
          <w:sz w:val="22"/>
        </w:rPr>
      </w:pPr>
      <w:r>
        <w:rPr>
          <w:b/>
          <w:color w:val="1B5068"/>
          <w:sz w:val="22"/>
        </w:rPr>
        <w:lastRenderedPageBreak/>
        <w:t>Graph 5</w:t>
      </w:r>
    </w:p>
    <w:p w:rsidR="004C1DCE" w:rsidRPr="000274F5" w:rsidRDefault="008919B2" w:rsidP="000274F5">
      <w:pPr>
        <w:spacing w:before="0" w:after="120" w:line="264" w:lineRule="auto"/>
        <w:ind w:left="567" w:right="567"/>
        <w:jc w:val="both"/>
        <w:rPr>
          <w:sz w:val="22"/>
        </w:rPr>
      </w:pPr>
      <w:r w:rsidRPr="000274F5">
        <w:rPr>
          <w:noProof/>
          <w:sz w:val="22"/>
          <w:lang w:eastAsia="en-ZA"/>
        </w:rPr>
        <w:drawing>
          <wp:inline distT="0" distB="0" distL="0" distR="0" wp14:anchorId="05D831A6" wp14:editId="51F55A43">
            <wp:extent cx="5040000" cy="2595600"/>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40000" cy="2595600"/>
                    </a:xfrm>
                    <a:prstGeom prst="rect">
                      <a:avLst/>
                    </a:prstGeom>
                    <a:noFill/>
                    <a:ln>
                      <a:noFill/>
                    </a:ln>
                  </pic:spPr>
                </pic:pic>
              </a:graphicData>
            </a:graphic>
          </wp:inline>
        </w:drawing>
      </w:r>
    </w:p>
    <w:p w:rsidR="008919B2" w:rsidRPr="00137DC9" w:rsidRDefault="008919B2" w:rsidP="000274F5">
      <w:pPr>
        <w:pStyle w:val="source"/>
        <w:spacing w:after="120" w:line="264" w:lineRule="auto"/>
        <w:ind w:left="567" w:right="567"/>
        <w:jc w:val="both"/>
        <w:rPr>
          <w:sz w:val="18"/>
          <w:szCs w:val="18"/>
        </w:rPr>
      </w:pPr>
      <w:r w:rsidRPr="00137DC9">
        <w:rPr>
          <w:i/>
          <w:sz w:val="18"/>
          <w:szCs w:val="18"/>
        </w:rPr>
        <w:t xml:space="preserve">Source: </w:t>
      </w:r>
      <w:r w:rsidRPr="00137DC9">
        <w:rPr>
          <w:sz w:val="18"/>
          <w:szCs w:val="18"/>
        </w:rPr>
        <w:t xml:space="preserve">Statistics South Africa. Quarterly Labour Force Survey. Trends from 2008. Excel spreadsheet. Downloaded in June 2016. </w:t>
      </w:r>
    </w:p>
    <w:p w:rsidR="00137DC9" w:rsidRPr="00A7065B" w:rsidRDefault="00137DC9" w:rsidP="00137DC9">
      <w:pPr>
        <w:tabs>
          <w:tab w:val="left" w:pos="7935"/>
        </w:tabs>
        <w:spacing w:before="0"/>
        <w:jc w:val="center"/>
      </w:pPr>
      <w:r>
        <w:rPr>
          <w:b/>
          <w:color w:val="1B5068"/>
          <w:sz w:val="22"/>
        </w:rPr>
        <w:t>Graph 6</w:t>
      </w:r>
    </w:p>
    <w:p w:rsidR="009966D0" w:rsidRDefault="008919B2" w:rsidP="000274F5">
      <w:pPr>
        <w:pStyle w:val="source"/>
        <w:spacing w:after="120" w:line="264" w:lineRule="auto"/>
        <w:ind w:left="567" w:right="567"/>
        <w:rPr>
          <w:sz w:val="18"/>
          <w:szCs w:val="18"/>
        </w:rPr>
      </w:pPr>
      <w:r w:rsidRPr="00137DC9">
        <w:rPr>
          <w:noProof/>
          <w:sz w:val="18"/>
          <w:szCs w:val="18"/>
          <w:lang w:eastAsia="en-ZA"/>
        </w:rPr>
        <w:drawing>
          <wp:inline distT="0" distB="0" distL="0" distR="0" wp14:anchorId="1FDA84D5" wp14:editId="1D26B1CD">
            <wp:extent cx="5040000" cy="3286800"/>
            <wp:effectExtent l="0" t="0" r="8255"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40000" cy="3286800"/>
                    </a:xfrm>
                    <a:prstGeom prst="rect">
                      <a:avLst/>
                    </a:prstGeom>
                    <a:noFill/>
                    <a:ln>
                      <a:noFill/>
                    </a:ln>
                  </pic:spPr>
                </pic:pic>
              </a:graphicData>
            </a:graphic>
          </wp:inline>
        </w:drawing>
      </w:r>
      <w:r w:rsidR="00623F98" w:rsidRPr="00137DC9">
        <w:rPr>
          <w:i/>
          <w:sz w:val="18"/>
          <w:szCs w:val="18"/>
        </w:rPr>
        <w:t xml:space="preserve">Source: </w:t>
      </w:r>
      <w:r w:rsidR="0099368A" w:rsidRPr="00137DC9">
        <w:rPr>
          <w:sz w:val="18"/>
          <w:szCs w:val="18"/>
        </w:rPr>
        <w:t>Calculated</w:t>
      </w:r>
      <w:r w:rsidR="00623F98" w:rsidRPr="00137DC9">
        <w:rPr>
          <w:sz w:val="18"/>
          <w:szCs w:val="18"/>
        </w:rPr>
        <w:t xml:space="preserve"> from Statistics South Africa. Quarterly Labour Force Survey for relevant quarter. Electronic database. Series on industry. </w:t>
      </w:r>
    </w:p>
    <w:p w:rsidR="00137DC9" w:rsidRPr="009D501A" w:rsidRDefault="00137DC9" w:rsidP="00137DC9">
      <w:pPr>
        <w:spacing w:before="240" w:after="120" w:line="264" w:lineRule="auto"/>
        <w:ind w:left="567" w:right="567"/>
        <w:jc w:val="both"/>
      </w:pPr>
      <w:r>
        <w:rPr>
          <w:b/>
          <w:color w:val="1B5468"/>
          <w:sz w:val="28"/>
          <w:szCs w:val="28"/>
        </w:rPr>
        <w:t>Trends in trade</w:t>
      </w:r>
    </w:p>
    <w:p w:rsidR="00A66BA2" w:rsidRDefault="00213431" w:rsidP="00A66BA2">
      <w:pPr>
        <w:tabs>
          <w:tab w:val="left" w:pos="7935"/>
        </w:tabs>
        <w:spacing w:before="0" w:line="264" w:lineRule="auto"/>
        <w:ind w:left="567" w:right="567"/>
        <w:jc w:val="both"/>
        <w:rPr>
          <w:i/>
          <w:sz w:val="22"/>
        </w:rPr>
      </w:pPr>
      <w:r w:rsidRPr="00137DC9">
        <w:rPr>
          <w:i/>
          <w:sz w:val="22"/>
        </w:rPr>
        <w:t>The year to the first quarter of 2016</w:t>
      </w:r>
      <w:r w:rsidR="00514169" w:rsidRPr="00137DC9">
        <w:rPr>
          <w:i/>
          <w:sz w:val="22"/>
        </w:rPr>
        <w:t xml:space="preserve"> saw a continued contraction in exports for both</w:t>
      </w:r>
      <w:r w:rsidR="00623F98" w:rsidRPr="00137DC9">
        <w:rPr>
          <w:i/>
          <w:sz w:val="22"/>
        </w:rPr>
        <w:t xml:space="preserve"> </w:t>
      </w:r>
      <w:r w:rsidR="00514169" w:rsidRPr="00137DC9">
        <w:rPr>
          <w:i/>
          <w:sz w:val="22"/>
        </w:rPr>
        <w:t>manufacturing and mining</w:t>
      </w:r>
      <w:r w:rsidRPr="00137DC9">
        <w:rPr>
          <w:i/>
          <w:sz w:val="22"/>
        </w:rPr>
        <w:t xml:space="preserve"> in dollar terms. In contrast, in </w:t>
      </w:r>
      <w:r w:rsidR="00623F98" w:rsidRPr="00137DC9">
        <w:rPr>
          <w:i/>
          <w:sz w:val="22"/>
        </w:rPr>
        <w:t xml:space="preserve">constant </w:t>
      </w:r>
      <w:r w:rsidRPr="00137DC9">
        <w:rPr>
          <w:i/>
          <w:sz w:val="22"/>
        </w:rPr>
        <w:t xml:space="preserve">rand </w:t>
      </w:r>
      <w:r w:rsidR="006665A8" w:rsidRPr="00137DC9">
        <w:rPr>
          <w:i/>
          <w:sz w:val="22"/>
        </w:rPr>
        <w:t xml:space="preserve">both sectors saw growth, with manufacturing expanding by 4,6% and mining </w:t>
      </w:r>
      <w:r w:rsidR="00623F98" w:rsidRPr="00137DC9">
        <w:rPr>
          <w:i/>
          <w:sz w:val="22"/>
        </w:rPr>
        <w:t xml:space="preserve">by </w:t>
      </w:r>
      <w:r w:rsidR="006665A8" w:rsidRPr="00137DC9">
        <w:rPr>
          <w:i/>
          <w:sz w:val="22"/>
        </w:rPr>
        <w:t xml:space="preserve">0,9%. Despite the drought, agriculture witnessed </w:t>
      </w:r>
      <w:r w:rsidR="00623F98" w:rsidRPr="00137DC9">
        <w:rPr>
          <w:i/>
          <w:sz w:val="22"/>
        </w:rPr>
        <w:t xml:space="preserve">only </w:t>
      </w:r>
      <w:r w:rsidR="006665A8" w:rsidRPr="00137DC9">
        <w:rPr>
          <w:i/>
          <w:sz w:val="22"/>
        </w:rPr>
        <w:t xml:space="preserve">a </w:t>
      </w:r>
      <w:r w:rsidR="00623F98" w:rsidRPr="00137DC9">
        <w:rPr>
          <w:i/>
          <w:sz w:val="22"/>
        </w:rPr>
        <w:t xml:space="preserve">relatively </w:t>
      </w:r>
      <w:r w:rsidR="006665A8" w:rsidRPr="00137DC9">
        <w:rPr>
          <w:i/>
          <w:sz w:val="22"/>
        </w:rPr>
        <w:t xml:space="preserve">mild dollar contraction of 6,5% and strong </w:t>
      </w:r>
      <w:r w:rsidR="000451A4" w:rsidRPr="00137DC9">
        <w:rPr>
          <w:i/>
          <w:sz w:val="22"/>
        </w:rPr>
        <w:t>r</w:t>
      </w:r>
      <w:r w:rsidR="006665A8" w:rsidRPr="00137DC9">
        <w:rPr>
          <w:i/>
          <w:sz w:val="22"/>
        </w:rPr>
        <w:t>and</w:t>
      </w:r>
      <w:r w:rsidR="000451A4" w:rsidRPr="00137DC9">
        <w:rPr>
          <w:i/>
          <w:sz w:val="22"/>
        </w:rPr>
        <w:t>-</w:t>
      </w:r>
      <w:r w:rsidR="006665A8" w:rsidRPr="00137DC9">
        <w:rPr>
          <w:i/>
          <w:sz w:val="22"/>
        </w:rPr>
        <w:t xml:space="preserve">denominated growth of 19%. </w:t>
      </w:r>
    </w:p>
    <w:p w:rsidR="009D5249" w:rsidRPr="00A66BA2" w:rsidRDefault="00A66BA2" w:rsidP="00A66BA2">
      <w:pPr>
        <w:tabs>
          <w:tab w:val="left" w:pos="7935"/>
        </w:tabs>
        <w:spacing w:before="0" w:line="264" w:lineRule="auto"/>
        <w:ind w:left="567"/>
        <w:jc w:val="both"/>
        <w:rPr>
          <w:b/>
          <w:i/>
          <w:sz w:val="22"/>
        </w:rPr>
      </w:pPr>
      <w:r w:rsidRPr="00A66BA2">
        <w:rPr>
          <w:b/>
          <w:i/>
          <w:sz w:val="22"/>
        </w:rPr>
        <w:t xml:space="preserve">                           </w:t>
      </w:r>
      <w:r>
        <w:rPr>
          <w:b/>
          <w:i/>
          <w:sz w:val="22"/>
        </w:rPr>
        <w:t xml:space="preserve">                                                                                                                                          </w:t>
      </w:r>
      <w:r w:rsidRPr="00A66BA2">
        <w:rPr>
          <w:b/>
          <w:sz w:val="22"/>
        </w:rPr>
        <w:t>4</w:t>
      </w:r>
      <w:r w:rsidR="00213431" w:rsidRPr="00A66BA2">
        <w:rPr>
          <w:b/>
          <w:i/>
          <w:sz w:val="22"/>
        </w:rPr>
        <w:t xml:space="preserve"> </w:t>
      </w:r>
    </w:p>
    <w:p w:rsidR="00623F98" w:rsidRPr="00137DC9" w:rsidRDefault="001208D8" w:rsidP="00137DC9">
      <w:pPr>
        <w:tabs>
          <w:tab w:val="left" w:pos="7935"/>
        </w:tabs>
        <w:spacing w:before="0" w:after="120" w:line="264" w:lineRule="auto"/>
        <w:ind w:left="567" w:right="567"/>
        <w:jc w:val="both"/>
        <w:rPr>
          <w:sz w:val="22"/>
        </w:rPr>
      </w:pPr>
      <w:r w:rsidRPr="00137DC9">
        <w:rPr>
          <w:sz w:val="22"/>
        </w:rPr>
        <w:lastRenderedPageBreak/>
        <w:t xml:space="preserve">The year to </w:t>
      </w:r>
      <w:r w:rsidR="00623F98" w:rsidRPr="00137DC9">
        <w:rPr>
          <w:sz w:val="22"/>
        </w:rPr>
        <w:t xml:space="preserve">the first quarter </w:t>
      </w:r>
      <w:r w:rsidRPr="00137DC9">
        <w:rPr>
          <w:sz w:val="22"/>
        </w:rPr>
        <w:t>of 2016 saw a continued contraction in exports</w:t>
      </w:r>
      <w:r w:rsidR="00623F98" w:rsidRPr="00137DC9">
        <w:rPr>
          <w:sz w:val="22"/>
        </w:rPr>
        <w:t xml:space="preserve"> in dollar terms. Still, it again </w:t>
      </w:r>
      <w:r w:rsidRPr="00137DC9">
        <w:rPr>
          <w:sz w:val="22"/>
        </w:rPr>
        <w:t xml:space="preserve">demonstrated the importance of continued protection </w:t>
      </w:r>
      <w:r w:rsidR="00623F98" w:rsidRPr="00137DC9">
        <w:rPr>
          <w:sz w:val="22"/>
        </w:rPr>
        <w:t xml:space="preserve">from </w:t>
      </w:r>
      <w:r w:rsidRPr="00137DC9">
        <w:rPr>
          <w:sz w:val="22"/>
        </w:rPr>
        <w:t xml:space="preserve">the weaker </w:t>
      </w:r>
      <w:r w:rsidR="000451A4" w:rsidRPr="00137DC9">
        <w:rPr>
          <w:sz w:val="22"/>
        </w:rPr>
        <w:t>r</w:t>
      </w:r>
      <w:r w:rsidR="00623F98" w:rsidRPr="00137DC9">
        <w:rPr>
          <w:sz w:val="22"/>
        </w:rPr>
        <w:t>and, which saw all the productive sector</w:t>
      </w:r>
      <w:r w:rsidRPr="00137DC9">
        <w:rPr>
          <w:sz w:val="22"/>
        </w:rPr>
        <w:t>s post</w:t>
      </w:r>
      <w:r w:rsidR="00623F98" w:rsidRPr="00137DC9">
        <w:rPr>
          <w:sz w:val="22"/>
        </w:rPr>
        <w:t>ing</w:t>
      </w:r>
      <w:r w:rsidRPr="00137DC9">
        <w:rPr>
          <w:sz w:val="22"/>
        </w:rPr>
        <w:t xml:space="preserve"> increases in </w:t>
      </w:r>
      <w:r w:rsidR="000451A4" w:rsidRPr="00137DC9">
        <w:rPr>
          <w:sz w:val="22"/>
        </w:rPr>
        <w:t>r</w:t>
      </w:r>
      <w:r w:rsidRPr="00137DC9">
        <w:rPr>
          <w:sz w:val="22"/>
        </w:rPr>
        <w:t>and exports.</w:t>
      </w:r>
      <w:r w:rsidR="00081DAC" w:rsidRPr="00137DC9">
        <w:rPr>
          <w:sz w:val="22"/>
        </w:rPr>
        <w:t xml:space="preserve"> </w:t>
      </w:r>
    </w:p>
    <w:p w:rsidR="001208D8" w:rsidRDefault="00623F98" w:rsidP="00137DC9">
      <w:pPr>
        <w:tabs>
          <w:tab w:val="left" w:pos="7935"/>
        </w:tabs>
        <w:spacing w:before="0" w:after="120" w:line="264" w:lineRule="auto"/>
        <w:ind w:left="567" w:right="567"/>
        <w:jc w:val="both"/>
        <w:rPr>
          <w:sz w:val="22"/>
        </w:rPr>
      </w:pPr>
      <w:r w:rsidRPr="00137DC9">
        <w:rPr>
          <w:sz w:val="22"/>
        </w:rPr>
        <w:t>Manufacturing continued</w:t>
      </w:r>
      <w:r w:rsidR="00081DAC" w:rsidRPr="00137DC9">
        <w:rPr>
          <w:sz w:val="22"/>
        </w:rPr>
        <w:t xml:space="preserve"> its recent export growth</w:t>
      </w:r>
      <w:r w:rsidR="000451A4" w:rsidRPr="00137DC9">
        <w:rPr>
          <w:sz w:val="22"/>
        </w:rPr>
        <w:t xml:space="preserve"> in rand terms</w:t>
      </w:r>
      <w:r w:rsidR="006F6633" w:rsidRPr="00137DC9">
        <w:rPr>
          <w:sz w:val="22"/>
        </w:rPr>
        <w:t>, posting a 5% expansion</w:t>
      </w:r>
      <w:r w:rsidR="0067239A" w:rsidRPr="00137DC9">
        <w:rPr>
          <w:sz w:val="22"/>
        </w:rPr>
        <w:t xml:space="preserve">. The growth </w:t>
      </w:r>
      <w:r w:rsidRPr="00137DC9">
        <w:rPr>
          <w:sz w:val="22"/>
        </w:rPr>
        <w:t xml:space="preserve">came </w:t>
      </w:r>
      <w:r w:rsidR="0067239A" w:rsidRPr="00137DC9">
        <w:rPr>
          <w:sz w:val="22"/>
        </w:rPr>
        <w:t xml:space="preserve">in spite of a continued decline in the metals industry, manufacturing’s largest export sector, which saw dollar declines of 19,5% softened to marginal </w:t>
      </w:r>
      <w:r w:rsidR="000451A4" w:rsidRPr="00137DC9">
        <w:rPr>
          <w:sz w:val="22"/>
        </w:rPr>
        <w:t>r</w:t>
      </w:r>
      <w:r w:rsidR="0067239A" w:rsidRPr="00137DC9">
        <w:rPr>
          <w:sz w:val="22"/>
        </w:rPr>
        <w:t>and growth of 2,9%</w:t>
      </w:r>
      <w:r w:rsidR="00CD734A">
        <w:rPr>
          <w:sz w:val="22"/>
        </w:rPr>
        <w:t xml:space="preserve"> Graph 7)</w:t>
      </w:r>
      <w:r w:rsidR="0067239A" w:rsidRPr="00137DC9">
        <w:rPr>
          <w:sz w:val="22"/>
        </w:rPr>
        <w:t>.</w:t>
      </w:r>
    </w:p>
    <w:p w:rsidR="00137DC9" w:rsidRPr="00A7065B" w:rsidRDefault="00137DC9" w:rsidP="00137DC9">
      <w:pPr>
        <w:tabs>
          <w:tab w:val="left" w:pos="7935"/>
        </w:tabs>
        <w:spacing w:before="0"/>
        <w:jc w:val="center"/>
      </w:pPr>
      <w:r>
        <w:rPr>
          <w:b/>
          <w:color w:val="1B5068"/>
          <w:sz w:val="22"/>
        </w:rPr>
        <w:t>Graph 7</w:t>
      </w:r>
    </w:p>
    <w:p w:rsidR="009C0BDD" w:rsidRDefault="006665A8" w:rsidP="00A66BA2">
      <w:pPr>
        <w:tabs>
          <w:tab w:val="left" w:pos="7935"/>
        </w:tabs>
        <w:spacing w:before="80"/>
        <w:jc w:val="center"/>
      </w:pPr>
      <w:r>
        <w:rPr>
          <w:noProof/>
          <w:lang w:eastAsia="en-ZA"/>
        </w:rPr>
        <w:drawing>
          <wp:inline distT="0" distB="0" distL="0" distR="0" wp14:anchorId="704AB6E8" wp14:editId="7D57D5F8">
            <wp:extent cx="5040000" cy="2912400"/>
            <wp:effectExtent l="0" t="0" r="8255"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40000" cy="2912400"/>
                    </a:xfrm>
                    <a:prstGeom prst="rect">
                      <a:avLst/>
                    </a:prstGeom>
                    <a:noFill/>
                  </pic:spPr>
                </pic:pic>
              </a:graphicData>
            </a:graphic>
          </wp:inline>
        </w:drawing>
      </w:r>
    </w:p>
    <w:p w:rsidR="00137DC9" w:rsidRPr="0027200A" w:rsidRDefault="00137DC9" w:rsidP="00A66BA2">
      <w:pPr>
        <w:tabs>
          <w:tab w:val="left" w:pos="7935"/>
        </w:tabs>
        <w:ind w:left="567" w:right="567"/>
        <w:jc w:val="both"/>
        <w:rPr>
          <w:i/>
          <w:sz w:val="18"/>
          <w:szCs w:val="18"/>
        </w:rPr>
      </w:pPr>
      <w:r w:rsidRPr="0027200A">
        <w:rPr>
          <w:i/>
          <w:sz w:val="18"/>
          <w:szCs w:val="18"/>
        </w:rPr>
        <w:t>Source:</w:t>
      </w:r>
      <w:r w:rsidR="0027200A" w:rsidRPr="0027200A">
        <w:rPr>
          <w:i/>
          <w:sz w:val="18"/>
          <w:szCs w:val="18"/>
        </w:rPr>
        <w:t xml:space="preserve"> </w:t>
      </w:r>
      <w:r w:rsidR="0027200A" w:rsidRPr="0027200A">
        <w:rPr>
          <w:rFonts w:cs="Arial"/>
          <w:color w:val="000000"/>
          <w:sz w:val="18"/>
          <w:szCs w:val="18"/>
          <w:shd w:val="clear" w:color="auto" w:fill="FFFFFF"/>
        </w:rPr>
        <w:t>South African Revenue Service, Merchandise Trade Statistics for relevant periods</w:t>
      </w:r>
      <w:r w:rsidRPr="0027200A">
        <w:rPr>
          <w:i/>
          <w:sz w:val="18"/>
          <w:szCs w:val="18"/>
        </w:rPr>
        <w:t xml:space="preserve"> </w:t>
      </w:r>
    </w:p>
    <w:p w:rsidR="00BA420E" w:rsidRDefault="009C188C" w:rsidP="00137DC9">
      <w:pPr>
        <w:tabs>
          <w:tab w:val="left" w:pos="7935"/>
        </w:tabs>
        <w:ind w:left="567" w:right="567"/>
        <w:jc w:val="both"/>
        <w:rPr>
          <w:noProof/>
          <w:sz w:val="22"/>
          <w:lang w:eastAsia="en-ZA"/>
        </w:rPr>
      </w:pPr>
      <w:r w:rsidRPr="00137DC9">
        <w:rPr>
          <w:noProof/>
          <w:sz w:val="22"/>
          <w:lang w:eastAsia="en-ZA"/>
        </w:rPr>
        <w:t xml:space="preserve">Quarterly changes in exports should be treated with caution, since they fluctuate substantially for both seasonal and other reasons. </w:t>
      </w:r>
      <w:r w:rsidR="00213431" w:rsidRPr="00137DC9">
        <w:rPr>
          <w:noProof/>
          <w:sz w:val="22"/>
          <w:lang w:eastAsia="en-ZA"/>
        </w:rPr>
        <w:t xml:space="preserve">As </w:t>
      </w:r>
      <w:r w:rsidR="00CD734A">
        <w:rPr>
          <w:noProof/>
          <w:sz w:val="22"/>
          <w:lang w:eastAsia="en-ZA"/>
        </w:rPr>
        <w:t>Graph 8</w:t>
      </w:r>
      <w:r w:rsidR="00623F98" w:rsidRPr="00137DC9">
        <w:rPr>
          <w:noProof/>
          <w:sz w:val="22"/>
          <w:lang w:eastAsia="en-ZA"/>
        </w:rPr>
        <w:t xml:space="preserve"> shows, agricultural exports show</w:t>
      </w:r>
      <w:r w:rsidR="00213431" w:rsidRPr="00137DC9">
        <w:rPr>
          <w:noProof/>
          <w:sz w:val="22"/>
          <w:lang w:eastAsia="en-ZA"/>
        </w:rPr>
        <w:t xml:space="preserve"> significant seasonal trends, with a drop </w:t>
      </w:r>
      <w:r w:rsidR="00314150" w:rsidRPr="00137DC9">
        <w:rPr>
          <w:noProof/>
          <w:sz w:val="22"/>
          <w:lang w:eastAsia="en-ZA"/>
        </w:rPr>
        <w:t xml:space="preserve">in volume terms in the fourth quarter of </w:t>
      </w:r>
      <w:r w:rsidR="00623F98" w:rsidRPr="00137DC9">
        <w:rPr>
          <w:noProof/>
          <w:sz w:val="22"/>
          <w:lang w:eastAsia="en-ZA"/>
        </w:rPr>
        <w:t xml:space="preserve">each </w:t>
      </w:r>
      <w:r w:rsidR="00314150" w:rsidRPr="00137DC9">
        <w:rPr>
          <w:noProof/>
          <w:sz w:val="22"/>
          <w:lang w:eastAsia="en-ZA"/>
        </w:rPr>
        <w:t>year. Manufa</w:t>
      </w:r>
      <w:r w:rsidR="0027200A">
        <w:rPr>
          <w:noProof/>
          <w:sz w:val="22"/>
          <w:lang w:eastAsia="en-ZA"/>
        </w:rPr>
        <w:t>c</w:t>
      </w:r>
      <w:r w:rsidR="00314150" w:rsidRPr="00137DC9">
        <w:rPr>
          <w:noProof/>
          <w:sz w:val="22"/>
          <w:lang w:eastAsia="en-ZA"/>
        </w:rPr>
        <w:t>turing</w:t>
      </w:r>
      <w:r w:rsidRPr="00137DC9">
        <w:rPr>
          <w:noProof/>
          <w:sz w:val="22"/>
          <w:lang w:eastAsia="en-ZA"/>
        </w:rPr>
        <w:t xml:space="preserve"> and mining show</w:t>
      </w:r>
      <w:r w:rsidR="00314150" w:rsidRPr="00137DC9">
        <w:rPr>
          <w:noProof/>
          <w:sz w:val="22"/>
          <w:lang w:eastAsia="en-ZA"/>
        </w:rPr>
        <w:t xml:space="preserve"> a consistent fall in exports in the first quarter of each year since 2010, although exports in the other quarters </w:t>
      </w:r>
      <w:r w:rsidR="00623F98" w:rsidRPr="00137DC9">
        <w:rPr>
          <w:noProof/>
          <w:sz w:val="22"/>
          <w:lang w:eastAsia="en-ZA"/>
        </w:rPr>
        <w:t>flucuated</w:t>
      </w:r>
      <w:r w:rsidR="00314150" w:rsidRPr="00137DC9">
        <w:rPr>
          <w:noProof/>
          <w:sz w:val="22"/>
          <w:lang w:eastAsia="en-ZA"/>
        </w:rPr>
        <w:t xml:space="preserve"> significantly. </w:t>
      </w:r>
      <w:r w:rsidR="00213431" w:rsidRPr="00137DC9">
        <w:rPr>
          <w:noProof/>
          <w:sz w:val="22"/>
          <w:lang w:eastAsia="en-ZA"/>
        </w:rPr>
        <w:t xml:space="preserve"> </w:t>
      </w:r>
    </w:p>
    <w:p w:rsidR="00137DC9" w:rsidRPr="00137DC9" w:rsidRDefault="00137DC9" w:rsidP="00137DC9">
      <w:pPr>
        <w:tabs>
          <w:tab w:val="left" w:pos="7935"/>
        </w:tabs>
        <w:ind w:left="567" w:right="567"/>
        <w:jc w:val="center"/>
        <w:rPr>
          <w:noProof/>
          <w:sz w:val="22"/>
          <w:lang w:eastAsia="en-ZA"/>
        </w:rPr>
      </w:pPr>
      <w:r>
        <w:rPr>
          <w:b/>
          <w:color w:val="1B5068"/>
          <w:sz w:val="22"/>
        </w:rPr>
        <w:t>Graph 8</w:t>
      </w:r>
    </w:p>
    <w:p w:rsidR="00BA420E" w:rsidRDefault="009C188C" w:rsidP="00137DC9">
      <w:pPr>
        <w:tabs>
          <w:tab w:val="left" w:pos="7935"/>
        </w:tabs>
        <w:spacing w:before="0"/>
        <w:jc w:val="center"/>
      </w:pPr>
      <w:r w:rsidRPr="009C188C">
        <w:rPr>
          <w:noProof/>
          <w:lang w:eastAsia="en-ZA"/>
        </w:rPr>
        <w:drawing>
          <wp:inline distT="0" distB="0" distL="0" distR="0" wp14:anchorId="761DEB34" wp14:editId="74D51EA0">
            <wp:extent cx="5040000" cy="2260800"/>
            <wp:effectExtent l="0" t="0" r="8255"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40000" cy="2260800"/>
                    </a:xfrm>
                    <a:prstGeom prst="rect">
                      <a:avLst/>
                    </a:prstGeom>
                    <a:noFill/>
                    <a:ln>
                      <a:noFill/>
                    </a:ln>
                  </pic:spPr>
                </pic:pic>
              </a:graphicData>
            </a:graphic>
          </wp:inline>
        </w:drawing>
      </w:r>
    </w:p>
    <w:p w:rsidR="0027200A" w:rsidRDefault="0027200A" w:rsidP="0027200A">
      <w:pPr>
        <w:tabs>
          <w:tab w:val="left" w:pos="7935"/>
        </w:tabs>
        <w:spacing w:before="0"/>
        <w:ind w:left="567" w:right="567"/>
        <w:jc w:val="both"/>
        <w:rPr>
          <w:i/>
          <w:sz w:val="18"/>
          <w:szCs w:val="18"/>
        </w:rPr>
      </w:pPr>
      <w:r w:rsidRPr="0027200A">
        <w:rPr>
          <w:i/>
          <w:sz w:val="18"/>
          <w:szCs w:val="18"/>
        </w:rPr>
        <w:t xml:space="preserve">Source: </w:t>
      </w:r>
      <w:r w:rsidRPr="0027200A">
        <w:rPr>
          <w:rFonts w:cs="Arial"/>
          <w:color w:val="000000"/>
          <w:sz w:val="18"/>
          <w:szCs w:val="18"/>
          <w:shd w:val="clear" w:color="auto" w:fill="FFFFFF"/>
        </w:rPr>
        <w:t>South African Revenue Service, Merchandise Trade Statistics for relevant periods</w:t>
      </w:r>
      <w:r w:rsidRPr="0027200A">
        <w:rPr>
          <w:i/>
          <w:sz w:val="18"/>
          <w:szCs w:val="18"/>
        </w:rPr>
        <w:t xml:space="preserve"> </w:t>
      </w:r>
    </w:p>
    <w:p w:rsidR="00137DC9" w:rsidRPr="00A66BA2" w:rsidRDefault="00A66BA2" w:rsidP="00A66BA2">
      <w:pPr>
        <w:tabs>
          <w:tab w:val="left" w:pos="7935"/>
        </w:tabs>
        <w:spacing w:before="0"/>
        <w:ind w:left="567"/>
        <w:jc w:val="both"/>
        <w:rPr>
          <w:b/>
          <w:sz w:val="22"/>
        </w:rPr>
      </w:pPr>
      <w:r>
        <w:rPr>
          <w:i/>
          <w:sz w:val="18"/>
          <w:szCs w:val="18"/>
        </w:rPr>
        <w:t xml:space="preserve">                                                                                                                                                                                                           </w:t>
      </w:r>
      <w:r w:rsidRPr="00A66BA2">
        <w:rPr>
          <w:b/>
          <w:sz w:val="22"/>
        </w:rPr>
        <w:t>5</w:t>
      </w:r>
      <w:r w:rsidR="00137DC9" w:rsidRPr="00A66BA2">
        <w:rPr>
          <w:b/>
          <w:sz w:val="22"/>
        </w:rPr>
        <w:t xml:space="preserve"> </w:t>
      </w:r>
    </w:p>
    <w:p w:rsidR="008F0DCE" w:rsidRPr="0055046E" w:rsidRDefault="008F0DCE" w:rsidP="009C188C">
      <w:pPr>
        <w:keepNext/>
        <w:rPr>
          <w:b/>
        </w:rPr>
      </w:pPr>
      <w:r w:rsidRPr="0055046E">
        <w:rPr>
          <w:b/>
        </w:rPr>
        <w:lastRenderedPageBreak/>
        <w:t>Value of and change in trade by manufacturing industry to fourth quarter 2015</w:t>
      </w:r>
    </w:p>
    <w:tbl>
      <w:tblPr>
        <w:tblW w:w="8943" w:type="dxa"/>
        <w:jc w:val="center"/>
        <w:shd w:val="clear" w:color="auto" w:fill="DBE5F1" w:themeFill="accent1" w:themeFillTint="33"/>
        <w:tblLook w:val="04A0" w:firstRow="1" w:lastRow="0" w:firstColumn="1" w:lastColumn="0" w:noHBand="0" w:noVBand="1"/>
      </w:tblPr>
      <w:tblGrid>
        <w:gridCol w:w="1096"/>
        <w:gridCol w:w="2165"/>
        <w:gridCol w:w="600"/>
        <w:gridCol w:w="906"/>
        <w:gridCol w:w="1153"/>
        <w:gridCol w:w="905"/>
        <w:gridCol w:w="1196"/>
        <w:gridCol w:w="922"/>
      </w:tblGrid>
      <w:tr w:rsidR="00CD734A" w:rsidRPr="0072664E" w:rsidTr="00CD734A">
        <w:trPr>
          <w:trHeight w:val="525"/>
          <w:tblHeader/>
          <w:jc w:val="center"/>
        </w:trPr>
        <w:tc>
          <w:tcPr>
            <w:tcW w:w="109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72664E" w:rsidRPr="0072664E" w:rsidRDefault="0072664E" w:rsidP="009C188C">
            <w:pPr>
              <w:keepNext/>
              <w:spacing w:before="0"/>
              <w:jc w:val="center"/>
              <w:rPr>
                <w:rFonts w:ascii="Calibri" w:eastAsia="Times New Roman" w:hAnsi="Calibri" w:cs="Times New Roman"/>
                <w:b/>
                <w:bCs/>
                <w:color w:val="000000"/>
                <w:sz w:val="20"/>
                <w:szCs w:val="20"/>
                <w:lang w:eastAsia="en-ZA"/>
              </w:rPr>
            </w:pPr>
            <w:r w:rsidRPr="0072664E">
              <w:rPr>
                <w:rFonts w:ascii="Calibri" w:eastAsia="Times New Roman" w:hAnsi="Calibri" w:cs="Times New Roman"/>
                <w:b/>
                <w:bCs/>
                <w:color w:val="000000"/>
                <w:sz w:val="20"/>
                <w:szCs w:val="20"/>
                <w:lang w:eastAsia="en-ZA"/>
              </w:rPr>
              <w:t>Indicator</w:t>
            </w:r>
          </w:p>
        </w:tc>
        <w:tc>
          <w:tcPr>
            <w:tcW w:w="216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72664E" w:rsidRPr="0072664E" w:rsidRDefault="0072664E" w:rsidP="009C188C">
            <w:pPr>
              <w:keepNext/>
              <w:spacing w:before="0"/>
              <w:jc w:val="center"/>
              <w:rPr>
                <w:rFonts w:ascii="Calibri" w:eastAsia="Times New Roman" w:hAnsi="Calibri" w:cs="Times New Roman"/>
                <w:b/>
                <w:bCs/>
                <w:color w:val="000000"/>
                <w:sz w:val="20"/>
                <w:szCs w:val="20"/>
                <w:lang w:eastAsia="en-ZA"/>
              </w:rPr>
            </w:pPr>
            <w:r w:rsidRPr="0072664E">
              <w:rPr>
                <w:rFonts w:ascii="Calibri" w:eastAsia="Times New Roman" w:hAnsi="Calibri" w:cs="Times New Roman"/>
                <w:b/>
                <w:bCs/>
                <w:color w:val="000000"/>
                <w:sz w:val="20"/>
                <w:szCs w:val="20"/>
                <w:lang w:eastAsia="en-ZA"/>
              </w:rPr>
              <w:t>Manufacturing Industry</w:t>
            </w:r>
          </w:p>
        </w:tc>
        <w:tc>
          <w:tcPr>
            <w:tcW w:w="1506"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72664E" w:rsidRPr="0072664E" w:rsidRDefault="0072664E" w:rsidP="009C188C">
            <w:pPr>
              <w:keepNext/>
              <w:spacing w:before="0"/>
              <w:jc w:val="center"/>
              <w:rPr>
                <w:rFonts w:ascii="Calibri" w:eastAsia="Times New Roman" w:hAnsi="Calibri" w:cs="Times New Roman"/>
                <w:b/>
                <w:bCs/>
                <w:color w:val="000000"/>
                <w:sz w:val="20"/>
                <w:szCs w:val="20"/>
                <w:lang w:eastAsia="en-ZA"/>
              </w:rPr>
            </w:pPr>
            <w:r w:rsidRPr="0072664E">
              <w:rPr>
                <w:rFonts w:ascii="Calibri" w:eastAsia="Times New Roman" w:hAnsi="Calibri" w:cs="Times New Roman"/>
                <w:b/>
                <w:bCs/>
                <w:color w:val="000000"/>
                <w:sz w:val="20"/>
                <w:szCs w:val="20"/>
                <w:lang w:eastAsia="en-ZA"/>
              </w:rPr>
              <w:t>Value in Q1 2016</w:t>
            </w:r>
          </w:p>
        </w:tc>
        <w:tc>
          <w:tcPr>
            <w:tcW w:w="2058"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72664E" w:rsidRPr="0072664E" w:rsidRDefault="0072664E" w:rsidP="009C188C">
            <w:pPr>
              <w:keepNext/>
              <w:spacing w:before="0"/>
              <w:jc w:val="center"/>
              <w:rPr>
                <w:rFonts w:ascii="Calibri" w:eastAsia="Times New Roman" w:hAnsi="Calibri" w:cs="Times New Roman"/>
                <w:b/>
                <w:bCs/>
                <w:color w:val="000000"/>
                <w:sz w:val="20"/>
                <w:szCs w:val="20"/>
                <w:lang w:eastAsia="en-ZA"/>
              </w:rPr>
            </w:pPr>
            <w:r w:rsidRPr="0072664E">
              <w:rPr>
                <w:rFonts w:ascii="Calibri" w:eastAsia="Times New Roman" w:hAnsi="Calibri" w:cs="Times New Roman"/>
                <w:b/>
                <w:bCs/>
                <w:color w:val="000000"/>
                <w:sz w:val="20"/>
                <w:szCs w:val="20"/>
                <w:lang w:eastAsia="en-ZA"/>
              </w:rPr>
              <w:t>% change in constant ZAR to Q1 2016</w:t>
            </w:r>
          </w:p>
        </w:tc>
        <w:tc>
          <w:tcPr>
            <w:tcW w:w="2118"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72664E" w:rsidRPr="0072664E" w:rsidRDefault="0072664E" w:rsidP="009C188C">
            <w:pPr>
              <w:keepNext/>
              <w:spacing w:before="0"/>
              <w:jc w:val="center"/>
              <w:rPr>
                <w:rFonts w:ascii="Calibri" w:eastAsia="Times New Roman" w:hAnsi="Calibri" w:cs="Times New Roman"/>
                <w:b/>
                <w:bCs/>
                <w:color w:val="000000"/>
                <w:sz w:val="20"/>
                <w:szCs w:val="20"/>
                <w:lang w:eastAsia="en-ZA"/>
              </w:rPr>
            </w:pPr>
            <w:r w:rsidRPr="0072664E">
              <w:rPr>
                <w:rFonts w:ascii="Calibri" w:eastAsia="Times New Roman" w:hAnsi="Calibri" w:cs="Times New Roman"/>
                <w:b/>
                <w:bCs/>
                <w:color w:val="000000"/>
                <w:sz w:val="20"/>
                <w:szCs w:val="20"/>
                <w:lang w:eastAsia="en-ZA"/>
              </w:rPr>
              <w:t>% change in USD to Q1 2016</w:t>
            </w:r>
          </w:p>
        </w:tc>
      </w:tr>
      <w:tr w:rsidR="00CD734A" w:rsidRPr="0072664E" w:rsidTr="00CD734A">
        <w:trPr>
          <w:trHeight w:val="600"/>
          <w:tblHeader/>
          <w:jc w:val="center"/>
        </w:trPr>
        <w:tc>
          <w:tcPr>
            <w:tcW w:w="1096"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2664E" w:rsidRPr="0072664E" w:rsidRDefault="0072664E" w:rsidP="009C188C">
            <w:pPr>
              <w:keepNext/>
              <w:spacing w:before="0"/>
              <w:rPr>
                <w:rFonts w:ascii="Calibri" w:eastAsia="Times New Roman" w:hAnsi="Calibri" w:cs="Times New Roman"/>
                <w:b/>
                <w:bCs/>
                <w:color w:val="000000"/>
                <w:sz w:val="20"/>
                <w:szCs w:val="20"/>
                <w:lang w:eastAsia="en-ZA"/>
              </w:rPr>
            </w:pPr>
          </w:p>
        </w:tc>
        <w:tc>
          <w:tcPr>
            <w:tcW w:w="2165"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2664E" w:rsidRPr="0072664E" w:rsidRDefault="0072664E" w:rsidP="009C188C">
            <w:pPr>
              <w:keepNext/>
              <w:spacing w:before="0"/>
              <w:rPr>
                <w:rFonts w:ascii="Calibri" w:eastAsia="Times New Roman" w:hAnsi="Calibri" w:cs="Times New Roman"/>
                <w:b/>
                <w:bCs/>
                <w:color w:val="000000"/>
                <w:sz w:val="20"/>
                <w:szCs w:val="20"/>
                <w:lang w:eastAsia="en-ZA"/>
              </w:rPr>
            </w:pPr>
          </w:p>
        </w:tc>
        <w:tc>
          <w:tcPr>
            <w:tcW w:w="600" w:type="dxa"/>
            <w:tcBorders>
              <w:top w:val="nil"/>
              <w:left w:val="nil"/>
              <w:bottom w:val="single" w:sz="4" w:space="0" w:color="auto"/>
              <w:right w:val="single" w:sz="4" w:space="0" w:color="auto"/>
            </w:tcBorders>
            <w:shd w:val="clear" w:color="auto" w:fill="DBE5F1" w:themeFill="accent1" w:themeFillTint="33"/>
            <w:vAlign w:val="bottom"/>
            <w:hideMark/>
          </w:tcPr>
          <w:p w:rsidR="0072664E" w:rsidRPr="0072664E" w:rsidRDefault="0072664E" w:rsidP="009C188C">
            <w:pPr>
              <w:keepNext/>
              <w:spacing w:before="0"/>
              <w:jc w:val="center"/>
              <w:rPr>
                <w:rFonts w:ascii="Calibri" w:eastAsia="Times New Roman" w:hAnsi="Calibri" w:cs="Times New Roman"/>
                <w:b/>
                <w:bCs/>
                <w:color w:val="000000"/>
                <w:sz w:val="20"/>
                <w:szCs w:val="20"/>
                <w:lang w:eastAsia="en-ZA"/>
              </w:rPr>
            </w:pPr>
            <w:r w:rsidRPr="0072664E">
              <w:rPr>
                <w:rFonts w:ascii="Calibri" w:eastAsia="Times New Roman" w:hAnsi="Calibri" w:cs="Times New Roman"/>
                <w:b/>
                <w:bCs/>
                <w:color w:val="000000"/>
                <w:sz w:val="20"/>
                <w:szCs w:val="20"/>
                <w:lang w:eastAsia="en-ZA"/>
              </w:rPr>
              <w:t xml:space="preserve">ZAR </w:t>
            </w:r>
            <w:proofErr w:type="spellStart"/>
            <w:r w:rsidRPr="0072664E">
              <w:rPr>
                <w:rFonts w:ascii="Calibri" w:eastAsia="Times New Roman" w:hAnsi="Calibri" w:cs="Times New Roman"/>
                <w:b/>
                <w:bCs/>
                <w:color w:val="000000"/>
                <w:sz w:val="20"/>
                <w:szCs w:val="20"/>
                <w:lang w:eastAsia="en-ZA"/>
              </w:rPr>
              <w:t>bns</w:t>
            </w:r>
            <w:proofErr w:type="spellEnd"/>
          </w:p>
        </w:tc>
        <w:tc>
          <w:tcPr>
            <w:tcW w:w="906" w:type="dxa"/>
            <w:tcBorders>
              <w:top w:val="nil"/>
              <w:left w:val="nil"/>
              <w:bottom w:val="single" w:sz="4" w:space="0" w:color="auto"/>
              <w:right w:val="single" w:sz="4" w:space="0" w:color="auto"/>
            </w:tcBorders>
            <w:shd w:val="clear" w:color="auto" w:fill="DBE5F1" w:themeFill="accent1" w:themeFillTint="33"/>
            <w:vAlign w:val="bottom"/>
            <w:hideMark/>
          </w:tcPr>
          <w:p w:rsidR="0072664E" w:rsidRPr="0072664E" w:rsidRDefault="0072664E" w:rsidP="009C188C">
            <w:pPr>
              <w:keepNext/>
              <w:spacing w:before="0"/>
              <w:jc w:val="center"/>
              <w:rPr>
                <w:rFonts w:ascii="Calibri" w:eastAsia="Times New Roman" w:hAnsi="Calibri" w:cs="Times New Roman"/>
                <w:b/>
                <w:bCs/>
                <w:color w:val="000000"/>
                <w:sz w:val="20"/>
                <w:szCs w:val="20"/>
                <w:lang w:eastAsia="en-ZA"/>
              </w:rPr>
            </w:pPr>
            <w:r w:rsidRPr="0072664E">
              <w:rPr>
                <w:rFonts w:ascii="Calibri" w:eastAsia="Times New Roman" w:hAnsi="Calibri" w:cs="Times New Roman"/>
                <w:b/>
                <w:bCs/>
                <w:color w:val="000000"/>
                <w:sz w:val="20"/>
                <w:szCs w:val="20"/>
                <w:lang w:eastAsia="en-ZA"/>
              </w:rPr>
              <w:t xml:space="preserve">USD </w:t>
            </w:r>
            <w:proofErr w:type="spellStart"/>
            <w:r w:rsidRPr="0072664E">
              <w:rPr>
                <w:rFonts w:ascii="Calibri" w:eastAsia="Times New Roman" w:hAnsi="Calibri" w:cs="Times New Roman"/>
                <w:b/>
                <w:bCs/>
                <w:color w:val="000000"/>
                <w:sz w:val="20"/>
                <w:szCs w:val="20"/>
                <w:lang w:eastAsia="en-ZA"/>
              </w:rPr>
              <w:t>bns</w:t>
            </w:r>
            <w:proofErr w:type="spellEnd"/>
          </w:p>
        </w:tc>
        <w:tc>
          <w:tcPr>
            <w:tcW w:w="1153" w:type="dxa"/>
            <w:tcBorders>
              <w:top w:val="nil"/>
              <w:left w:val="nil"/>
              <w:bottom w:val="single" w:sz="4" w:space="0" w:color="auto"/>
              <w:right w:val="single" w:sz="4" w:space="0" w:color="auto"/>
            </w:tcBorders>
            <w:shd w:val="clear" w:color="auto" w:fill="DBE5F1" w:themeFill="accent1" w:themeFillTint="33"/>
            <w:vAlign w:val="bottom"/>
            <w:hideMark/>
          </w:tcPr>
          <w:p w:rsidR="0072664E" w:rsidRPr="0072664E" w:rsidRDefault="0072664E" w:rsidP="009C188C">
            <w:pPr>
              <w:keepNext/>
              <w:spacing w:before="0"/>
              <w:jc w:val="center"/>
              <w:rPr>
                <w:rFonts w:ascii="Calibri" w:eastAsia="Times New Roman" w:hAnsi="Calibri" w:cs="Times New Roman"/>
                <w:b/>
                <w:bCs/>
                <w:color w:val="000000"/>
                <w:sz w:val="20"/>
                <w:szCs w:val="20"/>
                <w:lang w:eastAsia="en-ZA"/>
              </w:rPr>
            </w:pPr>
            <w:r w:rsidRPr="0072664E">
              <w:rPr>
                <w:rFonts w:ascii="Calibri" w:eastAsia="Times New Roman" w:hAnsi="Calibri" w:cs="Times New Roman"/>
                <w:b/>
                <w:bCs/>
                <w:color w:val="000000"/>
                <w:sz w:val="20"/>
                <w:szCs w:val="20"/>
                <w:lang w:eastAsia="en-ZA"/>
              </w:rPr>
              <w:t>From Q1 2015</w:t>
            </w:r>
          </w:p>
        </w:tc>
        <w:tc>
          <w:tcPr>
            <w:tcW w:w="905" w:type="dxa"/>
            <w:tcBorders>
              <w:top w:val="nil"/>
              <w:left w:val="nil"/>
              <w:bottom w:val="single" w:sz="4" w:space="0" w:color="auto"/>
              <w:right w:val="single" w:sz="4" w:space="0" w:color="auto"/>
            </w:tcBorders>
            <w:shd w:val="clear" w:color="auto" w:fill="DBE5F1" w:themeFill="accent1" w:themeFillTint="33"/>
            <w:vAlign w:val="bottom"/>
            <w:hideMark/>
          </w:tcPr>
          <w:p w:rsidR="0072664E" w:rsidRPr="0072664E" w:rsidRDefault="0072664E" w:rsidP="009C188C">
            <w:pPr>
              <w:keepNext/>
              <w:spacing w:before="0"/>
              <w:jc w:val="center"/>
              <w:rPr>
                <w:rFonts w:ascii="Calibri" w:eastAsia="Times New Roman" w:hAnsi="Calibri" w:cs="Times New Roman"/>
                <w:b/>
                <w:bCs/>
                <w:color w:val="000000"/>
                <w:sz w:val="20"/>
                <w:szCs w:val="20"/>
                <w:lang w:eastAsia="en-ZA"/>
              </w:rPr>
            </w:pPr>
            <w:r w:rsidRPr="0072664E">
              <w:rPr>
                <w:rFonts w:ascii="Calibri" w:eastAsia="Times New Roman" w:hAnsi="Calibri" w:cs="Times New Roman"/>
                <w:b/>
                <w:bCs/>
                <w:color w:val="000000"/>
                <w:sz w:val="20"/>
                <w:szCs w:val="20"/>
                <w:lang w:eastAsia="en-ZA"/>
              </w:rPr>
              <w:t>from Q4 2015</w:t>
            </w:r>
          </w:p>
        </w:tc>
        <w:tc>
          <w:tcPr>
            <w:tcW w:w="1196" w:type="dxa"/>
            <w:tcBorders>
              <w:top w:val="nil"/>
              <w:left w:val="nil"/>
              <w:bottom w:val="single" w:sz="4" w:space="0" w:color="auto"/>
              <w:right w:val="single" w:sz="4" w:space="0" w:color="auto"/>
            </w:tcBorders>
            <w:shd w:val="clear" w:color="auto" w:fill="DBE5F1" w:themeFill="accent1" w:themeFillTint="33"/>
            <w:vAlign w:val="bottom"/>
            <w:hideMark/>
          </w:tcPr>
          <w:p w:rsidR="0072664E" w:rsidRPr="0072664E" w:rsidRDefault="0072664E" w:rsidP="009C188C">
            <w:pPr>
              <w:keepNext/>
              <w:spacing w:before="0"/>
              <w:jc w:val="center"/>
              <w:rPr>
                <w:rFonts w:ascii="Calibri" w:eastAsia="Times New Roman" w:hAnsi="Calibri" w:cs="Times New Roman"/>
                <w:b/>
                <w:bCs/>
                <w:color w:val="000000"/>
                <w:sz w:val="20"/>
                <w:szCs w:val="20"/>
                <w:lang w:eastAsia="en-ZA"/>
              </w:rPr>
            </w:pPr>
            <w:r w:rsidRPr="0072664E">
              <w:rPr>
                <w:rFonts w:ascii="Calibri" w:eastAsia="Times New Roman" w:hAnsi="Calibri" w:cs="Times New Roman"/>
                <w:b/>
                <w:bCs/>
                <w:color w:val="000000"/>
                <w:sz w:val="20"/>
                <w:szCs w:val="20"/>
                <w:lang w:eastAsia="en-ZA"/>
              </w:rPr>
              <w:t>from Q1 2015</w:t>
            </w:r>
          </w:p>
        </w:tc>
        <w:tc>
          <w:tcPr>
            <w:tcW w:w="922" w:type="dxa"/>
            <w:tcBorders>
              <w:top w:val="nil"/>
              <w:left w:val="nil"/>
              <w:bottom w:val="single" w:sz="4" w:space="0" w:color="auto"/>
              <w:right w:val="single" w:sz="4" w:space="0" w:color="auto"/>
            </w:tcBorders>
            <w:shd w:val="clear" w:color="auto" w:fill="DBE5F1" w:themeFill="accent1" w:themeFillTint="33"/>
            <w:vAlign w:val="bottom"/>
            <w:hideMark/>
          </w:tcPr>
          <w:p w:rsidR="0072664E" w:rsidRPr="0072664E" w:rsidRDefault="0072664E" w:rsidP="009C188C">
            <w:pPr>
              <w:keepNext/>
              <w:spacing w:before="0"/>
              <w:jc w:val="center"/>
              <w:rPr>
                <w:rFonts w:ascii="Calibri" w:eastAsia="Times New Roman" w:hAnsi="Calibri" w:cs="Times New Roman"/>
                <w:b/>
                <w:bCs/>
                <w:color w:val="000000"/>
                <w:sz w:val="20"/>
                <w:szCs w:val="20"/>
                <w:lang w:eastAsia="en-ZA"/>
              </w:rPr>
            </w:pPr>
            <w:r w:rsidRPr="0072664E">
              <w:rPr>
                <w:rFonts w:ascii="Calibri" w:eastAsia="Times New Roman" w:hAnsi="Calibri" w:cs="Times New Roman"/>
                <w:b/>
                <w:bCs/>
                <w:color w:val="000000"/>
                <w:sz w:val="20"/>
                <w:szCs w:val="20"/>
                <w:lang w:eastAsia="en-ZA"/>
              </w:rPr>
              <w:t>from Q4 2015</w:t>
            </w:r>
          </w:p>
        </w:tc>
      </w:tr>
      <w:tr w:rsidR="00CD734A" w:rsidRPr="0072664E" w:rsidTr="00CD734A">
        <w:trPr>
          <w:trHeight w:val="300"/>
          <w:jc w:val="center"/>
        </w:trPr>
        <w:tc>
          <w:tcPr>
            <w:tcW w:w="1096" w:type="dxa"/>
            <w:vMerge w:val="restart"/>
            <w:tcBorders>
              <w:top w:val="nil"/>
              <w:left w:val="single" w:sz="4" w:space="0" w:color="auto"/>
              <w:bottom w:val="single" w:sz="4" w:space="0" w:color="auto"/>
              <w:right w:val="single" w:sz="4" w:space="0" w:color="auto"/>
            </w:tcBorders>
            <w:shd w:val="clear" w:color="auto" w:fill="DBE5F1" w:themeFill="accent1" w:themeFillTint="33"/>
            <w:noWrap/>
            <w:hideMark/>
          </w:tcPr>
          <w:p w:rsidR="0072664E" w:rsidRPr="0072664E" w:rsidRDefault="0072664E" w:rsidP="009C188C">
            <w:pPr>
              <w:keepNext/>
              <w:spacing w:before="0"/>
              <w:jc w:val="center"/>
              <w:rPr>
                <w:rFonts w:ascii="Calibri" w:eastAsia="Times New Roman" w:hAnsi="Calibri" w:cs="Times New Roman"/>
                <w:b/>
                <w:bCs/>
                <w:color w:val="000000"/>
                <w:sz w:val="20"/>
                <w:szCs w:val="20"/>
                <w:lang w:eastAsia="en-ZA"/>
              </w:rPr>
            </w:pPr>
            <w:r w:rsidRPr="0072664E">
              <w:rPr>
                <w:rFonts w:ascii="Calibri" w:eastAsia="Times New Roman" w:hAnsi="Calibri" w:cs="Times New Roman"/>
                <w:b/>
                <w:bCs/>
                <w:color w:val="000000"/>
                <w:sz w:val="20"/>
                <w:szCs w:val="20"/>
                <w:lang w:eastAsia="en-ZA"/>
              </w:rPr>
              <w:t>Exports</w:t>
            </w:r>
          </w:p>
        </w:tc>
        <w:tc>
          <w:tcPr>
            <w:tcW w:w="2165"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9C188C">
            <w:pPr>
              <w:keepNext/>
              <w:spacing w:before="0"/>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Food and beverages</w:t>
            </w:r>
          </w:p>
        </w:tc>
        <w:tc>
          <w:tcPr>
            <w:tcW w:w="600"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9C188C">
            <w:pPr>
              <w:keepNext/>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9.4</w:t>
            </w:r>
          </w:p>
        </w:tc>
        <w:tc>
          <w:tcPr>
            <w:tcW w:w="906"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9C188C">
            <w:pPr>
              <w:keepNext/>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0.7</w:t>
            </w:r>
          </w:p>
        </w:tc>
        <w:tc>
          <w:tcPr>
            <w:tcW w:w="1153"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9C188C">
            <w:pPr>
              <w:keepNext/>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14.1%</w:t>
            </w:r>
          </w:p>
        </w:tc>
        <w:tc>
          <w:tcPr>
            <w:tcW w:w="905"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9C188C">
            <w:pPr>
              <w:keepNext/>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-13.1%</w:t>
            </w:r>
          </w:p>
        </w:tc>
        <w:tc>
          <w:tcPr>
            <w:tcW w:w="1196"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9C188C">
            <w:pPr>
              <w:keepNext/>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-10.6%</w:t>
            </w:r>
          </w:p>
        </w:tc>
        <w:tc>
          <w:tcPr>
            <w:tcW w:w="922"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9C188C">
            <w:pPr>
              <w:keepNext/>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-20.4%</w:t>
            </w:r>
          </w:p>
        </w:tc>
      </w:tr>
      <w:tr w:rsidR="00CD734A" w:rsidRPr="0072664E" w:rsidTr="00CD734A">
        <w:trPr>
          <w:trHeight w:val="300"/>
          <w:jc w:val="center"/>
        </w:trPr>
        <w:tc>
          <w:tcPr>
            <w:tcW w:w="1096"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72664E" w:rsidRPr="0072664E" w:rsidRDefault="0072664E" w:rsidP="009C188C">
            <w:pPr>
              <w:keepNext/>
              <w:spacing w:before="0"/>
              <w:rPr>
                <w:rFonts w:ascii="Calibri" w:eastAsia="Times New Roman" w:hAnsi="Calibri" w:cs="Times New Roman"/>
                <w:b/>
                <w:bCs/>
                <w:color w:val="000000"/>
                <w:sz w:val="20"/>
                <w:szCs w:val="20"/>
                <w:lang w:eastAsia="en-ZA"/>
              </w:rPr>
            </w:pPr>
          </w:p>
        </w:tc>
        <w:tc>
          <w:tcPr>
            <w:tcW w:w="2165"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9C188C">
            <w:pPr>
              <w:keepNext/>
              <w:spacing w:before="0"/>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Textiles, clothing, leather and footwear</w:t>
            </w:r>
          </w:p>
        </w:tc>
        <w:tc>
          <w:tcPr>
            <w:tcW w:w="600"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9C188C">
            <w:pPr>
              <w:keepNext/>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4.7</w:t>
            </w:r>
          </w:p>
        </w:tc>
        <w:tc>
          <w:tcPr>
            <w:tcW w:w="906"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9C188C">
            <w:pPr>
              <w:keepNext/>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0.2</w:t>
            </w:r>
          </w:p>
        </w:tc>
        <w:tc>
          <w:tcPr>
            <w:tcW w:w="1153"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9C188C">
            <w:pPr>
              <w:keepNext/>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5.5%</w:t>
            </w:r>
          </w:p>
        </w:tc>
        <w:tc>
          <w:tcPr>
            <w:tcW w:w="905"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9C188C">
            <w:pPr>
              <w:keepNext/>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-17.1%</w:t>
            </w:r>
          </w:p>
        </w:tc>
        <w:tc>
          <w:tcPr>
            <w:tcW w:w="1196"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9C188C">
            <w:pPr>
              <w:keepNext/>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-43.3%</w:t>
            </w:r>
          </w:p>
        </w:tc>
        <w:tc>
          <w:tcPr>
            <w:tcW w:w="922"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9C188C">
            <w:pPr>
              <w:keepNext/>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-47.9%</w:t>
            </w:r>
          </w:p>
        </w:tc>
      </w:tr>
      <w:tr w:rsidR="00CD734A" w:rsidRPr="0072664E" w:rsidTr="00CD734A">
        <w:trPr>
          <w:trHeight w:val="300"/>
          <w:jc w:val="center"/>
        </w:trPr>
        <w:tc>
          <w:tcPr>
            <w:tcW w:w="1096"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72664E" w:rsidRPr="0072664E" w:rsidRDefault="0072664E" w:rsidP="0072664E">
            <w:pPr>
              <w:spacing w:before="0"/>
              <w:rPr>
                <w:rFonts w:ascii="Calibri" w:eastAsia="Times New Roman" w:hAnsi="Calibri" w:cs="Times New Roman"/>
                <w:b/>
                <w:bCs/>
                <w:color w:val="000000"/>
                <w:sz w:val="20"/>
                <w:szCs w:val="20"/>
                <w:lang w:eastAsia="en-ZA"/>
              </w:rPr>
            </w:pPr>
          </w:p>
        </w:tc>
        <w:tc>
          <w:tcPr>
            <w:tcW w:w="2165"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Wood and wood products</w:t>
            </w:r>
          </w:p>
        </w:tc>
        <w:tc>
          <w:tcPr>
            <w:tcW w:w="600"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1.3</w:t>
            </w:r>
          </w:p>
        </w:tc>
        <w:tc>
          <w:tcPr>
            <w:tcW w:w="906"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0.1</w:t>
            </w:r>
          </w:p>
        </w:tc>
        <w:tc>
          <w:tcPr>
            <w:tcW w:w="1153"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-1.9%</w:t>
            </w:r>
          </w:p>
        </w:tc>
        <w:tc>
          <w:tcPr>
            <w:tcW w:w="905"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-7.2%</w:t>
            </w:r>
          </w:p>
        </w:tc>
        <w:tc>
          <w:tcPr>
            <w:tcW w:w="1196"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-23.1%</w:t>
            </w:r>
          </w:p>
        </w:tc>
        <w:tc>
          <w:tcPr>
            <w:tcW w:w="922"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-14.8%</w:t>
            </w:r>
          </w:p>
        </w:tc>
      </w:tr>
      <w:tr w:rsidR="00CD734A" w:rsidRPr="0072664E" w:rsidTr="00CD734A">
        <w:trPr>
          <w:trHeight w:val="300"/>
          <w:jc w:val="center"/>
        </w:trPr>
        <w:tc>
          <w:tcPr>
            <w:tcW w:w="1096"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72664E" w:rsidRPr="0072664E" w:rsidRDefault="0072664E" w:rsidP="0072664E">
            <w:pPr>
              <w:spacing w:before="0"/>
              <w:rPr>
                <w:rFonts w:ascii="Calibri" w:eastAsia="Times New Roman" w:hAnsi="Calibri" w:cs="Times New Roman"/>
                <w:b/>
                <w:bCs/>
                <w:color w:val="000000"/>
                <w:sz w:val="20"/>
                <w:szCs w:val="20"/>
                <w:lang w:eastAsia="en-ZA"/>
              </w:rPr>
            </w:pPr>
          </w:p>
        </w:tc>
        <w:tc>
          <w:tcPr>
            <w:tcW w:w="2165"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Chemicals, rubber, plastic</w:t>
            </w:r>
          </w:p>
        </w:tc>
        <w:tc>
          <w:tcPr>
            <w:tcW w:w="600"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17.7</w:t>
            </w:r>
          </w:p>
        </w:tc>
        <w:tc>
          <w:tcPr>
            <w:tcW w:w="906"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1.3</w:t>
            </w:r>
          </w:p>
        </w:tc>
        <w:tc>
          <w:tcPr>
            <w:tcW w:w="1153"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0.5%</w:t>
            </w:r>
          </w:p>
        </w:tc>
        <w:tc>
          <w:tcPr>
            <w:tcW w:w="905"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-13.1%</w:t>
            </w:r>
          </w:p>
        </w:tc>
        <w:tc>
          <w:tcPr>
            <w:tcW w:w="1196"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-21.2%</w:t>
            </w:r>
          </w:p>
        </w:tc>
        <w:tc>
          <w:tcPr>
            <w:tcW w:w="922"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-20.3%</w:t>
            </w:r>
          </w:p>
        </w:tc>
      </w:tr>
      <w:tr w:rsidR="00CD734A" w:rsidRPr="0072664E" w:rsidTr="00CD734A">
        <w:trPr>
          <w:trHeight w:val="300"/>
          <w:jc w:val="center"/>
        </w:trPr>
        <w:tc>
          <w:tcPr>
            <w:tcW w:w="1096"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72664E" w:rsidRPr="0072664E" w:rsidRDefault="0072664E" w:rsidP="0072664E">
            <w:pPr>
              <w:spacing w:before="0"/>
              <w:rPr>
                <w:rFonts w:ascii="Calibri" w:eastAsia="Times New Roman" w:hAnsi="Calibri" w:cs="Times New Roman"/>
                <w:b/>
                <w:bCs/>
                <w:color w:val="000000"/>
                <w:sz w:val="20"/>
                <w:szCs w:val="20"/>
                <w:lang w:eastAsia="en-ZA"/>
              </w:rPr>
            </w:pPr>
          </w:p>
        </w:tc>
        <w:tc>
          <w:tcPr>
            <w:tcW w:w="2165"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Glass and non-metallic mineral products</w:t>
            </w:r>
          </w:p>
        </w:tc>
        <w:tc>
          <w:tcPr>
            <w:tcW w:w="600"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1.6</w:t>
            </w:r>
          </w:p>
        </w:tc>
        <w:tc>
          <w:tcPr>
            <w:tcW w:w="906"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0.1</w:t>
            </w:r>
          </w:p>
        </w:tc>
        <w:tc>
          <w:tcPr>
            <w:tcW w:w="1153"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49.6%</w:t>
            </w:r>
          </w:p>
        </w:tc>
        <w:tc>
          <w:tcPr>
            <w:tcW w:w="905"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21.0%</w:t>
            </w:r>
          </w:p>
        </w:tc>
        <w:tc>
          <w:tcPr>
            <w:tcW w:w="1196"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17.6%</w:t>
            </w:r>
          </w:p>
        </w:tc>
        <w:tc>
          <w:tcPr>
            <w:tcW w:w="922"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10.8%</w:t>
            </w:r>
          </w:p>
        </w:tc>
      </w:tr>
      <w:tr w:rsidR="00CD734A" w:rsidRPr="0072664E" w:rsidTr="00CD734A">
        <w:trPr>
          <w:trHeight w:val="300"/>
          <w:jc w:val="center"/>
        </w:trPr>
        <w:tc>
          <w:tcPr>
            <w:tcW w:w="1096"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72664E" w:rsidRPr="0072664E" w:rsidRDefault="0072664E" w:rsidP="0072664E">
            <w:pPr>
              <w:spacing w:before="0"/>
              <w:rPr>
                <w:rFonts w:ascii="Calibri" w:eastAsia="Times New Roman" w:hAnsi="Calibri" w:cs="Times New Roman"/>
                <w:b/>
                <w:bCs/>
                <w:color w:val="000000"/>
                <w:sz w:val="20"/>
                <w:szCs w:val="20"/>
                <w:lang w:eastAsia="en-ZA"/>
              </w:rPr>
            </w:pPr>
          </w:p>
        </w:tc>
        <w:tc>
          <w:tcPr>
            <w:tcW w:w="2165"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Metal and articles of metal products</w:t>
            </w:r>
          </w:p>
        </w:tc>
        <w:tc>
          <w:tcPr>
            <w:tcW w:w="600"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28.0</w:t>
            </w:r>
          </w:p>
        </w:tc>
        <w:tc>
          <w:tcPr>
            <w:tcW w:w="906"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2.1</w:t>
            </w:r>
          </w:p>
        </w:tc>
        <w:tc>
          <w:tcPr>
            <w:tcW w:w="1153"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2.9%</w:t>
            </w:r>
          </w:p>
        </w:tc>
        <w:tc>
          <w:tcPr>
            <w:tcW w:w="905"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7.5%</w:t>
            </w:r>
          </w:p>
        </w:tc>
        <w:tc>
          <w:tcPr>
            <w:tcW w:w="1196"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-19.5%</w:t>
            </w:r>
          </w:p>
        </w:tc>
        <w:tc>
          <w:tcPr>
            <w:tcW w:w="922"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-1.6%</w:t>
            </w:r>
          </w:p>
        </w:tc>
      </w:tr>
      <w:tr w:rsidR="00CD734A" w:rsidRPr="0072664E" w:rsidTr="00CD734A">
        <w:trPr>
          <w:trHeight w:val="300"/>
          <w:jc w:val="center"/>
        </w:trPr>
        <w:tc>
          <w:tcPr>
            <w:tcW w:w="1096"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72664E" w:rsidRPr="0072664E" w:rsidRDefault="0072664E" w:rsidP="0072664E">
            <w:pPr>
              <w:spacing w:before="0"/>
              <w:rPr>
                <w:rFonts w:ascii="Calibri" w:eastAsia="Times New Roman" w:hAnsi="Calibri" w:cs="Times New Roman"/>
                <w:b/>
                <w:bCs/>
                <w:color w:val="000000"/>
                <w:sz w:val="20"/>
                <w:szCs w:val="20"/>
                <w:lang w:eastAsia="en-ZA"/>
              </w:rPr>
            </w:pPr>
          </w:p>
        </w:tc>
        <w:tc>
          <w:tcPr>
            <w:tcW w:w="2165"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Machinery, appliances, AV equipment</w:t>
            </w:r>
          </w:p>
        </w:tc>
        <w:tc>
          <w:tcPr>
            <w:tcW w:w="600"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22.6</w:t>
            </w:r>
          </w:p>
        </w:tc>
        <w:tc>
          <w:tcPr>
            <w:tcW w:w="906"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1.7</w:t>
            </w:r>
          </w:p>
        </w:tc>
        <w:tc>
          <w:tcPr>
            <w:tcW w:w="1153"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2.1%</w:t>
            </w:r>
          </w:p>
        </w:tc>
        <w:tc>
          <w:tcPr>
            <w:tcW w:w="905"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-9.1%</w:t>
            </w:r>
          </w:p>
        </w:tc>
        <w:tc>
          <w:tcPr>
            <w:tcW w:w="1196"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-19.9%</w:t>
            </w:r>
          </w:p>
        </w:tc>
        <w:tc>
          <w:tcPr>
            <w:tcW w:w="922"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-16.9%</w:t>
            </w:r>
          </w:p>
        </w:tc>
      </w:tr>
      <w:tr w:rsidR="00CD734A" w:rsidRPr="0072664E" w:rsidTr="00CD734A">
        <w:trPr>
          <w:trHeight w:val="300"/>
          <w:jc w:val="center"/>
        </w:trPr>
        <w:tc>
          <w:tcPr>
            <w:tcW w:w="1096"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72664E" w:rsidRPr="0072664E" w:rsidRDefault="0072664E" w:rsidP="0072664E">
            <w:pPr>
              <w:spacing w:before="0"/>
              <w:rPr>
                <w:rFonts w:ascii="Calibri" w:eastAsia="Times New Roman" w:hAnsi="Calibri" w:cs="Times New Roman"/>
                <w:b/>
                <w:bCs/>
                <w:color w:val="000000"/>
                <w:sz w:val="20"/>
                <w:szCs w:val="20"/>
                <w:lang w:eastAsia="en-ZA"/>
              </w:rPr>
            </w:pPr>
          </w:p>
        </w:tc>
        <w:tc>
          <w:tcPr>
            <w:tcW w:w="2165"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Paper and publishing</w:t>
            </w:r>
          </w:p>
        </w:tc>
        <w:tc>
          <w:tcPr>
            <w:tcW w:w="600"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5.1</w:t>
            </w:r>
          </w:p>
        </w:tc>
        <w:tc>
          <w:tcPr>
            <w:tcW w:w="906"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0.4</w:t>
            </w:r>
          </w:p>
        </w:tc>
        <w:tc>
          <w:tcPr>
            <w:tcW w:w="1153"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32.2%</w:t>
            </w:r>
          </w:p>
        </w:tc>
        <w:tc>
          <w:tcPr>
            <w:tcW w:w="905"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1.7%</w:t>
            </w:r>
          </w:p>
        </w:tc>
        <w:tc>
          <w:tcPr>
            <w:tcW w:w="1196"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3.5%</w:t>
            </w:r>
          </w:p>
        </w:tc>
        <w:tc>
          <w:tcPr>
            <w:tcW w:w="922"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-6.6%</w:t>
            </w:r>
          </w:p>
        </w:tc>
      </w:tr>
      <w:tr w:rsidR="00CD734A" w:rsidRPr="0072664E" w:rsidTr="00CD734A">
        <w:trPr>
          <w:trHeight w:val="300"/>
          <w:jc w:val="center"/>
        </w:trPr>
        <w:tc>
          <w:tcPr>
            <w:tcW w:w="1096"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72664E" w:rsidRPr="0072664E" w:rsidRDefault="0072664E" w:rsidP="0072664E">
            <w:pPr>
              <w:spacing w:before="0"/>
              <w:rPr>
                <w:rFonts w:ascii="Calibri" w:eastAsia="Times New Roman" w:hAnsi="Calibri" w:cs="Times New Roman"/>
                <w:b/>
                <w:bCs/>
                <w:color w:val="000000"/>
                <w:sz w:val="20"/>
                <w:szCs w:val="20"/>
                <w:lang w:eastAsia="en-ZA"/>
              </w:rPr>
            </w:pPr>
          </w:p>
        </w:tc>
        <w:tc>
          <w:tcPr>
            <w:tcW w:w="2165"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Transport equipment</w:t>
            </w:r>
          </w:p>
        </w:tc>
        <w:tc>
          <w:tcPr>
            <w:tcW w:w="600"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26.4</w:t>
            </w:r>
          </w:p>
        </w:tc>
        <w:tc>
          <w:tcPr>
            <w:tcW w:w="906"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2.0</w:t>
            </w:r>
          </w:p>
        </w:tc>
        <w:tc>
          <w:tcPr>
            <w:tcW w:w="1153"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2.6%</w:t>
            </w:r>
          </w:p>
        </w:tc>
        <w:tc>
          <w:tcPr>
            <w:tcW w:w="905"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-8.5%</w:t>
            </w:r>
          </w:p>
        </w:tc>
        <w:tc>
          <w:tcPr>
            <w:tcW w:w="1196"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-19.1%</w:t>
            </w:r>
          </w:p>
        </w:tc>
        <w:tc>
          <w:tcPr>
            <w:tcW w:w="922"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-16.0%</w:t>
            </w:r>
          </w:p>
        </w:tc>
      </w:tr>
      <w:tr w:rsidR="00CD734A" w:rsidRPr="0072664E" w:rsidTr="00CD734A">
        <w:trPr>
          <w:trHeight w:val="300"/>
          <w:jc w:val="center"/>
        </w:trPr>
        <w:tc>
          <w:tcPr>
            <w:tcW w:w="1096" w:type="dxa"/>
            <w:vMerge w:val="restart"/>
            <w:tcBorders>
              <w:top w:val="nil"/>
              <w:left w:val="single" w:sz="4" w:space="0" w:color="auto"/>
              <w:bottom w:val="single" w:sz="4" w:space="0" w:color="auto"/>
              <w:right w:val="single" w:sz="4" w:space="0" w:color="auto"/>
            </w:tcBorders>
            <w:shd w:val="clear" w:color="auto" w:fill="DBE5F1" w:themeFill="accent1" w:themeFillTint="33"/>
            <w:noWrap/>
            <w:hideMark/>
          </w:tcPr>
          <w:p w:rsidR="0072664E" w:rsidRPr="0072664E" w:rsidRDefault="0072664E" w:rsidP="0072664E">
            <w:pPr>
              <w:spacing w:before="0"/>
              <w:jc w:val="center"/>
              <w:rPr>
                <w:rFonts w:ascii="Calibri" w:eastAsia="Times New Roman" w:hAnsi="Calibri" w:cs="Times New Roman"/>
                <w:b/>
                <w:bCs/>
                <w:color w:val="000000"/>
                <w:sz w:val="20"/>
                <w:szCs w:val="20"/>
                <w:lang w:eastAsia="en-ZA"/>
              </w:rPr>
            </w:pPr>
            <w:r w:rsidRPr="0072664E">
              <w:rPr>
                <w:rFonts w:ascii="Calibri" w:eastAsia="Times New Roman" w:hAnsi="Calibri" w:cs="Times New Roman"/>
                <w:b/>
                <w:bCs/>
                <w:color w:val="000000"/>
                <w:sz w:val="20"/>
                <w:szCs w:val="20"/>
                <w:lang w:eastAsia="en-ZA"/>
              </w:rPr>
              <w:t>Imports</w:t>
            </w:r>
          </w:p>
        </w:tc>
        <w:tc>
          <w:tcPr>
            <w:tcW w:w="2165"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Food and beverages</w:t>
            </w:r>
          </w:p>
        </w:tc>
        <w:tc>
          <w:tcPr>
            <w:tcW w:w="600"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6.7</w:t>
            </w:r>
          </w:p>
        </w:tc>
        <w:tc>
          <w:tcPr>
            <w:tcW w:w="906"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0.5</w:t>
            </w:r>
          </w:p>
        </w:tc>
        <w:tc>
          <w:tcPr>
            <w:tcW w:w="1153"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-3.7%</w:t>
            </w:r>
          </w:p>
        </w:tc>
        <w:tc>
          <w:tcPr>
            <w:tcW w:w="905"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-14.2%</w:t>
            </w:r>
          </w:p>
        </w:tc>
        <w:tc>
          <w:tcPr>
            <w:tcW w:w="1196"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-24.8%</w:t>
            </w:r>
          </w:p>
        </w:tc>
        <w:tc>
          <w:tcPr>
            <w:tcW w:w="922"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-21.6%</w:t>
            </w:r>
          </w:p>
        </w:tc>
      </w:tr>
      <w:tr w:rsidR="00CD734A" w:rsidRPr="0072664E" w:rsidTr="00CD734A">
        <w:trPr>
          <w:trHeight w:val="300"/>
          <w:jc w:val="center"/>
        </w:trPr>
        <w:tc>
          <w:tcPr>
            <w:tcW w:w="1096"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72664E" w:rsidRPr="0072664E" w:rsidRDefault="0072664E" w:rsidP="0072664E">
            <w:pPr>
              <w:spacing w:before="0"/>
              <w:rPr>
                <w:rFonts w:ascii="Calibri" w:eastAsia="Times New Roman" w:hAnsi="Calibri" w:cs="Times New Roman"/>
                <w:b/>
                <w:bCs/>
                <w:color w:val="000000"/>
                <w:sz w:val="20"/>
                <w:szCs w:val="20"/>
                <w:lang w:eastAsia="en-ZA"/>
              </w:rPr>
            </w:pPr>
          </w:p>
        </w:tc>
        <w:tc>
          <w:tcPr>
            <w:tcW w:w="2165"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Textiles, clothing, leather and footwear</w:t>
            </w:r>
          </w:p>
        </w:tc>
        <w:tc>
          <w:tcPr>
            <w:tcW w:w="600"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14.4</w:t>
            </w:r>
          </w:p>
        </w:tc>
        <w:tc>
          <w:tcPr>
            <w:tcW w:w="906"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1.1</w:t>
            </w:r>
          </w:p>
        </w:tc>
        <w:tc>
          <w:tcPr>
            <w:tcW w:w="1153"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12.6%</w:t>
            </w:r>
          </w:p>
        </w:tc>
        <w:tc>
          <w:tcPr>
            <w:tcW w:w="905"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6.9%</w:t>
            </w:r>
          </w:p>
        </w:tc>
        <w:tc>
          <w:tcPr>
            <w:tcW w:w="1196"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-12.2%</w:t>
            </w:r>
          </w:p>
        </w:tc>
        <w:tc>
          <w:tcPr>
            <w:tcW w:w="922"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-3.1%</w:t>
            </w:r>
          </w:p>
        </w:tc>
      </w:tr>
      <w:tr w:rsidR="00CD734A" w:rsidRPr="0072664E" w:rsidTr="00CD734A">
        <w:trPr>
          <w:trHeight w:val="300"/>
          <w:jc w:val="center"/>
        </w:trPr>
        <w:tc>
          <w:tcPr>
            <w:tcW w:w="1096"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72664E" w:rsidRPr="0072664E" w:rsidRDefault="0072664E" w:rsidP="0072664E">
            <w:pPr>
              <w:spacing w:before="0"/>
              <w:rPr>
                <w:rFonts w:ascii="Calibri" w:eastAsia="Times New Roman" w:hAnsi="Calibri" w:cs="Times New Roman"/>
                <w:b/>
                <w:bCs/>
                <w:color w:val="000000"/>
                <w:sz w:val="20"/>
                <w:szCs w:val="20"/>
                <w:lang w:eastAsia="en-ZA"/>
              </w:rPr>
            </w:pPr>
          </w:p>
        </w:tc>
        <w:tc>
          <w:tcPr>
            <w:tcW w:w="2165"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Wood and wood products</w:t>
            </w:r>
          </w:p>
        </w:tc>
        <w:tc>
          <w:tcPr>
            <w:tcW w:w="600"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1.3</w:t>
            </w:r>
          </w:p>
        </w:tc>
        <w:tc>
          <w:tcPr>
            <w:tcW w:w="906"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0.1</w:t>
            </w:r>
          </w:p>
        </w:tc>
        <w:tc>
          <w:tcPr>
            <w:tcW w:w="1153"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10.9%</w:t>
            </w:r>
          </w:p>
        </w:tc>
        <w:tc>
          <w:tcPr>
            <w:tcW w:w="905"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12.7%</w:t>
            </w:r>
          </w:p>
        </w:tc>
        <w:tc>
          <w:tcPr>
            <w:tcW w:w="1196"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-13.6%</w:t>
            </w:r>
          </w:p>
        </w:tc>
        <w:tc>
          <w:tcPr>
            <w:tcW w:w="922"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1.9%</w:t>
            </w:r>
          </w:p>
        </w:tc>
      </w:tr>
      <w:tr w:rsidR="00CD734A" w:rsidRPr="0072664E" w:rsidTr="00CD734A">
        <w:trPr>
          <w:trHeight w:val="300"/>
          <w:jc w:val="center"/>
        </w:trPr>
        <w:tc>
          <w:tcPr>
            <w:tcW w:w="1096"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72664E" w:rsidRPr="0072664E" w:rsidRDefault="0072664E" w:rsidP="0072664E">
            <w:pPr>
              <w:spacing w:before="0"/>
              <w:rPr>
                <w:rFonts w:ascii="Calibri" w:eastAsia="Times New Roman" w:hAnsi="Calibri" w:cs="Times New Roman"/>
                <w:b/>
                <w:bCs/>
                <w:color w:val="000000"/>
                <w:sz w:val="20"/>
                <w:szCs w:val="20"/>
                <w:lang w:eastAsia="en-ZA"/>
              </w:rPr>
            </w:pPr>
          </w:p>
        </w:tc>
        <w:tc>
          <w:tcPr>
            <w:tcW w:w="2165"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Chemicals, rubber, plastic</w:t>
            </w:r>
          </w:p>
        </w:tc>
        <w:tc>
          <w:tcPr>
            <w:tcW w:w="600"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32.8</w:t>
            </w:r>
          </w:p>
        </w:tc>
        <w:tc>
          <w:tcPr>
            <w:tcW w:w="906"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2.5</w:t>
            </w:r>
          </w:p>
        </w:tc>
        <w:tc>
          <w:tcPr>
            <w:tcW w:w="1153"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2.5%</w:t>
            </w:r>
          </w:p>
        </w:tc>
        <w:tc>
          <w:tcPr>
            <w:tcW w:w="905"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-8.9%</w:t>
            </w:r>
          </w:p>
        </w:tc>
        <w:tc>
          <w:tcPr>
            <w:tcW w:w="1196"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-20.1%</w:t>
            </w:r>
          </w:p>
        </w:tc>
        <w:tc>
          <w:tcPr>
            <w:tcW w:w="922"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-17.1%</w:t>
            </w:r>
          </w:p>
        </w:tc>
      </w:tr>
      <w:tr w:rsidR="00CD734A" w:rsidRPr="0072664E" w:rsidTr="00CD734A">
        <w:trPr>
          <w:trHeight w:val="300"/>
          <w:jc w:val="center"/>
        </w:trPr>
        <w:tc>
          <w:tcPr>
            <w:tcW w:w="1096"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72664E" w:rsidRPr="0072664E" w:rsidRDefault="0072664E" w:rsidP="0072664E">
            <w:pPr>
              <w:spacing w:before="0"/>
              <w:rPr>
                <w:rFonts w:ascii="Calibri" w:eastAsia="Times New Roman" w:hAnsi="Calibri" w:cs="Times New Roman"/>
                <w:b/>
                <w:bCs/>
                <w:color w:val="000000"/>
                <w:sz w:val="20"/>
                <w:szCs w:val="20"/>
                <w:lang w:eastAsia="en-ZA"/>
              </w:rPr>
            </w:pPr>
          </w:p>
        </w:tc>
        <w:tc>
          <w:tcPr>
            <w:tcW w:w="2165"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Glass and non-metallic mineral products</w:t>
            </w:r>
          </w:p>
        </w:tc>
        <w:tc>
          <w:tcPr>
            <w:tcW w:w="600"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3.0</w:t>
            </w:r>
          </w:p>
        </w:tc>
        <w:tc>
          <w:tcPr>
            <w:tcW w:w="906"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0.2</w:t>
            </w:r>
          </w:p>
        </w:tc>
        <w:tc>
          <w:tcPr>
            <w:tcW w:w="1153"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7.5%</w:t>
            </w:r>
          </w:p>
        </w:tc>
        <w:tc>
          <w:tcPr>
            <w:tcW w:w="905"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9.0%</w:t>
            </w:r>
          </w:p>
        </w:tc>
        <w:tc>
          <w:tcPr>
            <w:tcW w:w="1196"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-16.2%</w:t>
            </w:r>
          </w:p>
        </w:tc>
        <w:tc>
          <w:tcPr>
            <w:tcW w:w="922"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-1.2%</w:t>
            </w:r>
          </w:p>
        </w:tc>
      </w:tr>
      <w:tr w:rsidR="00CD734A" w:rsidRPr="0072664E" w:rsidTr="00CD734A">
        <w:trPr>
          <w:trHeight w:val="300"/>
          <w:jc w:val="center"/>
        </w:trPr>
        <w:tc>
          <w:tcPr>
            <w:tcW w:w="1096"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72664E" w:rsidRPr="0072664E" w:rsidRDefault="0072664E" w:rsidP="0072664E">
            <w:pPr>
              <w:spacing w:before="0"/>
              <w:rPr>
                <w:rFonts w:ascii="Calibri" w:eastAsia="Times New Roman" w:hAnsi="Calibri" w:cs="Times New Roman"/>
                <w:b/>
                <w:bCs/>
                <w:color w:val="000000"/>
                <w:sz w:val="20"/>
                <w:szCs w:val="20"/>
                <w:lang w:eastAsia="en-ZA"/>
              </w:rPr>
            </w:pPr>
          </w:p>
        </w:tc>
        <w:tc>
          <w:tcPr>
            <w:tcW w:w="2165"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Metal and articles of metal products</w:t>
            </w:r>
          </w:p>
        </w:tc>
        <w:tc>
          <w:tcPr>
            <w:tcW w:w="600"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13.5</w:t>
            </w:r>
          </w:p>
        </w:tc>
        <w:tc>
          <w:tcPr>
            <w:tcW w:w="906"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1.0</w:t>
            </w:r>
          </w:p>
        </w:tc>
        <w:tc>
          <w:tcPr>
            <w:tcW w:w="1153"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-2.4%</w:t>
            </w:r>
          </w:p>
        </w:tc>
        <w:tc>
          <w:tcPr>
            <w:tcW w:w="905"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3.1%</w:t>
            </w:r>
          </w:p>
        </w:tc>
        <w:tc>
          <w:tcPr>
            <w:tcW w:w="1196"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-23.9%</w:t>
            </w:r>
          </w:p>
        </w:tc>
        <w:tc>
          <w:tcPr>
            <w:tcW w:w="922"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-6.3%</w:t>
            </w:r>
          </w:p>
        </w:tc>
      </w:tr>
      <w:tr w:rsidR="00CD734A" w:rsidRPr="0072664E" w:rsidTr="00CD734A">
        <w:trPr>
          <w:trHeight w:val="300"/>
          <w:jc w:val="center"/>
        </w:trPr>
        <w:tc>
          <w:tcPr>
            <w:tcW w:w="1096"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72664E" w:rsidRPr="0072664E" w:rsidRDefault="0072664E" w:rsidP="0072664E">
            <w:pPr>
              <w:spacing w:before="0"/>
              <w:rPr>
                <w:rFonts w:ascii="Calibri" w:eastAsia="Times New Roman" w:hAnsi="Calibri" w:cs="Times New Roman"/>
                <w:b/>
                <w:bCs/>
                <w:color w:val="000000"/>
                <w:sz w:val="20"/>
                <w:szCs w:val="20"/>
                <w:lang w:eastAsia="en-ZA"/>
              </w:rPr>
            </w:pPr>
          </w:p>
        </w:tc>
        <w:tc>
          <w:tcPr>
            <w:tcW w:w="2165"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Machinery, appliances, AV equipment</w:t>
            </w:r>
          </w:p>
        </w:tc>
        <w:tc>
          <w:tcPr>
            <w:tcW w:w="600"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65.0</w:t>
            </w:r>
          </w:p>
        </w:tc>
        <w:tc>
          <w:tcPr>
            <w:tcW w:w="906"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4.9</w:t>
            </w:r>
          </w:p>
        </w:tc>
        <w:tc>
          <w:tcPr>
            <w:tcW w:w="1153"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6.2%</w:t>
            </w:r>
          </w:p>
        </w:tc>
        <w:tc>
          <w:tcPr>
            <w:tcW w:w="905"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-7.1%</w:t>
            </w:r>
          </w:p>
        </w:tc>
        <w:tc>
          <w:tcPr>
            <w:tcW w:w="1196"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-17.1%</w:t>
            </w:r>
          </w:p>
        </w:tc>
        <w:tc>
          <w:tcPr>
            <w:tcW w:w="922"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-15.6%</w:t>
            </w:r>
          </w:p>
        </w:tc>
      </w:tr>
      <w:tr w:rsidR="00CD734A" w:rsidRPr="0072664E" w:rsidTr="00CD734A">
        <w:trPr>
          <w:trHeight w:val="300"/>
          <w:jc w:val="center"/>
        </w:trPr>
        <w:tc>
          <w:tcPr>
            <w:tcW w:w="1096"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72664E" w:rsidRPr="0072664E" w:rsidRDefault="0072664E" w:rsidP="0072664E">
            <w:pPr>
              <w:spacing w:before="0"/>
              <w:rPr>
                <w:rFonts w:ascii="Calibri" w:eastAsia="Times New Roman" w:hAnsi="Calibri" w:cs="Times New Roman"/>
                <w:b/>
                <w:bCs/>
                <w:color w:val="000000"/>
                <w:sz w:val="20"/>
                <w:szCs w:val="20"/>
                <w:lang w:eastAsia="en-ZA"/>
              </w:rPr>
            </w:pPr>
          </w:p>
        </w:tc>
        <w:tc>
          <w:tcPr>
            <w:tcW w:w="2165"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Paper and publishing</w:t>
            </w:r>
          </w:p>
        </w:tc>
        <w:tc>
          <w:tcPr>
            <w:tcW w:w="600"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3.8</w:t>
            </w:r>
          </w:p>
        </w:tc>
        <w:tc>
          <w:tcPr>
            <w:tcW w:w="906"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0.3</w:t>
            </w:r>
          </w:p>
        </w:tc>
        <w:tc>
          <w:tcPr>
            <w:tcW w:w="1153"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17.4%</w:t>
            </w:r>
          </w:p>
        </w:tc>
        <w:tc>
          <w:tcPr>
            <w:tcW w:w="905"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-7.0%</w:t>
            </w:r>
          </w:p>
        </w:tc>
        <w:tc>
          <w:tcPr>
            <w:tcW w:w="1196"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-8.4%</w:t>
            </w:r>
          </w:p>
        </w:tc>
        <w:tc>
          <w:tcPr>
            <w:tcW w:w="922"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-15.4%</w:t>
            </w:r>
          </w:p>
        </w:tc>
      </w:tr>
      <w:tr w:rsidR="00CD734A" w:rsidRPr="0072664E" w:rsidTr="00CD734A">
        <w:trPr>
          <w:trHeight w:val="300"/>
          <w:jc w:val="center"/>
        </w:trPr>
        <w:tc>
          <w:tcPr>
            <w:tcW w:w="1096"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72664E" w:rsidRPr="0072664E" w:rsidRDefault="0072664E" w:rsidP="0072664E">
            <w:pPr>
              <w:spacing w:before="0"/>
              <w:rPr>
                <w:rFonts w:ascii="Calibri" w:eastAsia="Times New Roman" w:hAnsi="Calibri" w:cs="Times New Roman"/>
                <w:b/>
                <w:bCs/>
                <w:color w:val="000000"/>
                <w:sz w:val="20"/>
                <w:szCs w:val="20"/>
                <w:lang w:eastAsia="en-ZA"/>
              </w:rPr>
            </w:pPr>
          </w:p>
        </w:tc>
        <w:tc>
          <w:tcPr>
            <w:tcW w:w="2165"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Transport equipment</w:t>
            </w:r>
          </w:p>
        </w:tc>
        <w:tc>
          <w:tcPr>
            <w:tcW w:w="600"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42.5</w:t>
            </w:r>
          </w:p>
        </w:tc>
        <w:tc>
          <w:tcPr>
            <w:tcW w:w="906"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3.2</w:t>
            </w:r>
          </w:p>
        </w:tc>
        <w:tc>
          <w:tcPr>
            <w:tcW w:w="1153"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-3.9%</w:t>
            </w:r>
          </w:p>
        </w:tc>
        <w:tc>
          <w:tcPr>
            <w:tcW w:w="905"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7.4%</w:t>
            </w:r>
          </w:p>
        </w:tc>
        <w:tc>
          <w:tcPr>
            <w:tcW w:w="1196"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-24.9%</w:t>
            </w:r>
          </w:p>
        </w:tc>
        <w:tc>
          <w:tcPr>
            <w:tcW w:w="922"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-2.5%</w:t>
            </w:r>
          </w:p>
        </w:tc>
      </w:tr>
      <w:tr w:rsidR="00CD734A" w:rsidRPr="0072664E" w:rsidTr="00CD734A">
        <w:trPr>
          <w:trHeight w:val="300"/>
          <w:jc w:val="center"/>
        </w:trPr>
        <w:tc>
          <w:tcPr>
            <w:tcW w:w="1096" w:type="dxa"/>
            <w:vMerge w:val="restart"/>
            <w:tcBorders>
              <w:top w:val="nil"/>
              <w:left w:val="single" w:sz="4" w:space="0" w:color="auto"/>
              <w:bottom w:val="single" w:sz="4" w:space="0" w:color="auto"/>
              <w:right w:val="single" w:sz="4" w:space="0" w:color="auto"/>
            </w:tcBorders>
            <w:shd w:val="clear" w:color="auto" w:fill="DBE5F1" w:themeFill="accent1" w:themeFillTint="33"/>
            <w:noWrap/>
            <w:hideMark/>
          </w:tcPr>
          <w:p w:rsidR="0072664E" w:rsidRPr="0072664E" w:rsidRDefault="0072664E" w:rsidP="0072664E">
            <w:pPr>
              <w:spacing w:before="0"/>
              <w:jc w:val="center"/>
              <w:rPr>
                <w:rFonts w:ascii="Calibri" w:eastAsia="Times New Roman" w:hAnsi="Calibri" w:cs="Times New Roman"/>
                <w:b/>
                <w:bCs/>
                <w:color w:val="000000"/>
                <w:sz w:val="20"/>
                <w:szCs w:val="20"/>
                <w:lang w:eastAsia="en-ZA"/>
              </w:rPr>
            </w:pPr>
            <w:r w:rsidRPr="0072664E">
              <w:rPr>
                <w:rFonts w:ascii="Calibri" w:eastAsia="Times New Roman" w:hAnsi="Calibri" w:cs="Times New Roman"/>
                <w:b/>
                <w:bCs/>
                <w:color w:val="000000"/>
                <w:sz w:val="20"/>
                <w:szCs w:val="20"/>
                <w:lang w:eastAsia="en-ZA"/>
              </w:rPr>
              <w:t>Balance</w:t>
            </w:r>
          </w:p>
        </w:tc>
        <w:tc>
          <w:tcPr>
            <w:tcW w:w="2165"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Food and beverages</w:t>
            </w:r>
          </w:p>
        </w:tc>
        <w:tc>
          <w:tcPr>
            <w:tcW w:w="600"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2.8</w:t>
            </w:r>
          </w:p>
        </w:tc>
        <w:tc>
          <w:tcPr>
            <w:tcW w:w="906"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0.2</w:t>
            </w:r>
          </w:p>
        </w:tc>
        <w:tc>
          <w:tcPr>
            <w:tcW w:w="1153"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17.8%</w:t>
            </w:r>
          </w:p>
        </w:tc>
        <w:tc>
          <w:tcPr>
            <w:tcW w:w="905"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1.1%</w:t>
            </w:r>
          </w:p>
        </w:tc>
        <w:tc>
          <w:tcPr>
            <w:tcW w:w="1196"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14.2%</w:t>
            </w:r>
          </w:p>
        </w:tc>
        <w:tc>
          <w:tcPr>
            <w:tcW w:w="922"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1.2%</w:t>
            </w:r>
          </w:p>
        </w:tc>
      </w:tr>
      <w:tr w:rsidR="00CD734A" w:rsidRPr="0072664E" w:rsidTr="00CD734A">
        <w:trPr>
          <w:trHeight w:val="300"/>
          <w:jc w:val="center"/>
        </w:trPr>
        <w:tc>
          <w:tcPr>
            <w:tcW w:w="1096"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72664E" w:rsidRPr="0072664E" w:rsidRDefault="0072664E" w:rsidP="0072664E">
            <w:pPr>
              <w:spacing w:before="0"/>
              <w:rPr>
                <w:rFonts w:ascii="Calibri" w:eastAsia="Times New Roman" w:hAnsi="Calibri" w:cs="Times New Roman"/>
                <w:b/>
                <w:bCs/>
                <w:color w:val="000000"/>
                <w:sz w:val="20"/>
                <w:szCs w:val="20"/>
                <w:lang w:eastAsia="en-ZA"/>
              </w:rPr>
            </w:pPr>
          </w:p>
        </w:tc>
        <w:tc>
          <w:tcPr>
            <w:tcW w:w="2165"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Textiles, clothing, leather and footwear</w:t>
            </w:r>
          </w:p>
        </w:tc>
        <w:tc>
          <w:tcPr>
            <w:tcW w:w="600"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-9.6</w:t>
            </w:r>
          </w:p>
        </w:tc>
        <w:tc>
          <w:tcPr>
            <w:tcW w:w="906"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-0.8</w:t>
            </w:r>
          </w:p>
        </w:tc>
        <w:tc>
          <w:tcPr>
            <w:tcW w:w="1153"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-7.1%</w:t>
            </w:r>
          </w:p>
        </w:tc>
        <w:tc>
          <w:tcPr>
            <w:tcW w:w="905"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-24.0%</w:t>
            </w:r>
          </w:p>
        </w:tc>
        <w:tc>
          <w:tcPr>
            <w:tcW w:w="1196"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-31.0%</w:t>
            </w:r>
          </w:p>
        </w:tc>
        <w:tc>
          <w:tcPr>
            <w:tcW w:w="922"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-44.8%</w:t>
            </w:r>
          </w:p>
        </w:tc>
      </w:tr>
      <w:tr w:rsidR="00CD734A" w:rsidRPr="0072664E" w:rsidTr="00CD734A">
        <w:trPr>
          <w:trHeight w:val="300"/>
          <w:jc w:val="center"/>
        </w:trPr>
        <w:tc>
          <w:tcPr>
            <w:tcW w:w="1096"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72664E" w:rsidRPr="0072664E" w:rsidRDefault="0072664E" w:rsidP="0072664E">
            <w:pPr>
              <w:spacing w:before="0"/>
              <w:rPr>
                <w:rFonts w:ascii="Calibri" w:eastAsia="Times New Roman" w:hAnsi="Calibri" w:cs="Times New Roman"/>
                <w:b/>
                <w:bCs/>
                <w:color w:val="000000"/>
                <w:sz w:val="20"/>
                <w:szCs w:val="20"/>
                <w:lang w:eastAsia="en-ZA"/>
              </w:rPr>
            </w:pPr>
          </w:p>
        </w:tc>
        <w:tc>
          <w:tcPr>
            <w:tcW w:w="2165"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Wood and wood products</w:t>
            </w:r>
          </w:p>
        </w:tc>
        <w:tc>
          <w:tcPr>
            <w:tcW w:w="600"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0.1</w:t>
            </w:r>
          </w:p>
        </w:tc>
        <w:tc>
          <w:tcPr>
            <w:tcW w:w="906"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0.0</w:t>
            </w:r>
          </w:p>
        </w:tc>
        <w:tc>
          <w:tcPr>
            <w:tcW w:w="1153"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-12.8%</w:t>
            </w:r>
          </w:p>
        </w:tc>
        <w:tc>
          <w:tcPr>
            <w:tcW w:w="905"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-19.8%</w:t>
            </w:r>
          </w:p>
        </w:tc>
        <w:tc>
          <w:tcPr>
            <w:tcW w:w="1196"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-9.4%</w:t>
            </w:r>
          </w:p>
        </w:tc>
        <w:tc>
          <w:tcPr>
            <w:tcW w:w="922"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-16.7%</w:t>
            </w:r>
          </w:p>
        </w:tc>
      </w:tr>
      <w:tr w:rsidR="00CD734A" w:rsidRPr="0072664E" w:rsidTr="00CD734A">
        <w:trPr>
          <w:trHeight w:val="300"/>
          <w:jc w:val="center"/>
        </w:trPr>
        <w:tc>
          <w:tcPr>
            <w:tcW w:w="1096"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72664E" w:rsidRPr="0072664E" w:rsidRDefault="0072664E" w:rsidP="0072664E">
            <w:pPr>
              <w:spacing w:before="0"/>
              <w:rPr>
                <w:rFonts w:ascii="Calibri" w:eastAsia="Times New Roman" w:hAnsi="Calibri" w:cs="Times New Roman"/>
                <w:b/>
                <w:bCs/>
                <w:color w:val="000000"/>
                <w:sz w:val="20"/>
                <w:szCs w:val="20"/>
                <w:lang w:eastAsia="en-ZA"/>
              </w:rPr>
            </w:pPr>
          </w:p>
        </w:tc>
        <w:tc>
          <w:tcPr>
            <w:tcW w:w="2165"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Chemicals, rubber, plastic</w:t>
            </w:r>
          </w:p>
        </w:tc>
        <w:tc>
          <w:tcPr>
            <w:tcW w:w="600"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-15.1</w:t>
            </w:r>
          </w:p>
        </w:tc>
        <w:tc>
          <w:tcPr>
            <w:tcW w:w="906"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-1.1</w:t>
            </w:r>
          </w:p>
        </w:tc>
        <w:tc>
          <w:tcPr>
            <w:tcW w:w="1153"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-1.9%</w:t>
            </w:r>
          </w:p>
        </w:tc>
        <w:tc>
          <w:tcPr>
            <w:tcW w:w="905"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-4.1%</w:t>
            </w:r>
          </w:p>
        </w:tc>
        <w:tc>
          <w:tcPr>
            <w:tcW w:w="1196"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-1.1%</w:t>
            </w:r>
          </w:p>
        </w:tc>
        <w:tc>
          <w:tcPr>
            <w:tcW w:w="922"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-3.2%</w:t>
            </w:r>
          </w:p>
        </w:tc>
      </w:tr>
      <w:tr w:rsidR="00CD734A" w:rsidRPr="0072664E" w:rsidTr="00CD734A">
        <w:trPr>
          <w:trHeight w:val="300"/>
          <w:jc w:val="center"/>
        </w:trPr>
        <w:tc>
          <w:tcPr>
            <w:tcW w:w="1096"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72664E" w:rsidRPr="0072664E" w:rsidRDefault="0072664E" w:rsidP="0072664E">
            <w:pPr>
              <w:spacing w:before="0"/>
              <w:rPr>
                <w:rFonts w:ascii="Calibri" w:eastAsia="Times New Roman" w:hAnsi="Calibri" w:cs="Times New Roman"/>
                <w:b/>
                <w:bCs/>
                <w:color w:val="000000"/>
                <w:sz w:val="20"/>
                <w:szCs w:val="20"/>
                <w:lang w:eastAsia="en-ZA"/>
              </w:rPr>
            </w:pPr>
          </w:p>
        </w:tc>
        <w:tc>
          <w:tcPr>
            <w:tcW w:w="2165"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Glass and non-metallic mineral products</w:t>
            </w:r>
          </w:p>
        </w:tc>
        <w:tc>
          <w:tcPr>
            <w:tcW w:w="600"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-1.4</w:t>
            </w:r>
          </w:p>
        </w:tc>
        <w:tc>
          <w:tcPr>
            <w:tcW w:w="906"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-0.1</w:t>
            </w:r>
          </w:p>
        </w:tc>
        <w:tc>
          <w:tcPr>
            <w:tcW w:w="1153"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42.1%</w:t>
            </w:r>
          </w:p>
        </w:tc>
        <w:tc>
          <w:tcPr>
            <w:tcW w:w="905"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12.0%</w:t>
            </w:r>
          </w:p>
        </w:tc>
        <w:tc>
          <w:tcPr>
            <w:tcW w:w="1196"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33.8%</w:t>
            </w:r>
          </w:p>
        </w:tc>
        <w:tc>
          <w:tcPr>
            <w:tcW w:w="922"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11.9%</w:t>
            </w:r>
          </w:p>
        </w:tc>
      </w:tr>
      <w:tr w:rsidR="00CD734A" w:rsidRPr="0072664E" w:rsidTr="00CD734A">
        <w:trPr>
          <w:trHeight w:val="300"/>
          <w:jc w:val="center"/>
        </w:trPr>
        <w:tc>
          <w:tcPr>
            <w:tcW w:w="1096"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72664E" w:rsidRPr="0072664E" w:rsidRDefault="0072664E" w:rsidP="0072664E">
            <w:pPr>
              <w:spacing w:before="0"/>
              <w:rPr>
                <w:rFonts w:ascii="Calibri" w:eastAsia="Times New Roman" w:hAnsi="Calibri" w:cs="Times New Roman"/>
                <w:b/>
                <w:bCs/>
                <w:color w:val="000000"/>
                <w:sz w:val="20"/>
                <w:szCs w:val="20"/>
                <w:lang w:eastAsia="en-ZA"/>
              </w:rPr>
            </w:pPr>
          </w:p>
        </w:tc>
        <w:tc>
          <w:tcPr>
            <w:tcW w:w="2165"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Metal and articles of metal products</w:t>
            </w:r>
          </w:p>
        </w:tc>
        <w:tc>
          <w:tcPr>
            <w:tcW w:w="600"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14.6</w:t>
            </w:r>
          </w:p>
        </w:tc>
        <w:tc>
          <w:tcPr>
            <w:tcW w:w="906"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1.1</w:t>
            </w:r>
          </w:p>
        </w:tc>
        <w:tc>
          <w:tcPr>
            <w:tcW w:w="1153"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5.2%</w:t>
            </w:r>
          </w:p>
        </w:tc>
        <w:tc>
          <w:tcPr>
            <w:tcW w:w="905"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4.4%</w:t>
            </w:r>
          </w:p>
        </w:tc>
        <w:tc>
          <w:tcPr>
            <w:tcW w:w="1196"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4.4%</w:t>
            </w:r>
          </w:p>
        </w:tc>
        <w:tc>
          <w:tcPr>
            <w:tcW w:w="922"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4.7%</w:t>
            </w:r>
          </w:p>
        </w:tc>
      </w:tr>
      <w:tr w:rsidR="00CD734A" w:rsidRPr="0072664E" w:rsidTr="00CD734A">
        <w:trPr>
          <w:trHeight w:val="300"/>
          <w:jc w:val="center"/>
        </w:trPr>
        <w:tc>
          <w:tcPr>
            <w:tcW w:w="1096"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72664E" w:rsidRPr="0072664E" w:rsidRDefault="0072664E" w:rsidP="0072664E">
            <w:pPr>
              <w:spacing w:before="0"/>
              <w:rPr>
                <w:rFonts w:ascii="Calibri" w:eastAsia="Times New Roman" w:hAnsi="Calibri" w:cs="Times New Roman"/>
                <w:b/>
                <w:bCs/>
                <w:color w:val="000000"/>
                <w:sz w:val="20"/>
                <w:szCs w:val="20"/>
                <w:lang w:eastAsia="en-ZA"/>
              </w:rPr>
            </w:pPr>
          </w:p>
        </w:tc>
        <w:tc>
          <w:tcPr>
            <w:tcW w:w="2165"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Machinery, appliances, AV equipment</w:t>
            </w:r>
          </w:p>
        </w:tc>
        <w:tc>
          <w:tcPr>
            <w:tcW w:w="600"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-42.4</w:t>
            </w:r>
          </w:p>
        </w:tc>
        <w:tc>
          <w:tcPr>
            <w:tcW w:w="906"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-3.2</w:t>
            </w:r>
          </w:p>
        </w:tc>
        <w:tc>
          <w:tcPr>
            <w:tcW w:w="1153"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-4.2%</w:t>
            </w:r>
          </w:p>
        </w:tc>
        <w:tc>
          <w:tcPr>
            <w:tcW w:w="905"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-2.0%</w:t>
            </w:r>
          </w:p>
        </w:tc>
        <w:tc>
          <w:tcPr>
            <w:tcW w:w="1196"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-2.8%</w:t>
            </w:r>
          </w:p>
        </w:tc>
        <w:tc>
          <w:tcPr>
            <w:tcW w:w="922"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-1.3%</w:t>
            </w:r>
          </w:p>
        </w:tc>
      </w:tr>
      <w:tr w:rsidR="00CD734A" w:rsidRPr="0072664E" w:rsidTr="00CD734A">
        <w:trPr>
          <w:trHeight w:val="300"/>
          <w:jc w:val="center"/>
        </w:trPr>
        <w:tc>
          <w:tcPr>
            <w:tcW w:w="1096"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72664E" w:rsidRPr="0072664E" w:rsidRDefault="0072664E" w:rsidP="0072664E">
            <w:pPr>
              <w:spacing w:before="0"/>
              <w:rPr>
                <w:rFonts w:ascii="Calibri" w:eastAsia="Times New Roman" w:hAnsi="Calibri" w:cs="Times New Roman"/>
                <w:b/>
                <w:bCs/>
                <w:color w:val="000000"/>
                <w:sz w:val="20"/>
                <w:szCs w:val="20"/>
                <w:lang w:eastAsia="en-ZA"/>
              </w:rPr>
            </w:pPr>
          </w:p>
        </w:tc>
        <w:tc>
          <w:tcPr>
            <w:tcW w:w="2165"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Paper and publishing</w:t>
            </w:r>
          </w:p>
        </w:tc>
        <w:tc>
          <w:tcPr>
            <w:tcW w:w="600"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1.4</w:t>
            </w:r>
          </w:p>
        </w:tc>
        <w:tc>
          <w:tcPr>
            <w:tcW w:w="906"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0.1</w:t>
            </w:r>
          </w:p>
        </w:tc>
        <w:tc>
          <w:tcPr>
            <w:tcW w:w="1153"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14.8%</w:t>
            </w:r>
          </w:p>
        </w:tc>
        <w:tc>
          <w:tcPr>
            <w:tcW w:w="905"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8.7%</w:t>
            </w:r>
          </w:p>
        </w:tc>
        <w:tc>
          <w:tcPr>
            <w:tcW w:w="1196"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11.8%</w:t>
            </w:r>
          </w:p>
        </w:tc>
        <w:tc>
          <w:tcPr>
            <w:tcW w:w="922"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8.8%</w:t>
            </w:r>
          </w:p>
        </w:tc>
      </w:tr>
      <w:tr w:rsidR="00CD734A" w:rsidRPr="0072664E" w:rsidTr="00CD734A">
        <w:trPr>
          <w:trHeight w:val="300"/>
          <w:jc w:val="center"/>
        </w:trPr>
        <w:tc>
          <w:tcPr>
            <w:tcW w:w="1096"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72664E" w:rsidRPr="0072664E" w:rsidRDefault="0072664E" w:rsidP="0072664E">
            <w:pPr>
              <w:spacing w:before="0"/>
              <w:rPr>
                <w:rFonts w:ascii="Calibri" w:eastAsia="Times New Roman" w:hAnsi="Calibri" w:cs="Times New Roman"/>
                <w:b/>
                <w:bCs/>
                <w:color w:val="000000"/>
                <w:sz w:val="20"/>
                <w:szCs w:val="20"/>
                <w:lang w:eastAsia="en-ZA"/>
              </w:rPr>
            </w:pPr>
          </w:p>
        </w:tc>
        <w:tc>
          <w:tcPr>
            <w:tcW w:w="2165"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Transport equipment</w:t>
            </w:r>
          </w:p>
        </w:tc>
        <w:tc>
          <w:tcPr>
            <w:tcW w:w="600"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-16.1</w:t>
            </w:r>
          </w:p>
        </w:tc>
        <w:tc>
          <w:tcPr>
            <w:tcW w:w="906"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-1.2</w:t>
            </w:r>
          </w:p>
        </w:tc>
        <w:tc>
          <w:tcPr>
            <w:tcW w:w="1153"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6.6%</w:t>
            </w:r>
          </w:p>
        </w:tc>
        <w:tc>
          <w:tcPr>
            <w:tcW w:w="905"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-15.9%</w:t>
            </w:r>
          </w:p>
        </w:tc>
        <w:tc>
          <w:tcPr>
            <w:tcW w:w="1196"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5.8%</w:t>
            </w:r>
          </w:p>
        </w:tc>
        <w:tc>
          <w:tcPr>
            <w:tcW w:w="922" w:type="dxa"/>
            <w:tcBorders>
              <w:top w:val="nil"/>
              <w:left w:val="nil"/>
              <w:bottom w:val="single" w:sz="4" w:space="0" w:color="auto"/>
              <w:right w:val="single" w:sz="4" w:space="0" w:color="auto"/>
            </w:tcBorders>
            <w:shd w:val="clear" w:color="auto" w:fill="DBE5F1" w:themeFill="accent1" w:themeFillTint="33"/>
            <w:noWrap/>
            <w:vAlign w:val="bottom"/>
            <w:hideMark/>
          </w:tcPr>
          <w:p w:rsidR="0072664E" w:rsidRPr="0072664E" w:rsidRDefault="0072664E" w:rsidP="0072664E">
            <w:pPr>
              <w:spacing w:before="0"/>
              <w:jc w:val="right"/>
              <w:rPr>
                <w:rFonts w:ascii="Calibri" w:eastAsia="Times New Roman" w:hAnsi="Calibri" w:cs="Times New Roman"/>
                <w:color w:val="000000"/>
                <w:sz w:val="20"/>
                <w:szCs w:val="20"/>
                <w:lang w:eastAsia="en-ZA"/>
              </w:rPr>
            </w:pPr>
            <w:r w:rsidRPr="0072664E">
              <w:rPr>
                <w:rFonts w:ascii="Calibri" w:eastAsia="Times New Roman" w:hAnsi="Calibri" w:cs="Times New Roman"/>
                <w:color w:val="000000"/>
                <w:sz w:val="20"/>
                <w:szCs w:val="20"/>
                <w:lang w:eastAsia="en-ZA"/>
              </w:rPr>
              <w:t>-13.5%</w:t>
            </w:r>
          </w:p>
        </w:tc>
      </w:tr>
    </w:tbl>
    <w:p w:rsidR="000C07AD" w:rsidRDefault="002862FF" w:rsidP="00CD734A">
      <w:pPr>
        <w:pStyle w:val="source"/>
        <w:rPr>
          <w:sz w:val="18"/>
          <w:szCs w:val="18"/>
        </w:rPr>
      </w:pPr>
      <w:r w:rsidRPr="00CD734A">
        <w:rPr>
          <w:i/>
          <w:sz w:val="18"/>
          <w:szCs w:val="18"/>
        </w:rPr>
        <w:t>Notes:</w:t>
      </w:r>
      <w:r w:rsidRPr="00CD734A">
        <w:rPr>
          <w:sz w:val="18"/>
          <w:szCs w:val="18"/>
        </w:rPr>
        <w:t xml:space="preserve"> (a) Figures for change from </w:t>
      </w:r>
      <w:r w:rsidR="00314150" w:rsidRPr="00CD734A">
        <w:rPr>
          <w:sz w:val="18"/>
          <w:szCs w:val="18"/>
        </w:rPr>
        <w:t>the final quarter of 2015</w:t>
      </w:r>
      <w:r w:rsidRPr="00CD734A">
        <w:rPr>
          <w:sz w:val="18"/>
          <w:szCs w:val="18"/>
        </w:rPr>
        <w:t xml:space="preserve"> are not seasonally adjusted. Constant change in rand </w:t>
      </w:r>
      <w:r w:rsidR="00CD734A">
        <w:rPr>
          <w:sz w:val="18"/>
          <w:szCs w:val="18"/>
        </w:rPr>
        <w:t>c</w:t>
      </w:r>
      <w:r w:rsidRPr="00CD734A">
        <w:rPr>
          <w:sz w:val="18"/>
          <w:szCs w:val="18"/>
        </w:rPr>
        <w:t xml:space="preserve">alculated using CPI to deflate current figures. </w:t>
      </w:r>
      <w:r w:rsidRPr="00CD734A">
        <w:rPr>
          <w:i/>
          <w:sz w:val="18"/>
          <w:szCs w:val="18"/>
        </w:rPr>
        <w:t xml:space="preserve">Source: </w:t>
      </w:r>
      <w:r w:rsidRPr="00CD734A">
        <w:rPr>
          <w:sz w:val="18"/>
          <w:szCs w:val="18"/>
        </w:rPr>
        <w:t>SARS data on trade.</w:t>
      </w:r>
    </w:p>
    <w:p w:rsidR="00CD734A" w:rsidRPr="009D501A" w:rsidRDefault="00CD734A" w:rsidP="00CD734A">
      <w:pPr>
        <w:spacing w:before="240" w:after="120" w:line="264" w:lineRule="auto"/>
        <w:ind w:left="567" w:right="567"/>
        <w:jc w:val="both"/>
      </w:pPr>
      <w:r>
        <w:rPr>
          <w:b/>
          <w:color w:val="1B5468"/>
          <w:sz w:val="28"/>
          <w:szCs w:val="28"/>
        </w:rPr>
        <w:lastRenderedPageBreak/>
        <w:t>Profitability and investment</w:t>
      </w:r>
    </w:p>
    <w:p w:rsidR="00314150" w:rsidRPr="00CD734A" w:rsidRDefault="00314150" w:rsidP="00CD734A">
      <w:pPr>
        <w:spacing w:before="0" w:after="120" w:line="264" w:lineRule="auto"/>
        <w:ind w:left="567" w:right="567"/>
        <w:jc w:val="both"/>
        <w:rPr>
          <w:i/>
          <w:sz w:val="22"/>
        </w:rPr>
      </w:pPr>
      <w:r w:rsidRPr="00CD734A">
        <w:rPr>
          <w:i/>
          <w:sz w:val="22"/>
        </w:rPr>
        <w:t>Profitability among all sectors of the economy declined in the final quarter of 2015. The mining sector co</w:t>
      </w:r>
      <w:r w:rsidR="00623F98" w:rsidRPr="00CD734A">
        <w:rPr>
          <w:i/>
          <w:sz w:val="22"/>
        </w:rPr>
        <w:t>ntinued to post losses, as it di</w:t>
      </w:r>
      <w:r w:rsidRPr="00CD734A">
        <w:rPr>
          <w:i/>
          <w:sz w:val="22"/>
        </w:rPr>
        <w:t xml:space="preserve">d throughout 2015, with fourth quarter losses almost doubling over the previous quarter. </w:t>
      </w:r>
      <w:r w:rsidR="00623F98" w:rsidRPr="00CD734A">
        <w:rPr>
          <w:i/>
          <w:sz w:val="22"/>
        </w:rPr>
        <w:t>While m</w:t>
      </w:r>
      <w:r w:rsidRPr="00CD734A">
        <w:rPr>
          <w:i/>
          <w:sz w:val="22"/>
        </w:rPr>
        <w:t xml:space="preserve">anufacturing </w:t>
      </w:r>
      <w:r w:rsidR="00623F98" w:rsidRPr="00CD734A">
        <w:rPr>
          <w:i/>
          <w:sz w:val="22"/>
        </w:rPr>
        <w:t xml:space="preserve">remained profitable overall, its </w:t>
      </w:r>
      <w:r w:rsidRPr="00CD734A">
        <w:rPr>
          <w:i/>
          <w:sz w:val="22"/>
        </w:rPr>
        <w:t>profits also continued to decline, following a negative path that began in 2011.</w:t>
      </w:r>
      <w:r w:rsidR="003641DC" w:rsidRPr="00CD734A">
        <w:rPr>
          <w:i/>
          <w:sz w:val="22"/>
        </w:rPr>
        <w:t xml:space="preserve"> For the economy as a whole, the investment rate dropped sharply, but it rose slightly in manufacturing. </w:t>
      </w:r>
    </w:p>
    <w:p w:rsidR="003641DC" w:rsidRPr="00CD734A" w:rsidRDefault="00A64CC4" w:rsidP="00CD734A">
      <w:pPr>
        <w:spacing w:before="0" w:after="120" w:line="264" w:lineRule="auto"/>
        <w:ind w:left="567" w:right="567"/>
        <w:rPr>
          <w:sz w:val="22"/>
        </w:rPr>
      </w:pPr>
      <w:r w:rsidRPr="00CD734A">
        <w:rPr>
          <w:sz w:val="22"/>
        </w:rPr>
        <w:t>Statistics South Africa's</w:t>
      </w:r>
      <w:r w:rsidR="002B31D2" w:rsidRPr="00CD734A">
        <w:rPr>
          <w:sz w:val="22"/>
        </w:rPr>
        <w:t xml:space="preserve"> Quarterly Financial Statistics provides information on trends in profitability and capital expenditure in the formal sector outside of agriculture, with information currently available through the </w:t>
      </w:r>
      <w:r w:rsidR="00D2114C" w:rsidRPr="00CD734A">
        <w:rPr>
          <w:sz w:val="22"/>
        </w:rPr>
        <w:t>fourth</w:t>
      </w:r>
      <w:r w:rsidR="002B31D2" w:rsidRPr="00CD734A">
        <w:rPr>
          <w:sz w:val="22"/>
        </w:rPr>
        <w:t xml:space="preserve"> quarter of 2015.</w:t>
      </w:r>
      <w:r w:rsidR="00F97C44" w:rsidRPr="00CD734A">
        <w:rPr>
          <w:sz w:val="22"/>
        </w:rPr>
        <w:t xml:space="preserve"> </w:t>
      </w:r>
    </w:p>
    <w:p w:rsidR="009D501A" w:rsidRDefault="009D501A" w:rsidP="00EE3E5F">
      <w:pPr>
        <w:keepNext/>
        <w:ind w:left="567" w:right="567"/>
      </w:pPr>
      <w:r w:rsidRPr="000549EE">
        <w:rPr>
          <w:b/>
        </w:rPr>
        <w:t xml:space="preserve">Profitability and capital expenditure by sector, </w:t>
      </w:r>
      <w:r w:rsidR="00EE3E5F">
        <w:rPr>
          <w:b/>
        </w:rPr>
        <w:t>Q4</w:t>
      </w:r>
      <w:r>
        <w:rPr>
          <w:b/>
        </w:rPr>
        <w:t xml:space="preserve"> 2015, 2014 and 2010</w:t>
      </w:r>
    </w:p>
    <w:tbl>
      <w:tblPr>
        <w:tblW w:w="43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Look w:val="04A0" w:firstRow="1" w:lastRow="0" w:firstColumn="1" w:lastColumn="0" w:noHBand="0" w:noVBand="1"/>
      </w:tblPr>
      <w:tblGrid>
        <w:gridCol w:w="1433"/>
        <w:gridCol w:w="1066"/>
        <w:gridCol w:w="1134"/>
        <w:gridCol w:w="1134"/>
        <w:gridCol w:w="1134"/>
        <w:gridCol w:w="1134"/>
        <w:gridCol w:w="948"/>
      </w:tblGrid>
      <w:tr w:rsidR="00EE3E5F" w:rsidRPr="003641DC" w:rsidTr="00EE3E5F">
        <w:trPr>
          <w:cantSplit/>
          <w:tblHeader/>
          <w:jc w:val="center"/>
        </w:trPr>
        <w:tc>
          <w:tcPr>
            <w:tcW w:w="898" w:type="pct"/>
            <w:tcBorders>
              <w:bottom w:val="single" w:sz="4" w:space="0" w:color="auto"/>
            </w:tcBorders>
            <w:shd w:val="clear" w:color="auto" w:fill="DBE5F1" w:themeFill="accent1" w:themeFillTint="33"/>
            <w:noWrap/>
            <w:vAlign w:val="bottom"/>
            <w:hideMark/>
          </w:tcPr>
          <w:p w:rsidR="007A4AB4" w:rsidRPr="003641DC" w:rsidRDefault="007A4AB4" w:rsidP="0038536E">
            <w:pPr>
              <w:spacing w:before="0"/>
              <w:rPr>
                <w:rFonts w:ascii="Calibri" w:eastAsia="Times New Roman" w:hAnsi="Calibri" w:cs="Times New Roman"/>
                <w:b/>
                <w:bCs/>
                <w:color w:val="000000"/>
                <w:sz w:val="20"/>
                <w:szCs w:val="20"/>
                <w:lang w:eastAsia="en-ZA"/>
              </w:rPr>
            </w:pPr>
            <w:r w:rsidRPr="003641DC">
              <w:rPr>
                <w:rFonts w:ascii="Calibri" w:eastAsia="Times New Roman" w:hAnsi="Calibri" w:cs="Times New Roman"/>
                <w:b/>
                <w:bCs/>
                <w:color w:val="000000"/>
                <w:sz w:val="20"/>
                <w:szCs w:val="20"/>
                <w:lang w:eastAsia="en-ZA"/>
              </w:rPr>
              <w:t> </w:t>
            </w:r>
          </w:p>
        </w:tc>
        <w:tc>
          <w:tcPr>
            <w:tcW w:w="668" w:type="pct"/>
            <w:tcBorders>
              <w:bottom w:val="single" w:sz="4" w:space="0" w:color="auto"/>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b/>
                <w:bCs/>
                <w:color w:val="000000"/>
                <w:sz w:val="20"/>
                <w:szCs w:val="20"/>
                <w:lang w:eastAsia="en-ZA"/>
              </w:rPr>
            </w:pPr>
            <w:r w:rsidRPr="003641DC">
              <w:rPr>
                <w:rFonts w:ascii="Calibri" w:eastAsia="Times New Roman" w:hAnsi="Calibri" w:cs="Times New Roman"/>
                <w:b/>
                <w:bCs/>
                <w:color w:val="000000"/>
                <w:sz w:val="20"/>
                <w:szCs w:val="20"/>
                <w:lang w:eastAsia="en-ZA"/>
              </w:rPr>
              <w:t xml:space="preserve">Mining </w:t>
            </w:r>
          </w:p>
        </w:tc>
        <w:tc>
          <w:tcPr>
            <w:tcW w:w="710" w:type="pct"/>
            <w:tcBorders>
              <w:bottom w:val="single" w:sz="4" w:space="0" w:color="auto"/>
            </w:tcBorders>
            <w:shd w:val="clear" w:color="auto" w:fill="DBE5F1" w:themeFill="accent1" w:themeFillTint="33"/>
            <w:noWrap/>
            <w:vAlign w:val="center"/>
            <w:hideMark/>
          </w:tcPr>
          <w:p w:rsidR="007A4AB4" w:rsidRPr="003641DC" w:rsidRDefault="00314150" w:rsidP="0038536E">
            <w:pPr>
              <w:spacing w:before="0"/>
              <w:jc w:val="right"/>
              <w:rPr>
                <w:rFonts w:ascii="Calibri" w:eastAsia="Times New Roman" w:hAnsi="Calibri" w:cs="Times New Roman"/>
                <w:b/>
                <w:bCs/>
                <w:color w:val="000000"/>
                <w:sz w:val="20"/>
                <w:szCs w:val="20"/>
                <w:lang w:eastAsia="en-ZA"/>
              </w:rPr>
            </w:pPr>
            <w:proofErr w:type="spellStart"/>
            <w:r w:rsidRPr="003641DC">
              <w:rPr>
                <w:rFonts w:ascii="Calibri" w:eastAsia="Times New Roman" w:hAnsi="Calibri" w:cs="Times New Roman"/>
                <w:b/>
                <w:bCs/>
                <w:color w:val="000000"/>
                <w:sz w:val="20"/>
                <w:szCs w:val="20"/>
                <w:lang w:eastAsia="en-ZA"/>
              </w:rPr>
              <w:t>M</w:t>
            </w:r>
            <w:r w:rsidR="007A4AB4" w:rsidRPr="003641DC">
              <w:rPr>
                <w:rFonts w:ascii="Calibri" w:eastAsia="Times New Roman" w:hAnsi="Calibri" w:cs="Times New Roman"/>
                <w:b/>
                <w:bCs/>
                <w:color w:val="000000"/>
                <w:sz w:val="20"/>
                <w:szCs w:val="20"/>
                <w:lang w:eastAsia="en-ZA"/>
              </w:rPr>
              <w:t>anufac</w:t>
            </w:r>
            <w:r w:rsidRPr="003641DC">
              <w:rPr>
                <w:rFonts w:ascii="Calibri" w:eastAsia="Times New Roman" w:hAnsi="Calibri" w:cs="Times New Roman"/>
                <w:b/>
                <w:bCs/>
                <w:color w:val="000000"/>
                <w:sz w:val="20"/>
                <w:szCs w:val="20"/>
                <w:lang w:eastAsia="en-ZA"/>
              </w:rPr>
              <w:t>-</w:t>
            </w:r>
            <w:r w:rsidR="007A4AB4" w:rsidRPr="003641DC">
              <w:rPr>
                <w:rFonts w:ascii="Calibri" w:eastAsia="Times New Roman" w:hAnsi="Calibri" w:cs="Times New Roman"/>
                <w:b/>
                <w:bCs/>
                <w:color w:val="000000"/>
                <w:sz w:val="20"/>
                <w:szCs w:val="20"/>
                <w:lang w:eastAsia="en-ZA"/>
              </w:rPr>
              <w:t>turing</w:t>
            </w:r>
            <w:proofErr w:type="spellEnd"/>
            <w:r w:rsidR="007A4AB4" w:rsidRPr="003641DC">
              <w:rPr>
                <w:rFonts w:ascii="Calibri" w:eastAsia="Times New Roman" w:hAnsi="Calibri" w:cs="Times New Roman"/>
                <w:b/>
                <w:bCs/>
                <w:color w:val="000000"/>
                <w:sz w:val="20"/>
                <w:szCs w:val="20"/>
                <w:lang w:eastAsia="en-ZA"/>
              </w:rPr>
              <w:t xml:space="preserve"> </w:t>
            </w:r>
          </w:p>
        </w:tc>
        <w:tc>
          <w:tcPr>
            <w:tcW w:w="710" w:type="pct"/>
            <w:tcBorders>
              <w:bottom w:val="single" w:sz="4" w:space="0" w:color="auto"/>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b/>
                <w:bCs/>
                <w:color w:val="000000"/>
                <w:sz w:val="20"/>
                <w:szCs w:val="20"/>
                <w:lang w:eastAsia="en-ZA"/>
              </w:rPr>
            </w:pPr>
            <w:proofErr w:type="spellStart"/>
            <w:r w:rsidRPr="003641DC">
              <w:rPr>
                <w:rFonts w:ascii="Calibri" w:eastAsia="Times New Roman" w:hAnsi="Calibri" w:cs="Times New Roman"/>
                <w:b/>
                <w:bCs/>
                <w:color w:val="000000"/>
                <w:sz w:val="20"/>
                <w:szCs w:val="20"/>
                <w:lang w:eastAsia="en-ZA"/>
              </w:rPr>
              <w:t>Construc</w:t>
            </w:r>
            <w:r w:rsidR="00314150" w:rsidRPr="003641DC">
              <w:rPr>
                <w:rFonts w:ascii="Calibri" w:eastAsia="Times New Roman" w:hAnsi="Calibri" w:cs="Times New Roman"/>
                <w:b/>
                <w:bCs/>
                <w:color w:val="000000"/>
                <w:sz w:val="20"/>
                <w:szCs w:val="20"/>
                <w:lang w:eastAsia="en-ZA"/>
              </w:rPr>
              <w:t>-</w:t>
            </w:r>
            <w:r w:rsidRPr="003641DC">
              <w:rPr>
                <w:rFonts w:ascii="Calibri" w:eastAsia="Times New Roman" w:hAnsi="Calibri" w:cs="Times New Roman"/>
                <w:b/>
                <w:bCs/>
                <w:color w:val="000000"/>
                <w:sz w:val="20"/>
                <w:szCs w:val="20"/>
                <w:lang w:eastAsia="en-ZA"/>
              </w:rPr>
              <w:t>tion</w:t>
            </w:r>
            <w:proofErr w:type="spellEnd"/>
            <w:r w:rsidRPr="003641DC">
              <w:rPr>
                <w:rFonts w:ascii="Calibri" w:eastAsia="Times New Roman" w:hAnsi="Calibri" w:cs="Times New Roman"/>
                <w:b/>
                <w:bCs/>
                <w:color w:val="000000"/>
                <w:sz w:val="20"/>
                <w:szCs w:val="20"/>
                <w:lang w:eastAsia="en-ZA"/>
              </w:rPr>
              <w:t xml:space="preserve"> </w:t>
            </w:r>
          </w:p>
        </w:tc>
        <w:tc>
          <w:tcPr>
            <w:tcW w:w="710" w:type="pct"/>
            <w:tcBorders>
              <w:bottom w:val="single" w:sz="4" w:space="0" w:color="auto"/>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b/>
                <w:bCs/>
                <w:color w:val="000000"/>
                <w:sz w:val="20"/>
                <w:szCs w:val="20"/>
                <w:lang w:eastAsia="en-ZA"/>
              </w:rPr>
            </w:pPr>
            <w:r w:rsidRPr="003641DC">
              <w:rPr>
                <w:rFonts w:ascii="Calibri" w:eastAsia="Times New Roman" w:hAnsi="Calibri" w:cs="Times New Roman"/>
                <w:b/>
                <w:bCs/>
                <w:color w:val="000000"/>
                <w:sz w:val="20"/>
                <w:szCs w:val="20"/>
                <w:lang w:eastAsia="en-ZA"/>
              </w:rPr>
              <w:t xml:space="preserve"> Utilities </w:t>
            </w:r>
          </w:p>
        </w:tc>
        <w:tc>
          <w:tcPr>
            <w:tcW w:w="710" w:type="pct"/>
            <w:tcBorders>
              <w:bottom w:val="single" w:sz="4" w:space="0" w:color="auto"/>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b/>
                <w:bCs/>
                <w:color w:val="000000"/>
                <w:sz w:val="20"/>
                <w:szCs w:val="20"/>
                <w:lang w:eastAsia="en-ZA"/>
              </w:rPr>
            </w:pPr>
            <w:r w:rsidRPr="003641DC">
              <w:rPr>
                <w:rFonts w:ascii="Calibri" w:eastAsia="Times New Roman" w:hAnsi="Calibri" w:cs="Times New Roman"/>
                <w:b/>
                <w:bCs/>
                <w:color w:val="000000"/>
                <w:sz w:val="20"/>
                <w:szCs w:val="20"/>
                <w:lang w:eastAsia="en-ZA"/>
              </w:rPr>
              <w:t xml:space="preserve"> Other sectors </w:t>
            </w:r>
          </w:p>
        </w:tc>
        <w:tc>
          <w:tcPr>
            <w:tcW w:w="594" w:type="pct"/>
            <w:tcBorders>
              <w:bottom w:val="single" w:sz="4" w:space="0" w:color="auto"/>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b/>
                <w:bCs/>
                <w:color w:val="000000"/>
                <w:sz w:val="20"/>
                <w:szCs w:val="20"/>
                <w:lang w:eastAsia="en-ZA"/>
              </w:rPr>
            </w:pPr>
            <w:r w:rsidRPr="003641DC">
              <w:rPr>
                <w:rFonts w:ascii="Calibri" w:eastAsia="Times New Roman" w:hAnsi="Calibri" w:cs="Times New Roman"/>
                <w:b/>
                <w:bCs/>
                <w:color w:val="000000"/>
                <w:sz w:val="20"/>
                <w:szCs w:val="20"/>
                <w:lang w:eastAsia="en-ZA"/>
              </w:rPr>
              <w:t xml:space="preserve"> Total </w:t>
            </w:r>
          </w:p>
        </w:tc>
      </w:tr>
      <w:tr w:rsidR="00EE3E5F" w:rsidRPr="003641DC" w:rsidTr="00EE3E5F">
        <w:trPr>
          <w:cantSplit/>
          <w:jc w:val="center"/>
        </w:trPr>
        <w:tc>
          <w:tcPr>
            <w:tcW w:w="898" w:type="pct"/>
            <w:tcBorders>
              <w:bottom w:val="nil"/>
            </w:tcBorders>
            <w:shd w:val="clear" w:color="auto" w:fill="DBE5F1" w:themeFill="accent1" w:themeFillTint="33"/>
            <w:noWrap/>
            <w:vAlign w:val="bottom"/>
            <w:hideMark/>
          </w:tcPr>
          <w:p w:rsidR="007A4AB4" w:rsidRPr="003641DC" w:rsidRDefault="007A4AB4" w:rsidP="0038536E">
            <w:pPr>
              <w:spacing w:before="0"/>
              <w:rPr>
                <w:rFonts w:ascii="Calibri" w:eastAsia="Times New Roman" w:hAnsi="Calibri" w:cs="Times New Roman"/>
                <w:b/>
                <w:bCs/>
                <w:i/>
                <w:iCs/>
                <w:color w:val="000000"/>
                <w:sz w:val="20"/>
                <w:szCs w:val="20"/>
                <w:lang w:eastAsia="en-ZA"/>
              </w:rPr>
            </w:pPr>
            <w:r w:rsidRPr="003641DC">
              <w:rPr>
                <w:rFonts w:ascii="Calibri" w:eastAsia="Times New Roman" w:hAnsi="Calibri" w:cs="Times New Roman"/>
                <w:b/>
                <w:bCs/>
                <w:i/>
                <w:iCs/>
                <w:color w:val="000000"/>
                <w:sz w:val="20"/>
                <w:szCs w:val="20"/>
                <w:lang w:eastAsia="en-ZA"/>
              </w:rPr>
              <w:t>Profitability</w:t>
            </w:r>
          </w:p>
        </w:tc>
        <w:tc>
          <w:tcPr>
            <w:tcW w:w="668" w:type="pct"/>
            <w:tcBorders>
              <w:bottom w:val="nil"/>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 </w:t>
            </w:r>
          </w:p>
        </w:tc>
        <w:tc>
          <w:tcPr>
            <w:tcW w:w="710" w:type="pct"/>
            <w:tcBorders>
              <w:bottom w:val="nil"/>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 </w:t>
            </w:r>
          </w:p>
        </w:tc>
        <w:tc>
          <w:tcPr>
            <w:tcW w:w="710" w:type="pct"/>
            <w:tcBorders>
              <w:bottom w:val="nil"/>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 </w:t>
            </w:r>
          </w:p>
        </w:tc>
        <w:tc>
          <w:tcPr>
            <w:tcW w:w="710" w:type="pct"/>
            <w:tcBorders>
              <w:bottom w:val="nil"/>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 </w:t>
            </w:r>
          </w:p>
        </w:tc>
        <w:tc>
          <w:tcPr>
            <w:tcW w:w="710" w:type="pct"/>
            <w:tcBorders>
              <w:bottom w:val="nil"/>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 </w:t>
            </w:r>
          </w:p>
        </w:tc>
        <w:tc>
          <w:tcPr>
            <w:tcW w:w="594" w:type="pct"/>
            <w:tcBorders>
              <w:bottom w:val="nil"/>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 </w:t>
            </w:r>
          </w:p>
        </w:tc>
      </w:tr>
      <w:tr w:rsidR="00EE3E5F" w:rsidRPr="00623F98" w:rsidTr="00EE3E5F">
        <w:trPr>
          <w:cantSplit/>
          <w:jc w:val="center"/>
        </w:trPr>
        <w:tc>
          <w:tcPr>
            <w:tcW w:w="898" w:type="pct"/>
            <w:tcBorders>
              <w:top w:val="nil"/>
              <w:bottom w:val="nil"/>
            </w:tcBorders>
            <w:shd w:val="clear" w:color="auto" w:fill="DBE5F1" w:themeFill="accent1" w:themeFillTint="33"/>
            <w:noWrap/>
            <w:vAlign w:val="bottom"/>
          </w:tcPr>
          <w:p w:rsidR="003641DC" w:rsidRPr="00623F98" w:rsidRDefault="003641DC" w:rsidP="003641DC">
            <w:pPr>
              <w:spacing w:before="0"/>
              <w:rPr>
                <w:rFonts w:ascii="Calibri" w:eastAsia="Times New Roman" w:hAnsi="Calibri" w:cs="Times New Roman"/>
                <w:i/>
                <w:color w:val="000000"/>
                <w:sz w:val="20"/>
                <w:szCs w:val="20"/>
                <w:lang w:eastAsia="en-ZA"/>
              </w:rPr>
            </w:pPr>
            <w:r w:rsidRPr="00623F98">
              <w:rPr>
                <w:rFonts w:ascii="Calibri" w:eastAsia="Times New Roman" w:hAnsi="Calibri" w:cs="Times New Roman"/>
                <w:i/>
                <w:color w:val="000000"/>
                <w:sz w:val="20"/>
                <w:szCs w:val="20"/>
                <w:lang w:eastAsia="en-ZA"/>
              </w:rPr>
              <w:t>Profits, Q4 2015</w:t>
            </w:r>
          </w:p>
        </w:tc>
        <w:tc>
          <w:tcPr>
            <w:tcW w:w="668" w:type="pct"/>
            <w:tcBorders>
              <w:top w:val="nil"/>
              <w:bottom w:val="nil"/>
            </w:tcBorders>
            <w:shd w:val="clear" w:color="auto" w:fill="DBE5F1" w:themeFill="accent1" w:themeFillTint="33"/>
            <w:noWrap/>
            <w:vAlign w:val="center"/>
          </w:tcPr>
          <w:p w:rsidR="003641DC" w:rsidRPr="00623F98" w:rsidRDefault="003641DC" w:rsidP="0038536E">
            <w:pPr>
              <w:spacing w:before="0"/>
              <w:jc w:val="right"/>
              <w:rPr>
                <w:rFonts w:ascii="Calibri" w:eastAsia="Times New Roman" w:hAnsi="Calibri" w:cs="Times New Roman"/>
                <w:i/>
                <w:color w:val="000000"/>
                <w:sz w:val="20"/>
                <w:szCs w:val="20"/>
                <w:lang w:eastAsia="en-ZA"/>
              </w:rPr>
            </w:pPr>
            <w:r w:rsidRPr="00623F98">
              <w:rPr>
                <w:rFonts w:ascii="Calibri" w:eastAsia="Times New Roman" w:hAnsi="Calibri" w:cs="Times New Roman"/>
                <w:i/>
                <w:color w:val="000000"/>
                <w:sz w:val="20"/>
                <w:szCs w:val="20"/>
                <w:lang w:eastAsia="en-ZA"/>
              </w:rPr>
              <w:t xml:space="preserve">-R15,2 </w:t>
            </w:r>
            <w:proofErr w:type="spellStart"/>
            <w:r w:rsidRPr="00623F98">
              <w:rPr>
                <w:rFonts w:ascii="Calibri" w:eastAsia="Times New Roman" w:hAnsi="Calibri" w:cs="Times New Roman"/>
                <w:i/>
                <w:color w:val="000000"/>
                <w:sz w:val="20"/>
                <w:szCs w:val="20"/>
                <w:lang w:eastAsia="en-ZA"/>
              </w:rPr>
              <w:t>bn</w:t>
            </w:r>
            <w:proofErr w:type="spellEnd"/>
          </w:p>
        </w:tc>
        <w:tc>
          <w:tcPr>
            <w:tcW w:w="710" w:type="pct"/>
            <w:tcBorders>
              <w:top w:val="nil"/>
              <w:bottom w:val="nil"/>
            </w:tcBorders>
            <w:shd w:val="clear" w:color="auto" w:fill="DBE5F1" w:themeFill="accent1" w:themeFillTint="33"/>
            <w:noWrap/>
            <w:vAlign w:val="center"/>
          </w:tcPr>
          <w:p w:rsidR="003641DC" w:rsidRPr="00623F98" w:rsidRDefault="003641DC" w:rsidP="0038536E">
            <w:pPr>
              <w:spacing w:before="0"/>
              <w:jc w:val="right"/>
              <w:rPr>
                <w:rFonts w:ascii="Calibri" w:eastAsia="Times New Roman" w:hAnsi="Calibri" w:cs="Times New Roman"/>
                <w:i/>
                <w:color w:val="000000"/>
                <w:sz w:val="20"/>
                <w:szCs w:val="20"/>
                <w:lang w:eastAsia="en-ZA"/>
              </w:rPr>
            </w:pPr>
            <w:r w:rsidRPr="00623F98">
              <w:rPr>
                <w:rFonts w:ascii="Calibri" w:eastAsia="Times New Roman" w:hAnsi="Calibri" w:cs="Times New Roman"/>
                <w:i/>
                <w:color w:val="000000"/>
                <w:sz w:val="20"/>
                <w:szCs w:val="20"/>
                <w:lang w:eastAsia="en-ZA"/>
              </w:rPr>
              <w:t xml:space="preserve">R19,9 </w:t>
            </w:r>
            <w:proofErr w:type="spellStart"/>
            <w:r w:rsidRPr="00623F98">
              <w:rPr>
                <w:rFonts w:ascii="Calibri" w:eastAsia="Times New Roman" w:hAnsi="Calibri" w:cs="Times New Roman"/>
                <w:i/>
                <w:color w:val="000000"/>
                <w:sz w:val="20"/>
                <w:szCs w:val="20"/>
                <w:lang w:eastAsia="en-ZA"/>
              </w:rPr>
              <w:t>bn</w:t>
            </w:r>
            <w:proofErr w:type="spellEnd"/>
          </w:p>
        </w:tc>
        <w:tc>
          <w:tcPr>
            <w:tcW w:w="710" w:type="pct"/>
            <w:tcBorders>
              <w:top w:val="nil"/>
              <w:bottom w:val="nil"/>
            </w:tcBorders>
            <w:shd w:val="clear" w:color="auto" w:fill="DBE5F1" w:themeFill="accent1" w:themeFillTint="33"/>
            <w:noWrap/>
            <w:vAlign w:val="center"/>
          </w:tcPr>
          <w:p w:rsidR="003641DC" w:rsidRPr="00623F98" w:rsidRDefault="003641DC" w:rsidP="0038536E">
            <w:pPr>
              <w:spacing w:before="0"/>
              <w:jc w:val="right"/>
              <w:rPr>
                <w:rFonts w:ascii="Calibri" w:eastAsia="Times New Roman" w:hAnsi="Calibri" w:cs="Times New Roman"/>
                <w:i/>
                <w:color w:val="000000"/>
                <w:sz w:val="20"/>
                <w:szCs w:val="20"/>
                <w:lang w:eastAsia="en-ZA"/>
              </w:rPr>
            </w:pPr>
            <w:r w:rsidRPr="00623F98">
              <w:rPr>
                <w:rFonts w:ascii="Calibri" w:eastAsia="Times New Roman" w:hAnsi="Calibri" w:cs="Times New Roman"/>
                <w:i/>
                <w:color w:val="000000"/>
                <w:sz w:val="20"/>
                <w:szCs w:val="20"/>
                <w:lang w:eastAsia="en-ZA"/>
              </w:rPr>
              <w:t xml:space="preserve">R5,9 </w:t>
            </w:r>
            <w:proofErr w:type="spellStart"/>
            <w:r w:rsidRPr="00623F98">
              <w:rPr>
                <w:rFonts w:ascii="Calibri" w:eastAsia="Times New Roman" w:hAnsi="Calibri" w:cs="Times New Roman"/>
                <w:i/>
                <w:color w:val="000000"/>
                <w:sz w:val="20"/>
                <w:szCs w:val="20"/>
                <w:lang w:eastAsia="en-ZA"/>
              </w:rPr>
              <w:t>bn</w:t>
            </w:r>
            <w:proofErr w:type="spellEnd"/>
          </w:p>
        </w:tc>
        <w:tc>
          <w:tcPr>
            <w:tcW w:w="710" w:type="pct"/>
            <w:tcBorders>
              <w:top w:val="nil"/>
              <w:bottom w:val="nil"/>
            </w:tcBorders>
            <w:shd w:val="clear" w:color="auto" w:fill="DBE5F1" w:themeFill="accent1" w:themeFillTint="33"/>
            <w:noWrap/>
            <w:vAlign w:val="center"/>
          </w:tcPr>
          <w:p w:rsidR="003641DC" w:rsidRPr="00623F98" w:rsidRDefault="003641DC" w:rsidP="0038536E">
            <w:pPr>
              <w:spacing w:before="0"/>
              <w:jc w:val="right"/>
              <w:rPr>
                <w:rFonts w:ascii="Calibri" w:eastAsia="Times New Roman" w:hAnsi="Calibri" w:cs="Times New Roman"/>
                <w:i/>
                <w:color w:val="000000"/>
                <w:sz w:val="20"/>
                <w:szCs w:val="20"/>
                <w:lang w:eastAsia="en-ZA"/>
              </w:rPr>
            </w:pPr>
            <w:r w:rsidRPr="00623F98">
              <w:rPr>
                <w:rFonts w:ascii="Calibri" w:eastAsia="Times New Roman" w:hAnsi="Calibri" w:cs="Times New Roman"/>
                <w:i/>
                <w:color w:val="000000"/>
                <w:sz w:val="20"/>
                <w:szCs w:val="20"/>
                <w:lang w:eastAsia="en-ZA"/>
              </w:rPr>
              <w:t xml:space="preserve">R1,1 </w:t>
            </w:r>
            <w:proofErr w:type="spellStart"/>
            <w:r w:rsidRPr="00623F98">
              <w:rPr>
                <w:rFonts w:ascii="Calibri" w:eastAsia="Times New Roman" w:hAnsi="Calibri" w:cs="Times New Roman"/>
                <w:i/>
                <w:color w:val="000000"/>
                <w:sz w:val="20"/>
                <w:szCs w:val="20"/>
                <w:lang w:eastAsia="en-ZA"/>
              </w:rPr>
              <w:t>bn</w:t>
            </w:r>
            <w:proofErr w:type="spellEnd"/>
          </w:p>
        </w:tc>
        <w:tc>
          <w:tcPr>
            <w:tcW w:w="710" w:type="pct"/>
            <w:tcBorders>
              <w:top w:val="nil"/>
              <w:bottom w:val="nil"/>
            </w:tcBorders>
            <w:shd w:val="clear" w:color="auto" w:fill="DBE5F1" w:themeFill="accent1" w:themeFillTint="33"/>
            <w:noWrap/>
            <w:vAlign w:val="center"/>
          </w:tcPr>
          <w:p w:rsidR="003641DC" w:rsidRPr="00623F98" w:rsidRDefault="003641DC" w:rsidP="0038536E">
            <w:pPr>
              <w:spacing w:before="0"/>
              <w:jc w:val="right"/>
              <w:rPr>
                <w:rFonts w:ascii="Calibri" w:eastAsia="Times New Roman" w:hAnsi="Calibri" w:cs="Times New Roman"/>
                <w:i/>
                <w:color w:val="000000"/>
                <w:sz w:val="20"/>
                <w:szCs w:val="20"/>
                <w:lang w:eastAsia="en-ZA"/>
              </w:rPr>
            </w:pPr>
            <w:r w:rsidRPr="00623F98">
              <w:rPr>
                <w:rFonts w:ascii="Calibri" w:eastAsia="Times New Roman" w:hAnsi="Calibri" w:cs="Times New Roman"/>
                <w:i/>
                <w:color w:val="000000"/>
                <w:sz w:val="20"/>
                <w:szCs w:val="20"/>
                <w:lang w:eastAsia="en-ZA"/>
              </w:rPr>
              <w:t xml:space="preserve">R79,8 </w:t>
            </w:r>
            <w:proofErr w:type="spellStart"/>
            <w:r w:rsidRPr="00623F98">
              <w:rPr>
                <w:rFonts w:ascii="Calibri" w:eastAsia="Times New Roman" w:hAnsi="Calibri" w:cs="Times New Roman"/>
                <w:i/>
                <w:color w:val="000000"/>
                <w:sz w:val="20"/>
                <w:szCs w:val="20"/>
                <w:lang w:eastAsia="en-ZA"/>
              </w:rPr>
              <w:t>bn</w:t>
            </w:r>
            <w:proofErr w:type="spellEnd"/>
          </w:p>
        </w:tc>
        <w:tc>
          <w:tcPr>
            <w:tcW w:w="594" w:type="pct"/>
            <w:tcBorders>
              <w:top w:val="nil"/>
              <w:bottom w:val="nil"/>
            </w:tcBorders>
            <w:shd w:val="clear" w:color="auto" w:fill="DBE5F1" w:themeFill="accent1" w:themeFillTint="33"/>
            <w:noWrap/>
            <w:vAlign w:val="center"/>
          </w:tcPr>
          <w:p w:rsidR="003641DC" w:rsidRPr="00623F98" w:rsidRDefault="003641DC" w:rsidP="0038536E">
            <w:pPr>
              <w:spacing w:before="0"/>
              <w:jc w:val="right"/>
              <w:rPr>
                <w:rFonts w:ascii="Calibri" w:eastAsia="Times New Roman" w:hAnsi="Calibri" w:cs="Times New Roman"/>
                <w:i/>
                <w:color w:val="000000"/>
                <w:sz w:val="20"/>
                <w:szCs w:val="20"/>
                <w:lang w:eastAsia="en-ZA"/>
              </w:rPr>
            </w:pPr>
            <w:r w:rsidRPr="00623F98">
              <w:rPr>
                <w:rFonts w:ascii="Calibri" w:eastAsia="Times New Roman" w:hAnsi="Calibri" w:cs="Times New Roman"/>
                <w:i/>
                <w:color w:val="000000"/>
                <w:sz w:val="20"/>
                <w:szCs w:val="20"/>
                <w:lang w:eastAsia="en-ZA"/>
              </w:rPr>
              <w:t xml:space="preserve">R91,5 </w:t>
            </w:r>
            <w:proofErr w:type="spellStart"/>
            <w:r w:rsidRPr="00623F98">
              <w:rPr>
                <w:rFonts w:ascii="Calibri" w:eastAsia="Times New Roman" w:hAnsi="Calibri" w:cs="Times New Roman"/>
                <w:i/>
                <w:color w:val="000000"/>
                <w:sz w:val="20"/>
                <w:szCs w:val="20"/>
                <w:lang w:eastAsia="en-ZA"/>
              </w:rPr>
              <w:t>bn</w:t>
            </w:r>
            <w:proofErr w:type="spellEnd"/>
          </w:p>
        </w:tc>
      </w:tr>
      <w:tr w:rsidR="00EE3E5F" w:rsidRPr="003641DC" w:rsidTr="00EE3E5F">
        <w:trPr>
          <w:cantSplit/>
          <w:jc w:val="center"/>
        </w:trPr>
        <w:tc>
          <w:tcPr>
            <w:tcW w:w="898" w:type="pct"/>
            <w:tcBorders>
              <w:top w:val="nil"/>
              <w:bottom w:val="nil"/>
            </w:tcBorders>
            <w:shd w:val="clear" w:color="auto" w:fill="DBE5F1" w:themeFill="accent1" w:themeFillTint="33"/>
            <w:noWrap/>
            <w:vAlign w:val="bottom"/>
            <w:hideMark/>
          </w:tcPr>
          <w:p w:rsidR="007A4AB4" w:rsidRPr="003641DC" w:rsidRDefault="007A4AB4" w:rsidP="0038536E">
            <w:pPr>
              <w:spacing w:before="0"/>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Return on capital</w:t>
            </w:r>
            <w:r w:rsidR="00623F98">
              <w:rPr>
                <w:rFonts w:ascii="Calibri" w:eastAsia="Times New Roman" w:hAnsi="Calibri" w:cs="Times New Roman"/>
                <w:color w:val="000000"/>
                <w:sz w:val="20"/>
                <w:szCs w:val="20"/>
                <w:lang w:eastAsia="en-ZA"/>
              </w:rPr>
              <w:t xml:space="preserve"> (a)</w:t>
            </w:r>
          </w:p>
        </w:tc>
        <w:tc>
          <w:tcPr>
            <w:tcW w:w="668" w:type="pct"/>
            <w:tcBorders>
              <w:top w:val="nil"/>
              <w:bottom w:val="nil"/>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 </w:t>
            </w:r>
          </w:p>
        </w:tc>
        <w:tc>
          <w:tcPr>
            <w:tcW w:w="710" w:type="pct"/>
            <w:tcBorders>
              <w:top w:val="nil"/>
              <w:bottom w:val="nil"/>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 </w:t>
            </w:r>
          </w:p>
        </w:tc>
        <w:tc>
          <w:tcPr>
            <w:tcW w:w="710" w:type="pct"/>
            <w:tcBorders>
              <w:top w:val="nil"/>
              <w:bottom w:val="nil"/>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 </w:t>
            </w:r>
          </w:p>
        </w:tc>
        <w:tc>
          <w:tcPr>
            <w:tcW w:w="710" w:type="pct"/>
            <w:tcBorders>
              <w:top w:val="nil"/>
              <w:bottom w:val="nil"/>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 </w:t>
            </w:r>
          </w:p>
        </w:tc>
        <w:tc>
          <w:tcPr>
            <w:tcW w:w="710" w:type="pct"/>
            <w:tcBorders>
              <w:top w:val="nil"/>
              <w:bottom w:val="nil"/>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 </w:t>
            </w:r>
          </w:p>
        </w:tc>
        <w:tc>
          <w:tcPr>
            <w:tcW w:w="594" w:type="pct"/>
            <w:tcBorders>
              <w:top w:val="nil"/>
              <w:bottom w:val="nil"/>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 </w:t>
            </w:r>
          </w:p>
        </w:tc>
      </w:tr>
      <w:tr w:rsidR="00EE3E5F" w:rsidRPr="003641DC" w:rsidTr="00EE3E5F">
        <w:trPr>
          <w:cantSplit/>
          <w:jc w:val="center"/>
        </w:trPr>
        <w:tc>
          <w:tcPr>
            <w:tcW w:w="898" w:type="pct"/>
            <w:tcBorders>
              <w:top w:val="nil"/>
              <w:bottom w:val="nil"/>
            </w:tcBorders>
            <w:shd w:val="clear" w:color="auto" w:fill="DBE5F1" w:themeFill="accent1" w:themeFillTint="33"/>
            <w:noWrap/>
            <w:vAlign w:val="bottom"/>
            <w:hideMark/>
          </w:tcPr>
          <w:p w:rsidR="007A4AB4" w:rsidRPr="003641DC" w:rsidRDefault="007A4AB4" w:rsidP="00623F98">
            <w:pPr>
              <w:spacing w:before="0"/>
              <w:ind w:firstLine="182"/>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Q4 2015</w:t>
            </w:r>
          </w:p>
        </w:tc>
        <w:tc>
          <w:tcPr>
            <w:tcW w:w="668" w:type="pct"/>
            <w:tcBorders>
              <w:top w:val="nil"/>
              <w:bottom w:val="nil"/>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-3.1%</w:t>
            </w:r>
          </w:p>
        </w:tc>
        <w:tc>
          <w:tcPr>
            <w:tcW w:w="710" w:type="pct"/>
            <w:tcBorders>
              <w:top w:val="nil"/>
              <w:bottom w:val="nil"/>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4.4%</w:t>
            </w:r>
          </w:p>
        </w:tc>
        <w:tc>
          <w:tcPr>
            <w:tcW w:w="710" w:type="pct"/>
            <w:tcBorders>
              <w:top w:val="nil"/>
              <w:bottom w:val="nil"/>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13.0%</w:t>
            </w:r>
          </w:p>
        </w:tc>
        <w:tc>
          <w:tcPr>
            <w:tcW w:w="710" w:type="pct"/>
            <w:tcBorders>
              <w:top w:val="nil"/>
              <w:bottom w:val="nil"/>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0.2%</w:t>
            </w:r>
          </w:p>
        </w:tc>
        <w:tc>
          <w:tcPr>
            <w:tcW w:w="710" w:type="pct"/>
            <w:tcBorders>
              <w:top w:val="nil"/>
              <w:bottom w:val="nil"/>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7.3%</w:t>
            </w:r>
          </w:p>
        </w:tc>
        <w:tc>
          <w:tcPr>
            <w:tcW w:w="594" w:type="pct"/>
            <w:tcBorders>
              <w:top w:val="nil"/>
              <w:bottom w:val="nil"/>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3.5%</w:t>
            </w:r>
          </w:p>
        </w:tc>
      </w:tr>
      <w:tr w:rsidR="00EE3E5F" w:rsidRPr="003641DC" w:rsidTr="00EE3E5F">
        <w:trPr>
          <w:cantSplit/>
          <w:jc w:val="center"/>
        </w:trPr>
        <w:tc>
          <w:tcPr>
            <w:tcW w:w="898" w:type="pct"/>
            <w:tcBorders>
              <w:top w:val="nil"/>
              <w:bottom w:val="nil"/>
            </w:tcBorders>
            <w:shd w:val="clear" w:color="auto" w:fill="DBE5F1" w:themeFill="accent1" w:themeFillTint="33"/>
            <w:noWrap/>
            <w:vAlign w:val="bottom"/>
            <w:hideMark/>
          </w:tcPr>
          <w:p w:rsidR="007A4AB4" w:rsidRPr="003641DC" w:rsidRDefault="007A4AB4" w:rsidP="00623F98">
            <w:pPr>
              <w:spacing w:before="0"/>
              <w:ind w:firstLine="182"/>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Q4 2014</w:t>
            </w:r>
          </w:p>
        </w:tc>
        <w:tc>
          <w:tcPr>
            <w:tcW w:w="668" w:type="pct"/>
            <w:tcBorders>
              <w:top w:val="nil"/>
              <w:bottom w:val="nil"/>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0.0%</w:t>
            </w:r>
          </w:p>
        </w:tc>
        <w:tc>
          <w:tcPr>
            <w:tcW w:w="710" w:type="pct"/>
            <w:tcBorders>
              <w:top w:val="nil"/>
              <w:bottom w:val="nil"/>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5.9%</w:t>
            </w:r>
          </w:p>
        </w:tc>
        <w:tc>
          <w:tcPr>
            <w:tcW w:w="710" w:type="pct"/>
            <w:tcBorders>
              <w:top w:val="nil"/>
              <w:bottom w:val="nil"/>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2.8%</w:t>
            </w:r>
          </w:p>
        </w:tc>
        <w:tc>
          <w:tcPr>
            <w:tcW w:w="710" w:type="pct"/>
            <w:tcBorders>
              <w:top w:val="nil"/>
              <w:bottom w:val="nil"/>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-0.6%</w:t>
            </w:r>
          </w:p>
        </w:tc>
        <w:tc>
          <w:tcPr>
            <w:tcW w:w="710" w:type="pct"/>
            <w:tcBorders>
              <w:top w:val="nil"/>
              <w:bottom w:val="nil"/>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10.2%</w:t>
            </w:r>
          </w:p>
        </w:tc>
        <w:tc>
          <w:tcPr>
            <w:tcW w:w="594" w:type="pct"/>
            <w:tcBorders>
              <w:top w:val="nil"/>
              <w:bottom w:val="nil"/>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4.8%</w:t>
            </w:r>
          </w:p>
        </w:tc>
      </w:tr>
      <w:tr w:rsidR="00EE3E5F" w:rsidRPr="003641DC" w:rsidTr="00EE3E5F">
        <w:trPr>
          <w:cantSplit/>
          <w:jc w:val="center"/>
        </w:trPr>
        <w:tc>
          <w:tcPr>
            <w:tcW w:w="898" w:type="pct"/>
            <w:tcBorders>
              <w:top w:val="nil"/>
              <w:bottom w:val="single" w:sz="4" w:space="0" w:color="auto"/>
            </w:tcBorders>
            <w:shd w:val="clear" w:color="auto" w:fill="DBE5F1" w:themeFill="accent1" w:themeFillTint="33"/>
            <w:noWrap/>
            <w:vAlign w:val="bottom"/>
            <w:hideMark/>
          </w:tcPr>
          <w:p w:rsidR="007A4AB4" w:rsidRPr="003641DC" w:rsidRDefault="007A4AB4" w:rsidP="00623F98">
            <w:pPr>
              <w:spacing w:before="0"/>
              <w:ind w:firstLine="182"/>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Q4 2010</w:t>
            </w:r>
          </w:p>
        </w:tc>
        <w:tc>
          <w:tcPr>
            <w:tcW w:w="668" w:type="pct"/>
            <w:tcBorders>
              <w:top w:val="nil"/>
              <w:bottom w:val="single" w:sz="4" w:space="0" w:color="auto"/>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5.9%</w:t>
            </w:r>
          </w:p>
        </w:tc>
        <w:tc>
          <w:tcPr>
            <w:tcW w:w="710" w:type="pct"/>
            <w:tcBorders>
              <w:top w:val="nil"/>
              <w:bottom w:val="single" w:sz="4" w:space="0" w:color="auto"/>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8.0%</w:t>
            </w:r>
          </w:p>
        </w:tc>
        <w:tc>
          <w:tcPr>
            <w:tcW w:w="710" w:type="pct"/>
            <w:tcBorders>
              <w:top w:val="nil"/>
              <w:bottom w:val="single" w:sz="4" w:space="0" w:color="auto"/>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6.6%</w:t>
            </w:r>
          </w:p>
        </w:tc>
        <w:tc>
          <w:tcPr>
            <w:tcW w:w="710" w:type="pct"/>
            <w:tcBorders>
              <w:top w:val="nil"/>
              <w:bottom w:val="single" w:sz="4" w:space="0" w:color="auto"/>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-0.3%</w:t>
            </w:r>
          </w:p>
        </w:tc>
        <w:tc>
          <w:tcPr>
            <w:tcW w:w="710" w:type="pct"/>
            <w:tcBorders>
              <w:top w:val="nil"/>
              <w:bottom w:val="single" w:sz="4" w:space="0" w:color="auto"/>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6.0%</w:t>
            </w:r>
          </w:p>
        </w:tc>
        <w:tc>
          <w:tcPr>
            <w:tcW w:w="594" w:type="pct"/>
            <w:tcBorders>
              <w:top w:val="nil"/>
              <w:bottom w:val="single" w:sz="4" w:space="0" w:color="auto"/>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5.5%</w:t>
            </w:r>
          </w:p>
        </w:tc>
      </w:tr>
      <w:tr w:rsidR="00EE3E5F" w:rsidRPr="003641DC" w:rsidTr="00EE3E5F">
        <w:trPr>
          <w:cantSplit/>
          <w:jc w:val="center"/>
        </w:trPr>
        <w:tc>
          <w:tcPr>
            <w:tcW w:w="898" w:type="pct"/>
            <w:tcBorders>
              <w:bottom w:val="nil"/>
            </w:tcBorders>
            <w:shd w:val="clear" w:color="auto" w:fill="DBE5F1" w:themeFill="accent1" w:themeFillTint="33"/>
            <w:noWrap/>
            <w:vAlign w:val="bottom"/>
            <w:hideMark/>
          </w:tcPr>
          <w:p w:rsidR="007A4AB4" w:rsidRPr="003641DC" w:rsidRDefault="007A4AB4" w:rsidP="003641DC">
            <w:pPr>
              <w:keepNext/>
              <w:spacing w:before="0"/>
              <w:rPr>
                <w:rFonts w:ascii="Calibri" w:eastAsia="Times New Roman" w:hAnsi="Calibri" w:cs="Times New Roman"/>
                <w:b/>
                <w:bCs/>
                <w:i/>
                <w:iCs/>
                <w:color w:val="000000"/>
                <w:sz w:val="20"/>
                <w:szCs w:val="20"/>
                <w:lang w:eastAsia="en-ZA"/>
              </w:rPr>
            </w:pPr>
            <w:r w:rsidRPr="003641DC">
              <w:rPr>
                <w:rFonts w:ascii="Calibri" w:eastAsia="Times New Roman" w:hAnsi="Calibri" w:cs="Times New Roman"/>
                <w:b/>
                <w:bCs/>
                <w:i/>
                <w:iCs/>
                <w:color w:val="000000"/>
                <w:sz w:val="20"/>
                <w:szCs w:val="20"/>
                <w:lang w:eastAsia="en-ZA"/>
              </w:rPr>
              <w:t>Capital expenditure</w:t>
            </w:r>
          </w:p>
        </w:tc>
        <w:tc>
          <w:tcPr>
            <w:tcW w:w="668" w:type="pct"/>
            <w:tcBorders>
              <w:bottom w:val="nil"/>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 </w:t>
            </w:r>
          </w:p>
        </w:tc>
        <w:tc>
          <w:tcPr>
            <w:tcW w:w="710" w:type="pct"/>
            <w:tcBorders>
              <w:bottom w:val="nil"/>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 </w:t>
            </w:r>
          </w:p>
        </w:tc>
        <w:tc>
          <w:tcPr>
            <w:tcW w:w="710" w:type="pct"/>
            <w:tcBorders>
              <w:bottom w:val="nil"/>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 </w:t>
            </w:r>
          </w:p>
        </w:tc>
        <w:tc>
          <w:tcPr>
            <w:tcW w:w="710" w:type="pct"/>
            <w:tcBorders>
              <w:bottom w:val="nil"/>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 </w:t>
            </w:r>
          </w:p>
        </w:tc>
        <w:tc>
          <w:tcPr>
            <w:tcW w:w="710" w:type="pct"/>
            <w:tcBorders>
              <w:bottom w:val="nil"/>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 </w:t>
            </w:r>
          </w:p>
        </w:tc>
        <w:tc>
          <w:tcPr>
            <w:tcW w:w="594" w:type="pct"/>
            <w:tcBorders>
              <w:bottom w:val="nil"/>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 </w:t>
            </w:r>
          </w:p>
        </w:tc>
      </w:tr>
      <w:tr w:rsidR="00EE3E5F" w:rsidRPr="00623F98" w:rsidTr="00EE3E5F">
        <w:trPr>
          <w:cantSplit/>
          <w:jc w:val="center"/>
        </w:trPr>
        <w:tc>
          <w:tcPr>
            <w:tcW w:w="898" w:type="pct"/>
            <w:tcBorders>
              <w:top w:val="nil"/>
              <w:bottom w:val="nil"/>
            </w:tcBorders>
            <w:shd w:val="clear" w:color="auto" w:fill="DBE5F1" w:themeFill="accent1" w:themeFillTint="33"/>
            <w:noWrap/>
            <w:vAlign w:val="bottom"/>
            <w:hideMark/>
          </w:tcPr>
          <w:p w:rsidR="007A4AB4" w:rsidRPr="00623F98" w:rsidRDefault="007A4AB4" w:rsidP="003641DC">
            <w:pPr>
              <w:spacing w:before="0"/>
              <w:rPr>
                <w:rFonts w:ascii="Calibri" w:eastAsia="Times New Roman" w:hAnsi="Calibri" w:cs="Times New Roman"/>
                <w:i/>
                <w:color w:val="000000"/>
                <w:sz w:val="20"/>
                <w:szCs w:val="20"/>
                <w:lang w:eastAsia="en-ZA"/>
              </w:rPr>
            </w:pPr>
            <w:r w:rsidRPr="00623F98">
              <w:rPr>
                <w:rFonts w:ascii="Calibri" w:eastAsia="Times New Roman" w:hAnsi="Calibri" w:cs="Times New Roman"/>
                <w:i/>
                <w:color w:val="000000"/>
                <w:sz w:val="20"/>
                <w:szCs w:val="20"/>
                <w:lang w:eastAsia="en-ZA"/>
              </w:rPr>
              <w:t>Capital expenditure, Q4 2015</w:t>
            </w:r>
          </w:p>
        </w:tc>
        <w:tc>
          <w:tcPr>
            <w:tcW w:w="668" w:type="pct"/>
            <w:tcBorders>
              <w:top w:val="nil"/>
              <w:bottom w:val="nil"/>
            </w:tcBorders>
            <w:shd w:val="clear" w:color="auto" w:fill="DBE5F1" w:themeFill="accent1" w:themeFillTint="33"/>
            <w:noWrap/>
            <w:vAlign w:val="bottom"/>
            <w:hideMark/>
          </w:tcPr>
          <w:p w:rsidR="007A4AB4" w:rsidRPr="00623F98" w:rsidRDefault="007A4AB4" w:rsidP="003641DC">
            <w:pPr>
              <w:spacing w:before="0"/>
              <w:jc w:val="right"/>
              <w:rPr>
                <w:rFonts w:ascii="Calibri" w:eastAsia="Times New Roman" w:hAnsi="Calibri" w:cs="Times New Roman"/>
                <w:i/>
                <w:color w:val="000000"/>
                <w:sz w:val="20"/>
                <w:szCs w:val="20"/>
                <w:lang w:eastAsia="en-ZA"/>
              </w:rPr>
            </w:pPr>
            <w:r w:rsidRPr="00623F98">
              <w:rPr>
                <w:rFonts w:ascii="Calibri" w:eastAsia="Times New Roman" w:hAnsi="Calibri" w:cs="Times New Roman"/>
                <w:i/>
                <w:color w:val="000000"/>
                <w:sz w:val="20"/>
                <w:szCs w:val="20"/>
                <w:lang w:eastAsia="en-ZA"/>
              </w:rPr>
              <w:t xml:space="preserve"> </w:t>
            </w:r>
            <w:r w:rsidR="003641DC" w:rsidRPr="00623F98">
              <w:rPr>
                <w:rFonts w:ascii="Calibri" w:eastAsia="Times New Roman" w:hAnsi="Calibri" w:cs="Times New Roman"/>
                <w:i/>
                <w:color w:val="000000"/>
                <w:sz w:val="20"/>
                <w:szCs w:val="20"/>
                <w:lang w:eastAsia="en-ZA"/>
              </w:rPr>
              <w:t>R</w:t>
            </w:r>
            <w:r w:rsidRPr="00623F98">
              <w:rPr>
                <w:rFonts w:ascii="Calibri" w:eastAsia="Times New Roman" w:hAnsi="Calibri" w:cs="Times New Roman"/>
                <w:i/>
                <w:color w:val="000000"/>
                <w:sz w:val="20"/>
                <w:szCs w:val="20"/>
                <w:lang w:eastAsia="en-ZA"/>
              </w:rPr>
              <w:t>12</w:t>
            </w:r>
            <w:r w:rsidR="003641DC" w:rsidRPr="00623F98">
              <w:rPr>
                <w:rFonts w:ascii="Calibri" w:eastAsia="Times New Roman" w:hAnsi="Calibri" w:cs="Times New Roman"/>
                <w:i/>
                <w:color w:val="000000"/>
                <w:sz w:val="20"/>
                <w:szCs w:val="20"/>
                <w:lang w:eastAsia="en-ZA"/>
              </w:rPr>
              <w:t>,</w:t>
            </w:r>
            <w:r w:rsidRPr="00623F98">
              <w:rPr>
                <w:rFonts w:ascii="Calibri" w:eastAsia="Times New Roman" w:hAnsi="Calibri" w:cs="Times New Roman"/>
                <w:i/>
                <w:color w:val="000000"/>
                <w:sz w:val="20"/>
                <w:szCs w:val="20"/>
                <w:lang w:eastAsia="en-ZA"/>
              </w:rPr>
              <w:t>3</w:t>
            </w:r>
            <w:r w:rsidR="003641DC" w:rsidRPr="00623F98">
              <w:rPr>
                <w:rFonts w:ascii="Calibri" w:eastAsia="Times New Roman" w:hAnsi="Calibri" w:cs="Times New Roman"/>
                <w:i/>
                <w:color w:val="000000"/>
                <w:sz w:val="20"/>
                <w:szCs w:val="20"/>
                <w:lang w:eastAsia="en-ZA"/>
              </w:rPr>
              <w:t xml:space="preserve"> </w:t>
            </w:r>
            <w:proofErr w:type="spellStart"/>
            <w:r w:rsidR="003641DC" w:rsidRPr="00623F98">
              <w:rPr>
                <w:rFonts w:ascii="Calibri" w:eastAsia="Times New Roman" w:hAnsi="Calibri" w:cs="Times New Roman"/>
                <w:i/>
                <w:color w:val="000000"/>
                <w:sz w:val="20"/>
                <w:szCs w:val="20"/>
                <w:lang w:eastAsia="en-ZA"/>
              </w:rPr>
              <w:t>bn</w:t>
            </w:r>
            <w:proofErr w:type="spellEnd"/>
            <w:r w:rsidRPr="00623F98">
              <w:rPr>
                <w:rFonts w:ascii="Calibri" w:eastAsia="Times New Roman" w:hAnsi="Calibri" w:cs="Times New Roman"/>
                <w:i/>
                <w:color w:val="000000"/>
                <w:sz w:val="20"/>
                <w:szCs w:val="20"/>
                <w:lang w:eastAsia="en-ZA"/>
              </w:rPr>
              <w:t xml:space="preserve"> </w:t>
            </w:r>
          </w:p>
        </w:tc>
        <w:tc>
          <w:tcPr>
            <w:tcW w:w="710" w:type="pct"/>
            <w:tcBorders>
              <w:top w:val="nil"/>
              <w:bottom w:val="nil"/>
            </w:tcBorders>
            <w:shd w:val="clear" w:color="auto" w:fill="DBE5F1" w:themeFill="accent1" w:themeFillTint="33"/>
            <w:noWrap/>
            <w:vAlign w:val="bottom"/>
            <w:hideMark/>
          </w:tcPr>
          <w:p w:rsidR="007A4AB4" w:rsidRPr="00623F98" w:rsidRDefault="007A4AB4" w:rsidP="003641DC">
            <w:pPr>
              <w:spacing w:before="0"/>
              <w:jc w:val="right"/>
              <w:rPr>
                <w:rFonts w:ascii="Calibri" w:eastAsia="Times New Roman" w:hAnsi="Calibri" w:cs="Times New Roman"/>
                <w:i/>
                <w:color w:val="000000"/>
                <w:sz w:val="20"/>
                <w:szCs w:val="20"/>
                <w:lang w:eastAsia="en-ZA"/>
              </w:rPr>
            </w:pPr>
            <w:r w:rsidRPr="00623F98">
              <w:rPr>
                <w:rFonts w:ascii="Calibri" w:eastAsia="Times New Roman" w:hAnsi="Calibri" w:cs="Times New Roman"/>
                <w:i/>
                <w:color w:val="000000"/>
                <w:sz w:val="20"/>
                <w:szCs w:val="20"/>
                <w:lang w:eastAsia="en-ZA"/>
              </w:rPr>
              <w:t xml:space="preserve"> </w:t>
            </w:r>
            <w:r w:rsidR="003641DC" w:rsidRPr="00623F98">
              <w:rPr>
                <w:rFonts w:ascii="Calibri" w:eastAsia="Times New Roman" w:hAnsi="Calibri" w:cs="Times New Roman"/>
                <w:i/>
                <w:color w:val="000000"/>
                <w:sz w:val="20"/>
                <w:szCs w:val="20"/>
                <w:lang w:eastAsia="en-ZA"/>
              </w:rPr>
              <w:t>R</w:t>
            </w:r>
            <w:r w:rsidRPr="00623F98">
              <w:rPr>
                <w:rFonts w:ascii="Calibri" w:eastAsia="Times New Roman" w:hAnsi="Calibri" w:cs="Times New Roman"/>
                <w:i/>
                <w:color w:val="000000"/>
                <w:sz w:val="20"/>
                <w:szCs w:val="20"/>
                <w:lang w:eastAsia="en-ZA"/>
              </w:rPr>
              <w:t>24</w:t>
            </w:r>
            <w:r w:rsidR="003641DC" w:rsidRPr="00623F98">
              <w:rPr>
                <w:rFonts w:ascii="Calibri" w:eastAsia="Times New Roman" w:hAnsi="Calibri" w:cs="Times New Roman"/>
                <w:i/>
                <w:color w:val="000000"/>
                <w:sz w:val="20"/>
                <w:szCs w:val="20"/>
                <w:lang w:eastAsia="en-ZA"/>
              </w:rPr>
              <w:t>,</w:t>
            </w:r>
            <w:r w:rsidRPr="00623F98">
              <w:rPr>
                <w:rFonts w:ascii="Calibri" w:eastAsia="Times New Roman" w:hAnsi="Calibri" w:cs="Times New Roman"/>
                <w:i/>
                <w:color w:val="000000"/>
                <w:sz w:val="20"/>
                <w:szCs w:val="20"/>
                <w:lang w:eastAsia="en-ZA"/>
              </w:rPr>
              <w:t>6</w:t>
            </w:r>
            <w:r w:rsidR="003641DC" w:rsidRPr="00623F98">
              <w:rPr>
                <w:rFonts w:ascii="Calibri" w:eastAsia="Times New Roman" w:hAnsi="Calibri" w:cs="Times New Roman"/>
                <w:i/>
                <w:color w:val="000000"/>
                <w:sz w:val="20"/>
                <w:szCs w:val="20"/>
                <w:lang w:eastAsia="en-ZA"/>
              </w:rPr>
              <w:t xml:space="preserve"> </w:t>
            </w:r>
            <w:proofErr w:type="spellStart"/>
            <w:r w:rsidR="003641DC" w:rsidRPr="00623F98">
              <w:rPr>
                <w:rFonts w:ascii="Calibri" w:eastAsia="Times New Roman" w:hAnsi="Calibri" w:cs="Times New Roman"/>
                <w:i/>
                <w:color w:val="000000"/>
                <w:sz w:val="20"/>
                <w:szCs w:val="20"/>
                <w:lang w:eastAsia="en-ZA"/>
              </w:rPr>
              <w:t>bn</w:t>
            </w:r>
            <w:proofErr w:type="spellEnd"/>
            <w:r w:rsidRPr="00623F98">
              <w:rPr>
                <w:rFonts w:ascii="Calibri" w:eastAsia="Times New Roman" w:hAnsi="Calibri" w:cs="Times New Roman"/>
                <w:i/>
                <w:color w:val="000000"/>
                <w:sz w:val="20"/>
                <w:szCs w:val="20"/>
                <w:lang w:eastAsia="en-ZA"/>
              </w:rPr>
              <w:t xml:space="preserve"> </w:t>
            </w:r>
          </w:p>
        </w:tc>
        <w:tc>
          <w:tcPr>
            <w:tcW w:w="710" w:type="pct"/>
            <w:tcBorders>
              <w:top w:val="nil"/>
              <w:bottom w:val="nil"/>
            </w:tcBorders>
            <w:shd w:val="clear" w:color="auto" w:fill="DBE5F1" w:themeFill="accent1" w:themeFillTint="33"/>
            <w:noWrap/>
            <w:vAlign w:val="bottom"/>
            <w:hideMark/>
          </w:tcPr>
          <w:p w:rsidR="007A4AB4" w:rsidRPr="00623F98" w:rsidRDefault="003641DC" w:rsidP="003641DC">
            <w:pPr>
              <w:spacing w:before="0"/>
              <w:rPr>
                <w:rFonts w:ascii="Calibri" w:eastAsia="Times New Roman" w:hAnsi="Calibri" w:cs="Times New Roman"/>
                <w:i/>
                <w:color w:val="000000"/>
                <w:sz w:val="20"/>
                <w:szCs w:val="20"/>
                <w:lang w:eastAsia="en-ZA"/>
              </w:rPr>
            </w:pPr>
            <w:r w:rsidRPr="00623F98">
              <w:rPr>
                <w:rFonts w:ascii="Calibri" w:eastAsia="Times New Roman" w:hAnsi="Calibri" w:cs="Times New Roman"/>
                <w:i/>
                <w:color w:val="000000"/>
                <w:sz w:val="20"/>
                <w:szCs w:val="20"/>
                <w:lang w:eastAsia="en-ZA"/>
              </w:rPr>
              <w:t>R</w:t>
            </w:r>
            <w:r w:rsidR="007A4AB4" w:rsidRPr="00623F98">
              <w:rPr>
                <w:rFonts w:ascii="Calibri" w:eastAsia="Times New Roman" w:hAnsi="Calibri" w:cs="Times New Roman"/>
                <w:i/>
                <w:color w:val="000000"/>
                <w:sz w:val="20"/>
                <w:szCs w:val="20"/>
                <w:lang w:eastAsia="en-ZA"/>
              </w:rPr>
              <w:t>2</w:t>
            </w:r>
            <w:r w:rsidRPr="00623F98">
              <w:rPr>
                <w:rFonts w:ascii="Calibri" w:eastAsia="Times New Roman" w:hAnsi="Calibri" w:cs="Times New Roman"/>
                <w:i/>
                <w:color w:val="000000"/>
                <w:sz w:val="20"/>
                <w:szCs w:val="20"/>
                <w:lang w:eastAsia="en-ZA"/>
              </w:rPr>
              <w:t>,</w:t>
            </w:r>
            <w:r w:rsidR="007A4AB4" w:rsidRPr="00623F98">
              <w:rPr>
                <w:rFonts w:ascii="Calibri" w:eastAsia="Times New Roman" w:hAnsi="Calibri" w:cs="Times New Roman"/>
                <w:i/>
                <w:color w:val="000000"/>
                <w:sz w:val="20"/>
                <w:szCs w:val="20"/>
                <w:lang w:eastAsia="en-ZA"/>
              </w:rPr>
              <w:t>4</w:t>
            </w:r>
            <w:r w:rsidRPr="00623F98">
              <w:rPr>
                <w:rFonts w:ascii="Calibri" w:eastAsia="Times New Roman" w:hAnsi="Calibri" w:cs="Times New Roman"/>
                <w:i/>
                <w:color w:val="000000"/>
                <w:sz w:val="20"/>
                <w:szCs w:val="20"/>
                <w:lang w:eastAsia="en-ZA"/>
              </w:rPr>
              <w:t xml:space="preserve"> </w:t>
            </w:r>
            <w:proofErr w:type="spellStart"/>
            <w:r w:rsidRPr="00623F98">
              <w:rPr>
                <w:rFonts w:ascii="Calibri" w:eastAsia="Times New Roman" w:hAnsi="Calibri" w:cs="Times New Roman"/>
                <w:i/>
                <w:color w:val="000000"/>
                <w:sz w:val="20"/>
                <w:szCs w:val="20"/>
                <w:lang w:eastAsia="en-ZA"/>
              </w:rPr>
              <w:t>bn</w:t>
            </w:r>
            <w:proofErr w:type="spellEnd"/>
            <w:r w:rsidR="007A4AB4" w:rsidRPr="00623F98">
              <w:rPr>
                <w:rFonts w:ascii="Calibri" w:eastAsia="Times New Roman" w:hAnsi="Calibri" w:cs="Times New Roman"/>
                <w:i/>
                <w:color w:val="000000"/>
                <w:sz w:val="20"/>
                <w:szCs w:val="20"/>
                <w:lang w:eastAsia="en-ZA"/>
              </w:rPr>
              <w:t xml:space="preserve"> </w:t>
            </w:r>
          </w:p>
        </w:tc>
        <w:tc>
          <w:tcPr>
            <w:tcW w:w="710" w:type="pct"/>
            <w:tcBorders>
              <w:top w:val="nil"/>
              <w:bottom w:val="nil"/>
            </w:tcBorders>
            <w:shd w:val="clear" w:color="auto" w:fill="DBE5F1" w:themeFill="accent1" w:themeFillTint="33"/>
            <w:noWrap/>
            <w:vAlign w:val="bottom"/>
            <w:hideMark/>
          </w:tcPr>
          <w:p w:rsidR="007A4AB4" w:rsidRPr="00623F98" w:rsidRDefault="003641DC" w:rsidP="003641DC">
            <w:pPr>
              <w:spacing w:before="0"/>
              <w:jc w:val="right"/>
              <w:rPr>
                <w:rFonts w:ascii="Calibri" w:eastAsia="Times New Roman" w:hAnsi="Calibri" w:cs="Times New Roman"/>
                <w:i/>
                <w:color w:val="000000"/>
                <w:sz w:val="20"/>
                <w:szCs w:val="20"/>
                <w:lang w:eastAsia="en-ZA"/>
              </w:rPr>
            </w:pPr>
            <w:r w:rsidRPr="00623F98">
              <w:rPr>
                <w:rFonts w:ascii="Calibri" w:eastAsia="Times New Roman" w:hAnsi="Calibri" w:cs="Times New Roman"/>
                <w:i/>
                <w:color w:val="000000"/>
                <w:sz w:val="20"/>
                <w:szCs w:val="20"/>
                <w:lang w:eastAsia="en-ZA"/>
              </w:rPr>
              <w:t>R</w:t>
            </w:r>
            <w:r w:rsidR="007A4AB4" w:rsidRPr="00623F98">
              <w:rPr>
                <w:rFonts w:ascii="Calibri" w:eastAsia="Times New Roman" w:hAnsi="Calibri" w:cs="Times New Roman"/>
                <w:i/>
                <w:color w:val="000000"/>
                <w:sz w:val="20"/>
                <w:szCs w:val="20"/>
                <w:lang w:eastAsia="en-ZA"/>
              </w:rPr>
              <w:t>17</w:t>
            </w:r>
            <w:r w:rsidRPr="00623F98">
              <w:rPr>
                <w:rFonts w:ascii="Calibri" w:eastAsia="Times New Roman" w:hAnsi="Calibri" w:cs="Times New Roman"/>
                <w:i/>
                <w:color w:val="000000"/>
                <w:sz w:val="20"/>
                <w:szCs w:val="20"/>
                <w:lang w:eastAsia="en-ZA"/>
              </w:rPr>
              <w:t>,</w:t>
            </w:r>
            <w:r w:rsidR="007A4AB4" w:rsidRPr="00623F98">
              <w:rPr>
                <w:rFonts w:ascii="Calibri" w:eastAsia="Times New Roman" w:hAnsi="Calibri" w:cs="Times New Roman"/>
                <w:i/>
                <w:color w:val="000000"/>
                <w:sz w:val="20"/>
                <w:szCs w:val="20"/>
                <w:lang w:eastAsia="en-ZA"/>
              </w:rPr>
              <w:t>3</w:t>
            </w:r>
            <w:r w:rsidRPr="00623F98">
              <w:rPr>
                <w:rFonts w:ascii="Calibri" w:eastAsia="Times New Roman" w:hAnsi="Calibri" w:cs="Times New Roman"/>
                <w:i/>
                <w:color w:val="000000"/>
                <w:sz w:val="20"/>
                <w:szCs w:val="20"/>
                <w:lang w:eastAsia="en-ZA"/>
              </w:rPr>
              <w:t xml:space="preserve"> </w:t>
            </w:r>
            <w:proofErr w:type="spellStart"/>
            <w:r w:rsidRPr="00623F98">
              <w:rPr>
                <w:rFonts w:ascii="Calibri" w:eastAsia="Times New Roman" w:hAnsi="Calibri" w:cs="Times New Roman"/>
                <w:i/>
                <w:color w:val="000000"/>
                <w:sz w:val="20"/>
                <w:szCs w:val="20"/>
                <w:lang w:eastAsia="en-ZA"/>
              </w:rPr>
              <w:t>bn</w:t>
            </w:r>
            <w:proofErr w:type="spellEnd"/>
            <w:r w:rsidR="007A4AB4" w:rsidRPr="00623F98">
              <w:rPr>
                <w:rFonts w:ascii="Calibri" w:eastAsia="Times New Roman" w:hAnsi="Calibri" w:cs="Times New Roman"/>
                <w:i/>
                <w:color w:val="000000"/>
                <w:sz w:val="20"/>
                <w:szCs w:val="20"/>
                <w:lang w:eastAsia="en-ZA"/>
              </w:rPr>
              <w:t xml:space="preserve"> </w:t>
            </w:r>
          </w:p>
        </w:tc>
        <w:tc>
          <w:tcPr>
            <w:tcW w:w="710" w:type="pct"/>
            <w:tcBorders>
              <w:top w:val="nil"/>
              <w:bottom w:val="nil"/>
            </w:tcBorders>
            <w:shd w:val="clear" w:color="auto" w:fill="DBE5F1" w:themeFill="accent1" w:themeFillTint="33"/>
            <w:noWrap/>
            <w:vAlign w:val="bottom"/>
            <w:hideMark/>
          </w:tcPr>
          <w:p w:rsidR="007A4AB4" w:rsidRPr="00623F98" w:rsidRDefault="007A4AB4" w:rsidP="003641DC">
            <w:pPr>
              <w:spacing w:before="0"/>
              <w:jc w:val="right"/>
              <w:rPr>
                <w:rFonts w:ascii="Calibri" w:eastAsia="Times New Roman" w:hAnsi="Calibri" w:cs="Times New Roman"/>
                <w:i/>
                <w:color w:val="000000"/>
                <w:sz w:val="20"/>
                <w:szCs w:val="20"/>
                <w:lang w:eastAsia="en-ZA"/>
              </w:rPr>
            </w:pPr>
            <w:r w:rsidRPr="00623F98">
              <w:rPr>
                <w:rFonts w:ascii="Calibri" w:eastAsia="Times New Roman" w:hAnsi="Calibri" w:cs="Times New Roman"/>
                <w:i/>
                <w:color w:val="000000"/>
                <w:sz w:val="20"/>
                <w:szCs w:val="20"/>
                <w:lang w:eastAsia="en-ZA"/>
              </w:rPr>
              <w:t xml:space="preserve"> </w:t>
            </w:r>
            <w:r w:rsidR="003641DC" w:rsidRPr="00623F98">
              <w:rPr>
                <w:rFonts w:ascii="Calibri" w:eastAsia="Times New Roman" w:hAnsi="Calibri" w:cs="Times New Roman"/>
                <w:i/>
                <w:color w:val="000000"/>
                <w:sz w:val="20"/>
                <w:szCs w:val="20"/>
                <w:lang w:eastAsia="en-ZA"/>
              </w:rPr>
              <w:t>R</w:t>
            </w:r>
            <w:r w:rsidRPr="00623F98">
              <w:rPr>
                <w:rFonts w:ascii="Calibri" w:eastAsia="Times New Roman" w:hAnsi="Calibri" w:cs="Times New Roman"/>
                <w:i/>
                <w:color w:val="000000"/>
                <w:sz w:val="20"/>
                <w:szCs w:val="20"/>
                <w:lang w:eastAsia="en-ZA"/>
              </w:rPr>
              <w:t>40</w:t>
            </w:r>
            <w:r w:rsidR="003641DC" w:rsidRPr="00623F98">
              <w:rPr>
                <w:rFonts w:ascii="Calibri" w:eastAsia="Times New Roman" w:hAnsi="Calibri" w:cs="Times New Roman"/>
                <w:i/>
                <w:color w:val="000000"/>
                <w:sz w:val="20"/>
                <w:szCs w:val="20"/>
                <w:lang w:eastAsia="en-ZA"/>
              </w:rPr>
              <w:t>,</w:t>
            </w:r>
            <w:r w:rsidRPr="00623F98">
              <w:rPr>
                <w:rFonts w:ascii="Calibri" w:eastAsia="Times New Roman" w:hAnsi="Calibri" w:cs="Times New Roman"/>
                <w:i/>
                <w:color w:val="000000"/>
                <w:sz w:val="20"/>
                <w:szCs w:val="20"/>
                <w:lang w:eastAsia="en-ZA"/>
              </w:rPr>
              <w:t>1</w:t>
            </w:r>
            <w:r w:rsidR="003641DC" w:rsidRPr="00623F98">
              <w:rPr>
                <w:rFonts w:ascii="Calibri" w:eastAsia="Times New Roman" w:hAnsi="Calibri" w:cs="Times New Roman"/>
                <w:i/>
                <w:color w:val="000000"/>
                <w:sz w:val="20"/>
                <w:szCs w:val="20"/>
                <w:lang w:eastAsia="en-ZA"/>
              </w:rPr>
              <w:t xml:space="preserve"> </w:t>
            </w:r>
            <w:proofErr w:type="spellStart"/>
            <w:r w:rsidR="003641DC" w:rsidRPr="00623F98">
              <w:rPr>
                <w:rFonts w:ascii="Calibri" w:eastAsia="Times New Roman" w:hAnsi="Calibri" w:cs="Times New Roman"/>
                <w:i/>
                <w:color w:val="000000"/>
                <w:sz w:val="20"/>
                <w:szCs w:val="20"/>
                <w:lang w:eastAsia="en-ZA"/>
              </w:rPr>
              <w:t>bn</w:t>
            </w:r>
            <w:proofErr w:type="spellEnd"/>
            <w:r w:rsidRPr="00623F98">
              <w:rPr>
                <w:rFonts w:ascii="Calibri" w:eastAsia="Times New Roman" w:hAnsi="Calibri" w:cs="Times New Roman"/>
                <w:i/>
                <w:color w:val="000000"/>
                <w:sz w:val="20"/>
                <w:szCs w:val="20"/>
                <w:lang w:eastAsia="en-ZA"/>
              </w:rPr>
              <w:t xml:space="preserve"> </w:t>
            </w:r>
          </w:p>
        </w:tc>
        <w:tc>
          <w:tcPr>
            <w:tcW w:w="594" w:type="pct"/>
            <w:tcBorders>
              <w:top w:val="nil"/>
              <w:bottom w:val="nil"/>
            </w:tcBorders>
            <w:shd w:val="clear" w:color="auto" w:fill="DBE5F1" w:themeFill="accent1" w:themeFillTint="33"/>
            <w:noWrap/>
            <w:vAlign w:val="bottom"/>
            <w:hideMark/>
          </w:tcPr>
          <w:p w:rsidR="007A4AB4" w:rsidRPr="00623F98" w:rsidRDefault="003641DC" w:rsidP="003641DC">
            <w:pPr>
              <w:spacing w:before="0"/>
              <w:jc w:val="right"/>
              <w:rPr>
                <w:rFonts w:ascii="Calibri" w:eastAsia="Times New Roman" w:hAnsi="Calibri" w:cs="Times New Roman"/>
                <w:i/>
                <w:color w:val="000000"/>
                <w:sz w:val="20"/>
                <w:szCs w:val="20"/>
                <w:lang w:eastAsia="en-ZA"/>
              </w:rPr>
            </w:pPr>
            <w:r w:rsidRPr="00623F98">
              <w:rPr>
                <w:rFonts w:ascii="Calibri" w:eastAsia="Times New Roman" w:hAnsi="Calibri" w:cs="Times New Roman"/>
                <w:i/>
                <w:color w:val="000000"/>
                <w:sz w:val="20"/>
                <w:szCs w:val="20"/>
                <w:lang w:eastAsia="en-ZA"/>
              </w:rPr>
              <w:t>R</w:t>
            </w:r>
            <w:r w:rsidR="007A4AB4" w:rsidRPr="00623F98">
              <w:rPr>
                <w:rFonts w:ascii="Calibri" w:eastAsia="Times New Roman" w:hAnsi="Calibri" w:cs="Times New Roman"/>
                <w:i/>
                <w:color w:val="000000"/>
                <w:sz w:val="20"/>
                <w:szCs w:val="20"/>
                <w:lang w:eastAsia="en-ZA"/>
              </w:rPr>
              <w:t>96</w:t>
            </w:r>
            <w:r w:rsidRPr="00623F98">
              <w:rPr>
                <w:rFonts w:ascii="Calibri" w:eastAsia="Times New Roman" w:hAnsi="Calibri" w:cs="Times New Roman"/>
                <w:i/>
                <w:color w:val="000000"/>
                <w:sz w:val="20"/>
                <w:szCs w:val="20"/>
                <w:lang w:eastAsia="en-ZA"/>
              </w:rPr>
              <w:t>,</w:t>
            </w:r>
            <w:r w:rsidR="007A4AB4" w:rsidRPr="00623F98">
              <w:rPr>
                <w:rFonts w:ascii="Calibri" w:eastAsia="Times New Roman" w:hAnsi="Calibri" w:cs="Times New Roman"/>
                <w:i/>
                <w:color w:val="000000"/>
                <w:sz w:val="20"/>
                <w:szCs w:val="20"/>
                <w:lang w:eastAsia="en-ZA"/>
              </w:rPr>
              <w:t>8</w:t>
            </w:r>
            <w:r w:rsidRPr="00623F98">
              <w:rPr>
                <w:rFonts w:ascii="Calibri" w:eastAsia="Times New Roman" w:hAnsi="Calibri" w:cs="Times New Roman"/>
                <w:i/>
                <w:color w:val="000000"/>
                <w:sz w:val="20"/>
                <w:szCs w:val="20"/>
                <w:lang w:eastAsia="en-ZA"/>
              </w:rPr>
              <w:t xml:space="preserve"> </w:t>
            </w:r>
            <w:proofErr w:type="spellStart"/>
            <w:r w:rsidRPr="00623F98">
              <w:rPr>
                <w:rFonts w:ascii="Calibri" w:eastAsia="Times New Roman" w:hAnsi="Calibri" w:cs="Times New Roman"/>
                <w:i/>
                <w:color w:val="000000"/>
                <w:sz w:val="20"/>
                <w:szCs w:val="20"/>
                <w:lang w:eastAsia="en-ZA"/>
              </w:rPr>
              <w:t>bn</w:t>
            </w:r>
            <w:proofErr w:type="spellEnd"/>
            <w:r w:rsidR="007A4AB4" w:rsidRPr="00623F98">
              <w:rPr>
                <w:rFonts w:ascii="Calibri" w:eastAsia="Times New Roman" w:hAnsi="Calibri" w:cs="Times New Roman"/>
                <w:i/>
                <w:color w:val="000000"/>
                <w:sz w:val="20"/>
                <w:szCs w:val="20"/>
                <w:lang w:eastAsia="en-ZA"/>
              </w:rPr>
              <w:t xml:space="preserve"> </w:t>
            </w:r>
          </w:p>
        </w:tc>
      </w:tr>
      <w:tr w:rsidR="00EE3E5F" w:rsidRPr="003641DC" w:rsidTr="00EE3E5F">
        <w:trPr>
          <w:cantSplit/>
          <w:jc w:val="center"/>
        </w:trPr>
        <w:tc>
          <w:tcPr>
            <w:tcW w:w="898" w:type="pct"/>
            <w:tcBorders>
              <w:top w:val="nil"/>
              <w:bottom w:val="nil"/>
            </w:tcBorders>
            <w:shd w:val="clear" w:color="auto" w:fill="DBE5F1" w:themeFill="accent1" w:themeFillTint="33"/>
            <w:noWrap/>
            <w:vAlign w:val="bottom"/>
            <w:hideMark/>
          </w:tcPr>
          <w:p w:rsidR="007A4AB4" w:rsidRPr="003641DC" w:rsidRDefault="007A4AB4" w:rsidP="00623F98">
            <w:pPr>
              <w:spacing w:before="0"/>
              <w:ind w:left="40"/>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Capital expenditure as % of assets</w:t>
            </w:r>
          </w:p>
        </w:tc>
        <w:tc>
          <w:tcPr>
            <w:tcW w:w="668" w:type="pct"/>
            <w:tcBorders>
              <w:top w:val="nil"/>
              <w:bottom w:val="nil"/>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 </w:t>
            </w:r>
          </w:p>
        </w:tc>
        <w:tc>
          <w:tcPr>
            <w:tcW w:w="710" w:type="pct"/>
            <w:tcBorders>
              <w:top w:val="nil"/>
              <w:bottom w:val="nil"/>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 </w:t>
            </w:r>
          </w:p>
        </w:tc>
        <w:tc>
          <w:tcPr>
            <w:tcW w:w="710" w:type="pct"/>
            <w:tcBorders>
              <w:top w:val="nil"/>
              <w:bottom w:val="nil"/>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 </w:t>
            </w:r>
          </w:p>
        </w:tc>
        <w:tc>
          <w:tcPr>
            <w:tcW w:w="710" w:type="pct"/>
            <w:tcBorders>
              <w:top w:val="nil"/>
              <w:bottom w:val="nil"/>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 </w:t>
            </w:r>
          </w:p>
        </w:tc>
        <w:tc>
          <w:tcPr>
            <w:tcW w:w="710" w:type="pct"/>
            <w:tcBorders>
              <w:top w:val="nil"/>
              <w:bottom w:val="nil"/>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 </w:t>
            </w:r>
          </w:p>
        </w:tc>
        <w:tc>
          <w:tcPr>
            <w:tcW w:w="594" w:type="pct"/>
            <w:tcBorders>
              <w:top w:val="nil"/>
              <w:bottom w:val="nil"/>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 </w:t>
            </w:r>
          </w:p>
        </w:tc>
      </w:tr>
      <w:tr w:rsidR="00EE3E5F" w:rsidRPr="003641DC" w:rsidTr="00EE3E5F">
        <w:trPr>
          <w:cantSplit/>
          <w:jc w:val="center"/>
        </w:trPr>
        <w:tc>
          <w:tcPr>
            <w:tcW w:w="898" w:type="pct"/>
            <w:tcBorders>
              <w:top w:val="nil"/>
              <w:bottom w:val="nil"/>
            </w:tcBorders>
            <w:shd w:val="clear" w:color="auto" w:fill="DBE5F1" w:themeFill="accent1" w:themeFillTint="33"/>
            <w:noWrap/>
            <w:vAlign w:val="bottom"/>
            <w:hideMark/>
          </w:tcPr>
          <w:p w:rsidR="007A4AB4" w:rsidRPr="003641DC" w:rsidRDefault="007A4AB4" w:rsidP="00623F98">
            <w:pPr>
              <w:spacing w:before="0"/>
              <w:ind w:firstLine="182"/>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Q4 2015</w:t>
            </w:r>
          </w:p>
        </w:tc>
        <w:tc>
          <w:tcPr>
            <w:tcW w:w="668" w:type="pct"/>
            <w:tcBorders>
              <w:top w:val="nil"/>
              <w:bottom w:val="nil"/>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2.5%</w:t>
            </w:r>
          </w:p>
        </w:tc>
        <w:tc>
          <w:tcPr>
            <w:tcW w:w="710" w:type="pct"/>
            <w:tcBorders>
              <w:top w:val="nil"/>
              <w:bottom w:val="nil"/>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5.5%</w:t>
            </w:r>
          </w:p>
        </w:tc>
        <w:tc>
          <w:tcPr>
            <w:tcW w:w="710" w:type="pct"/>
            <w:tcBorders>
              <w:top w:val="nil"/>
              <w:bottom w:val="nil"/>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5.2%</w:t>
            </w:r>
          </w:p>
        </w:tc>
        <w:tc>
          <w:tcPr>
            <w:tcW w:w="710" w:type="pct"/>
            <w:tcBorders>
              <w:top w:val="nil"/>
              <w:bottom w:val="nil"/>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3.1%</w:t>
            </w:r>
          </w:p>
        </w:tc>
        <w:tc>
          <w:tcPr>
            <w:tcW w:w="710" w:type="pct"/>
            <w:tcBorders>
              <w:top w:val="nil"/>
              <w:bottom w:val="nil"/>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3.7%</w:t>
            </w:r>
          </w:p>
        </w:tc>
        <w:tc>
          <w:tcPr>
            <w:tcW w:w="594" w:type="pct"/>
            <w:tcBorders>
              <w:top w:val="nil"/>
              <w:bottom w:val="nil"/>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3.7%</w:t>
            </w:r>
          </w:p>
        </w:tc>
      </w:tr>
      <w:tr w:rsidR="00EE3E5F" w:rsidRPr="003641DC" w:rsidTr="00EE3E5F">
        <w:trPr>
          <w:cantSplit/>
          <w:jc w:val="center"/>
        </w:trPr>
        <w:tc>
          <w:tcPr>
            <w:tcW w:w="898" w:type="pct"/>
            <w:tcBorders>
              <w:top w:val="nil"/>
              <w:bottom w:val="nil"/>
            </w:tcBorders>
            <w:shd w:val="clear" w:color="auto" w:fill="DBE5F1" w:themeFill="accent1" w:themeFillTint="33"/>
            <w:noWrap/>
            <w:vAlign w:val="bottom"/>
            <w:hideMark/>
          </w:tcPr>
          <w:p w:rsidR="007A4AB4" w:rsidRPr="003641DC" w:rsidRDefault="007A4AB4" w:rsidP="00623F98">
            <w:pPr>
              <w:spacing w:before="0"/>
              <w:ind w:firstLine="182"/>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Q4 2014</w:t>
            </w:r>
          </w:p>
        </w:tc>
        <w:tc>
          <w:tcPr>
            <w:tcW w:w="668" w:type="pct"/>
            <w:tcBorders>
              <w:top w:val="nil"/>
              <w:bottom w:val="nil"/>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3.3%</w:t>
            </w:r>
          </w:p>
        </w:tc>
        <w:tc>
          <w:tcPr>
            <w:tcW w:w="710" w:type="pct"/>
            <w:tcBorders>
              <w:top w:val="nil"/>
              <w:bottom w:val="nil"/>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5.3%</w:t>
            </w:r>
          </w:p>
        </w:tc>
        <w:tc>
          <w:tcPr>
            <w:tcW w:w="710" w:type="pct"/>
            <w:tcBorders>
              <w:top w:val="nil"/>
              <w:bottom w:val="nil"/>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6.2%</w:t>
            </w:r>
          </w:p>
        </w:tc>
        <w:tc>
          <w:tcPr>
            <w:tcW w:w="710" w:type="pct"/>
            <w:tcBorders>
              <w:top w:val="nil"/>
              <w:bottom w:val="nil"/>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3.7%</w:t>
            </w:r>
          </w:p>
        </w:tc>
        <w:tc>
          <w:tcPr>
            <w:tcW w:w="710" w:type="pct"/>
            <w:tcBorders>
              <w:top w:val="nil"/>
              <w:bottom w:val="nil"/>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3.8%</w:t>
            </w:r>
          </w:p>
        </w:tc>
        <w:tc>
          <w:tcPr>
            <w:tcW w:w="594" w:type="pct"/>
            <w:tcBorders>
              <w:top w:val="nil"/>
              <w:bottom w:val="nil"/>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9.7%</w:t>
            </w:r>
          </w:p>
        </w:tc>
      </w:tr>
      <w:tr w:rsidR="00EE3E5F" w:rsidRPr="003641DC" w:rsidTr="00EE3E5F">
        <w:trPr>
          <w:cantSplit/>
          <w:jc w:val="center"/>
        </w:trPr>
        <w:tc>
          <w:tcPr>
            <w:tcW w:w="898" w:type="pct"/>
            <w:tcBorders>
              <w:top w:val="nil"/>
            </w:tcBorders>
            <w:shd w:val="clear" w:color="auto" w:fill="DBE5F1" w:themeFill="accent1" w:themeFillTint="33"/>
            <w:noWrap/>
            <w:vAlign w:val="bottom"/>
            <w:hideMark/>
          </w:tcPr>
          <w:p w:rsidR="007A4AB4" w:rsidRPr="003641DC" w:rsidRDefault="007A4AB4" w:rsidP="00623F98">
            <w:pPr>
              <w:spacing w:before="0"/>
              <w:ind w:firstLine="182"/>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Q4 2010</w:t>
            </w:r>
          </w:p>
        </w:tc>
        <w:tc>
          <w:tcPr>
            <w:tcW w:w="668" w:type="pct"/>
            <w:tcBorders>
              <w:top w:val="nil"/>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3.8%</w:t>
            </w:r>
          </w:p>
        </w:tc>
        <w:tc>
          <w:tcPr>
            <w:tcW w:w="710" w:type="pct"/>
            <w:tcBorders>
              <w:top w:val="nil"/>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5.0%</w:t>
            </w:r>
          </w:p>
        </w:tc>
        <w:tc>
          <w:tcPr>
            <w:tcW w:w="710" w:type="pct"/>
            <w:tcBorders>
              <w:top w:val="nil"/>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6.6%</w:t>
            </w:r>
          </w:p>
        </w:tc>
        <w:tc>
          <w:tcPr>
            <w:tcW w:w="710" w:type="pct"/>
            <w:tcBorders>
              <w:top w:val="nil"/>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5.9%</w:t>
            </w:r>
          </w:p>
        </w:tc>
        <w:tc>
          <w:tcPr>
            <w:tcW w:w="710" w:type="pct"/>
            <w:tcBorders>
              <w:top w:val="nil"/>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3.3%</w:t>
            </w:r>
          </w:p>
        </w:tc>
        <w:tc>
          <w:tcPr>
            <w:tcW w:w="594" w:type="pct"/>
            <w:tcBorders>
              <w:top w:val="nil"/>
            </w:tcBorders>
            <w:shd w:val="clear" w:color="auto" w:fill="DBE5F1" w:themeFill="accent1" w:themeFillTint="33"/>
            <w:noWrap/>
            <w:vAlign w:val="center"/>
            <w:hideMark/>
          </w:tcPr>
          <w:p w:rsidR="007A4AB4" w:rsidRPr="003641DC" w:rsidRDefault="007A4AB4" w:rsidP="0038536E">
            <w:pPr>
              <w:spacing w:before="0"/>
              <w:jc w:val="right"/>
              <w:rPr>
                <w:rFonts w:ascii="Calibri" w:eastAsia="Times New Roman" w:hAnsi="Calibri" w:cs="Times New Roman"/>
                <w:color w:val="000000"/>
                <w:sz w:val="20"/>
                <w:szCs w:val="20"/>
                <w:lang w:eastAsia="en-ZA"/>
              </w:rPr>
            </w:pPr>
            <w:r w:rsidRPr="003641DC">
              <w:rPr>
                <w:rFonts w:ascii="Calibri" w:eastAsia="Times New Roman" w:hAnsi="Calibri" w:cs="Times New Roman"/>
                <w:color w:val="000000"/>
                <w:sz w:val="20"/>
                <w:szCs w:val="20"/>
                <w:lang w:eastAsia="en-ZA"/>
              </w:rPr>
              <w:t>10.4%</w:t>
            </w:r>
          </w:p>
        </w:tc>
      </w:tr>
    </w:tbl>
    <w:p w:rsidR="009D501A" w:rsidRPr="00525950" w:rsidRDefault="009D501A" w:rsidP="00EE3E5F">
      <w:pPr>
        <w:pStyle w:val="source"/>
        <w:spacing w:after="120"/>
        <w:ind w:left="567" w:right="567"/>
        <w:rPr>
          <w:sz w:val="18"/>
          <w:szCs w:val="18"/>
        </w:rPr>
      </w:pPr>
      <w:r w:rsidRPr="00EE3E5F">
        <w:rPr>
          <w:i/>
          <w:sz w:val="18"/>
          <w:szCs w:val="18"/>
        </w:rPr>
        <w:t xml:space="preserve">Notes: </w:t>
      </w:r>
      <w:r w:rsidR="00623F98" w:rsidRPr="00EE3E5F">
        <w:rPr>
          <w:sz w:val="18"/>
          <w:szCs w:val="18"/>
        </w:rPr>
        <w:t xml:space="preserve">(a) </w:t>
      </w:r>
      <w:r w:rsidRPr="00EE3E5F">
        <w:rPr>
          <w:sz w:val="18"/>
          <w:szCs w:val="18"/>
        </w:rPr>
        <w:t xml:space="preserve">Return </w:t>
      </w:r>
      <w:r w:rsidR="00525950">
        <w:rPr>
          <w:sz w:val="18"/>
          <w:szCs w:val="18"/>
        </w:rPr>
        <w:t>I</w:t>
      </w:r>
      <w:r w:rsidRPr="00EE3E5F">
        <w:rPr>
          <w:sz w:val="18"/>
          <w:szCs w:val="18"/>
        </w:rPr>
        <w:t>s capital calculated as profits less tax divided by the carrying value of ass</w:t>
      </w:r>
      <w:r>
        <w:t xml:space="preserve">ets. </w:t>
      </w:r>
      <w:r w:rsidRPr="00525950">
        <w:rPr>
          <w:i/>
          <w:sz w:val="18"/>
          <w:szCs w:val="18"/>
        </w:rPr>
        <w:t xml:space="preserve">Source: </w:t>
      </w:r>
      <w:r w:rsidRPr="00525950">
        <w:rPr>
          <w:sz w:val="18"/>
          <w:szCs w:val="18"/>
        </w:rPr>
        <w:t xml:space="preserve">Calculated from Statistics South Africa, Quarterly Financial Statistics, relevant quarters. </w:t>
      </w:r>
    </w:p>
    <w:p w:rsidR="00B250B0" w:rsidRDefault="00B250B0" w:rsidP="00EE3E5F">
      <w:pPr>
        <w:spacing w:before="240" w:after="120" w:line="264" w:lineRule="auto"/>
        <w:ind w:left="567" w:right="567"/>
        <w:jc w:val="both"/>
        <w:rPr>
          <w:sz w:val="22"/>
        </w:rPr>
      </w:pPr>
      <w:r w:rsidRPr="00CD734A">
        <w:rPr>
          <w:sz w:val="22"/>
        </w:rPr>
        <w:t xml:space="preserve">Despite </w:t>
      </w:r>
      <w:r w:rsidR="003641DC" w:rsidRPr="00CD734A">
        <w:rPr>
          <w:sz w:val="22"/>
        </w:rPr>
        <w:t>lower profits, manufacturing investment increased in the</w:t>
      </w:r>
      <w:r w:rsidR="00525950">
        <w:rPr>
          <w:sz w:val="22"/>
        </w:rPr>
        <w:t xml:space="preserve"> past year, reaching around R25 </w:t>
      </w:r>
      <w:r w:rsidR="003641DC" w:rsidRPr="00CD734A">
        <w:rPr>
          <w:sz w:val="22"/>
        </w:rPr>
        <w:t xml:space="preserve">billion or 5,5% of the value of assets in the sector. </w:t>
      </w:r>
      <w:r w:rsidR="00C57438" w:rsidRPr="00CD734A">
        <w:rPr>
          <w:sz w:val="22"/>
        </w:rPr>
        <w:t xml:space="preserve">Still, </w:t>
      </w:r>
      <w:r w:rsidR="00F103BC" w:rsidRPr="00CD734A">
        <w:rPr>
          <w:sz w:val="22"/>
        </w:rPr>
        <w:t xml:space="preserve">formal non-agricultural </w:t>
      </w:r>
      <w:r w:rsidR="00C57438" w:rsidRPr="00CD734A">
        <w:rPr>
          <w:sz w:val="22"/>
        </w:rPr>
        <w:t>capital expenditure as a percentage of assets hit a low point in the past year, with a decline in investment relative to the GDP as well</w:t>
      </w:r>
      <w:r w:rsidR="00EE3E5F">
        <w:rPr>
          <w:sz w:val="22"/>
        </w:rPr>
        <w:t xml:space="preserve"> (Graph 9)</w:t>
      </w:r>
      <w:r w:rsidR="00C57438" w:rsidRPr="00CD734A">
        <w:rPr>
          <w:sz w:val="22"/>
        </w:rPr>
        <w:t xml:space="preserve">. </w:t>
      </w:r>
    </w:p>
    <w:p w:rsidR="000C07AD" w:rsidRDefault="000C07AD" w:rsidP="00EE3E5F">
      <w:pPr>
        <w:spacing w:before="240" w:after="120" w:line="264" w:lineRule="auto"/>
        <w:ind w:left="567" w:right="567"/>
        <w:jc w:val="both"/>
        <w:rPr>
          <w:sz w:val="22"/>
        </w:rPr>
      </w:pPr>
    </w:p>
    <w:p w:rsidR="000C07AD" w:rsidRDefault="000C07AD" w:rsidP="00EE3E5F">
      <w:pPr>
        <w:spacing w:before="240" w:after="120" w:line="264" w:lineRule="auto"/>
        <w:ind w:left="567" w:right="567"/>
        <w:jc w:val="both"/>
        <w:rPr>
          <w:sz w:val="22"/>
        </w:rPr>
      </w:pPr>
    </w:p>
    <w:p w:rsidR="000C07AD" w:rsidRDefault="000C07AD" w:rsidP="00EE3E5F">
      <w:pPr>
        <w:spacing w:before="240" w:after="120" w:line="264" w:lineRule="auto"/>
        <w:ind w:left="567" w:right="567"/>
        <w:jc w:val="both"/>
        <w:rPr>
          <w:sz w:val="22"/>
        </w:rPr>
      </w:pPr>
    </w:p>
    <w:p w:rsidR="000C07AD" w:rsidRDefault="000C07AD" w:rsidP="00EE3E5F">
      <w:pPr>
        <w:spacing w:before="240" w:after="120" w:line="264" w:lineRule="auto"/>
        <w:ind w:left="567" w:right="567"/>
        <w:jc w:val="both"/>
        <w:rPr>
          <w:sz w:val="22"/>
        </w:rPr>
      </w:pPr>
    </w:p>
    <w:p w:rsidR="000C07AD" w:rsidRDefault="000C07AD" w:rsidP="00EE3E5F">
      <w:pPr>
        <w:spacing w:before="240" w:after="120" w:line="264" w:lineRule="auto"/>
        <w:ind w:left="567" w:right="567"/>
        <w:jc w:val="both"/>
        <w:rPr>
          <w:sz w:val="22"/>
        </w:rPr>
      </w:pPr>
    </w:p>
    <w:p w:rsidR="000C07AD" w:rsidRPr="000C07AD" w:rsidRDefault="000C07AD" w:rsidP="000C07AD">
      <w:pPr>
        <w:spacing w:before="240" w:after="120" w:line="264" w:lineRule="auto"/>
        <w:ind w:left="567"/>
        <w:jc w:val="both"/>
        <w:rPr>
          <w:b/>
          <w:color w:val="D9D9D9" w:themeColor="background1" w:themeShade="D9"/>
          <w:sz w:val="22"/>
        </w:rPr>
      </w:pPr>
      <w:r>
        <w:rPr>
          <w:b/>
          <w:sz w:val="22"/>
        </w:rPr>
        <w:t xml:space="preserve">                                                                                                                                                                     </w:t>
      </w:r>
      <w:r w:rsidRPr="000C07AD">
        <w:rPr>
          <w:b/>
          <w:sz w:val="22"/>
        </w:rPr>
        <w:t>7</w:t>
      </w:r>
    </w:p>
    <w:p w:rsidR="00EE3E5F" w:rsidRPr="00137DC9" w:rsidRDefault="00EE3E5F" w:rsidP="00EE3E5F">
      <w:pPr>
        <w:tabs>
          <w:tab w:val="left" w:pos="7935"/>
        </w:tabs>
        <w:ind w:left="567" w:right="567"/>
        <w:jc w:val="center"/>
        <w:rPr>
          <w:noProof/>
          <w:sz w:val="22"/>
          <w:lang w:eastAsia="en-ZA"/>
        </w:rPr>
      </w:pPr>
      <w:r>
        <w:rPr>
          <w:b/>
          <w:color w:val="1B5068"/>
          <w:sz w:val="22"/>
        </w:rPr>
        <w:lastRenderedPageBreak/>
        <w:t>Graph 9</w:t>
      </w:r>
    </w:p>
    <w:p w:rsidR="00065170" w:rsidRPr="000549EE" w:rsidRDefault="00C46CD7" w:rsidP="00065170">
      <w:pPr>
        <w:pStyle w:val="source"/>
        <w:jc w:val="center"/>
      </w:pPr>
      <w:r w:rsidRPr="00C46CD7">
        <w:rPr>
          <w:noProof/>
          <w:lang w:eastAsia="en-ZA"/>
        </w:rPr>
        <w:drawing>
          <wp:inline distT="0" distB="0" distL="0" distR="0" wp14:anchorId="054A39D8" wp14:editId="0B99B7BD">
            <wp:extent cx="5039360" cy="3067050"/>
            <wp:effectExtent l="0" t="0" r="889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046953" cy="3071671"/>
                    </a:xfrm>
                    <a:prstGeom prst="rect">
                      <a:avLst/>
                    </a:prstGeom>
                    <a:noFill/>
                    <a:ln>
                      <a:noFill/>
                    </a:ln>
                  </pic:spPr>
                </pic:pic>
              </a:graphicData>
            </a:graphic>
          </wp:inline>
        </w:drawing>
      </w:r>
    </w:p>
    <w:p w:rsidR="00C46CD7" w:rsidRPr="00EE3E5F" w:rsidRDefault="00C46CD7" w:rsidP="00EE3E5F">
      <w:pPr>
        <w:pStyle w:val="source"/>
        <w:ind w:left="567"/>
        <w:rPr>
          <w:sz w:val="18"/>
          <w:szCs w:val="18"/>
        </w:rPr>
      </w:pPr>
      <w:r w:rsidRPr="00EE3E5F">
        <w:rPr>
          <w:i/>
          <w:sz w:val="18"/>
          <w:szCs w:val="18"/>
        </w:rPr>
        <w:t xml:space="preserve">Source: </w:t>
      </w:r>
      <w:r w:rsidRPr="00EE3E5F">
        <w:rPr>
          <w:sz w:val="18"/>
          <w:szCs w:val="18"/>
        </w:rPr>
        <w:t xml:space="preserve">Calculated from Statistics South Africa, Quarterly Financial Statistics, relevant quarters. </w:t>
      </w:r>
    </w:p>
    <w:p w:rsidR="000F3B7F" w:rsidRDefault="00EE3E5F" w:rsidP="00EE3E5F">
      <w:pPr>
        <w:spacing w:before="240" w:after="120" w:line="264" w:lineRule="auto"/>
        <w:ind w:left="567" w:right="567"/>
        <w:jc w:val="both"/>
      </w:pPr>
      <w:r>
        <w:rPr>
          <w:b/>
          <w:color w:val="1B5468"/>
          <w:sz w:val="28"/>
          <w:szCs w:val="28"/>
        </w:rPr>
        <w:t>Behind the trends</w:t>
      </w:r>
    </w:p>
    <w:p w:rsidR="000F3B7F" w:rsidRPr="00EE3E5F" w:rsidRDefault="000F3B7F" w:rsidP="00EE3E5F">
      <w:pPr>
        <w:spacing w:line="264" w:lineRule="auto"/>
        <w:ind w:left="567" w:right="567"/>
        <w:jc w:val="both"/>
        <w:rPr>
          <w:i/>
          <w:sz w:val="22"/>
        </w:rPr>
      </w:pPr>
      <w:r w:rsidRPr="00EE3E5F">
        <w:rPr>
          <w:i/>
          <w:sz w:val="22"/>
        </w:rPr>
        <w:t>A number of long-term factors continued to act as a drag on the S</w:t>
      </w:r>
      <w:r w:rsidR="00EE3E5F">
        <w:rPr>
          <w:i/>
          <w:sz w:val="22"/>
        </w:rPr>
        <w:t>outh Africa economy, key among</w:t>
      </w:r>
      <w:r w:rsidRPr="00EE3E5F">
        <w:rPr>
          <w:i/>
          <w:sz w:val="22"/>
        </w:rPr>
        <w:t xml:space="preserve"> them being the depressed global economy, weak commodity prices, and the impact of the drought. These factors have been aggravated by pro-cyclical fiscal and monetary policies. </w:t>
      </w:r>
    </w:p>
    <w:p w:rsidR="000F3B7F" w:rsidRDefault="000F3B7F" w:rsidP="00EE3E5F">
      <w:pPr>
        <w:spacing w:line="264" w:lineRule="auto"/>
        <w:ind w:left="567" w:right="567"/>
        <w:jc w:val="both"/>
        <w:rPr>
          <w:sz w:val="22"/>
        </w:rPr>
      </w:pPr>
      <w:r w:rsidRPr="00EE3E5F">
        <w:rPr>
          <w:sz w:val="22"/>
        </w:rPr>
        <w:t xml:space="preserve">The global economy remains in a precarious state. China’s reported growth slowed from </w:t>
      </w:r>
      <w:r w:rsidR="00F103BC" w:rsidRPr="00EE3E5F">
        <w:rPr>
          <w:sz w:val="22"/>
        </w:rPr>
        <w:t>6,8</w:t>
      </w:r>
      <w:r w:rsidRPr="00EE3E5F">
        <w:rPr>
          <w:sz w:val="22"/>
        </w:rPr>
        <w:t xml:space="preserve">% in the final quarter of 2015 to </w:t>
      </w:r>
      <w:r w:rsidR="00F103BC" w:rsidRPr="00EE3E5F">
        <w:rPr>
          <w:sz w:val="22"/>
        </w:rPr>
        <w:t>6,7</w:t>
      </w:r>
      <w:r w:rsidRPr="00EE3E5F">
        <w:rPr>
          <w:sz w:val="22"/>
        </w:rPr>
        <w:t>% in the first quarter of 2016 (the official figures are now generally considered exaggerated, but the trends appear to be reli</w:t>
      </w:r>
      <w:r w:rsidR="00EE3E5F">
        <w:rPr>
          <w:sz w:val="22"/>
        </w:rPr>
        <w:t xml:space="preserve">able). For </w:t>
      </w:r>
      <w:r w:rsidR="00C62ECF">
        <w:rPr>
          <w:sz w:val="22"/>
        </w:rPr>
        <w:t>their</w:t>
      </w:r>
      <w:r w:rsidR="00EE3E5F">
        <w:rPr>
          <w:sz w:val="22"/>
        </w:rPr>
        <w:t xml:space="preserve"> part, both the US</w:t>
      </w:r>
      <w:r w:rsidRPr="00EE3E5F">
        <w:rPr>
          <w:sz w:val="22"/>
        </w:rPr>
        <w:t xml:space="preserve"> and the European Union saw an expansion of only 0,5% in the first quarter of the year. The IMF forecasts continued slow growth in key South African markets, with the exception of India. To date, its forecasts have tended to be overly optimistic</w:t>
      </w:r>
      <w:r w:rsidR="00FB164D">
        <w:rPr>
          <w:sz w:val="22"/>
        </w:rPr>
        <w:t xml:space="preserve"> Graph 10)</w:t>
      </w:r>
      <w:r w:rsidRPr="00EE3E5F">
        <w:rPr>
          <w:sz w:val="22"/>
        </w:rPr>
        <w:t xml:space="preserve">. </w:t>
      </w:r>
    </w:p>
    <w:p w:rsidR="00FB164D" w:rsidRPr="00137DC9" w:rsidRDefault="00FB164D" w:rsidP="00FB164D">
      <w:pPr>
        <w:tabs>
          <w:tab w:val="left" w:pos="7935"/>
        </w:tabs>
        <w:ind w:left="567" w:right="567"/>
        <w:jc w:val="center"/>
        <w:rPr>
          <w:noProof/>
          <w:sz w:val="22"/>
          <w:lang w:eastAsia="en-ZA"/>
        </w:rPr>
      </w:pPr>
      <w:r>
        <w:rPr>
          <w:b/>
          <w:color w:val="1B5068"/>
          <w:sz w:val="22"/>
        </w:rPr>
        <w:t>Graph 10</w:t>
      </w:r>
    </w:p>
    <w:p w:rsidR="000F3B7F" w:rsidRDefault="000F3B7F" w:rsidP="00EE3E5F">
      <w:pPr>
        <w:jc w:val="center"/>
      </w:pPr>
      <w:r w:rsidRPr="00683532">
        <w:rPr>
          <w:noProof/>
          <w:lang w:eastAsia="en-ZA"/>
        </w:rPr>
        <w:drawing>
          <wp:inline distT="0" distB="0" distL="0" distR="0" wp14:anchorId="7153323A" wp14:editId="1FBABE5A">
            <wp:extent cx="5040000" cy="219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40000" cy="2199600"/>
                    </a:xfrm>
                    <a:prstGeom prst="rect">
                      <a:avLst/>
                    </a:prstGeom>
                    <a:noFill/>
                    <a:ln>
                      <a:noFill/>
                    </a:ln>
                  </pic:spPr>
                </pic:pic>
              </a:graphicData>
            </a:graphic>
          </wp:inline>
        </w:drawing>
      </w:r>
    </w:p>
    <w:p w:rsidR="000F3B7F" w:rsidRPr="000C07AD" w:rsidRDefault="000F3B7F" w:rsidP="000C07AD">
      <w:pPr>
        <w:pStyle w:val="source"/>
        <w:ind w:left="567"/>
        <w:rPr>
          <w:b/>
          <w:sz w:val="22"/>
          <w:szCs w:val="22"/>
        </w:rPr>
      </w:pPr>
      <w:r w:rsidRPr="00EE3E5F">
        <w:rPr>
          <w:i/>
          <w:sz w:val="18"/>
          <w:szCs w:val="18"/>
        </w:rPr>
        <w:t xml:space="preserve">Source: </w:t>
      </w:r>
      <w:r w:rsidRPr="00EE3E5F">
        <w:rPr>
          <w:sz w:val="18"/>
          <w:szCs w:val="18"/>
        </w:rPr>
        <w:t xml:space="preserve">Calculated from, IMF. World Economic Outlook. April 2016. Electronic database. Series on GDP </w:t>
      </w:r>
      <w:r w:rsidR="000C07AD">
        <w:rPr>
          <w:sz w:val="18"/>
          <w:szCs w:val="18"/>
        </w:rPr>
        <w:br/>
      </w:r>
      <w:r w:rsidRPr="00EE3E5F">
        <w:rPr>
          <w:sz w:val="18"/>
          <w:szCs w:val="18"/>
        </w:rPr>
        <w:t xml:space="preserve">growth in constant national currency. Downloaded from </w:t>
      </w:r>
      <w:hyperlink r:id="rId28" w:history="1">
        <w:r w:rsidRPr="00EE3E5F">
          <w:rPr>
            <w:rStyle w:val="Hyperlink"/>
            <w:color w:val="auto"/>
            <w:sz w:val="18"/>
            <w:szCs w:val="18"/>
            <w:u w:val="none"/>
          </w:rPr>
          <w:t>www.imf.org</w:t>
        </w:r>
      </w:hyperlink>
      <w:r w:rsidRPr="00EE3E5F">
        <w:rPr>
          <w:sz w:val="18"/>
          <w:szCs w:val="18"/>
        </w:rPr>
        <w:t xml:space="preserve"> in June 2016.</w:t>
      </w:r>
      <w:r w:rsidR="000C07AD">
        <w:rPr>
          <w:sz w:val="18"/>
          <w:szCs w:val="18"/>
        </w:rPr>
        <w:t xml:space="preserve">                                                   </w:t>
      </w:r>
      <w:r w:rsidR="000C07AD" w:rsidRPr="000C07AD">
        <w:rPr>
          <w:b/>
          <w:sz w:val="22"/>
          <w:szCs w:val="22"/>
        </w:rPr>
        <w:t>8</w:t>
      </w:r>
    </w:p>
    <w:p w:rsidR="000F3B7F" w:rsidRPr="00FB164D" w:rsidRDefault="000F3B7F" w:rsidP="00FB164D">
      <w:pPr>
        <w:spacing w:before="0" w:after="120" w:line="264" w:lineRule="auto"/>
        <w:ind w:left="567" w:right="567"/>
        <w:jc w:val="both"/>
        <w:rPr>
          <w:sz w:val="22"/>
        </w:rPr>
      </w:pPr>
      <w:r w:rsidRPr="00FB164D">
        <w:rPr>
          <w:sz w:val="22"/>
        </w:rPr>
        <w:lastRenderedPageBreak/>
        <w:t xml:space="preserve">South Africa has faced slower global growth while grappling with fiscal constraints and Reserve Bank concerns about inflation. These factors mean that macro-economic policy has been effectively pro-cyclical, with a slowdown in state spending and higher interest rates coming into play just as the global economy began to slow down. </w:t>
      </w:r>
    </w:p>
    <w:p w:rsidR="000F3B7F" w:rsidRPr="00FB164D" w:rsidRDefault="000F3B7F" w:rsidP="00FB164D">
      <w:pPr>
        <w:spacing w:before="0" w:after="120" w:line="264" w:lineRule="auto"/>
        <w:ind w:left="567" w:right="567"/>
        <w:jc w:val="both"/>
        <w:rPr>
          <w:sz w:val="22"/>
        </w:rPr>
      </w:pPr>
      <w:r w:rsidRPr="00FB164D">
        <w:rPr>
          <w:sz w:val="22"/>
        </w:rPr>
        <w:t xml:space="preserve">As </w:t>
      </w:r>
      <w:r w:rsidR="0016124E">
        <w:rPr>
          <w:sz w:val="22"/>
        </w:rPr>
        <w:t>Graph 11</w:t>
      </w:r>
      <w:r w:rsidRPr="00FB164D">
        <w:rPr>
          <w:sz w:val="22"/>
        </w:rPr>
        <w:t xml:space="preserve"> shows, state spending is expected to be substantially slower than GDP growth from 2016/</w:t>
      </w:r>
      <w:r w:rsidR="0016124E">
        <w:rPr>
          <w:sz w:val="22"/>
        </w:rPr>
        <w:t>1</w:t>
      </w:r>
      <w:r w:rsidRPr="00FB164D">
        <w:rPr>
          <w:sz w:val="22"/>
        </w:rPr>
        <w:t>7 to 2018/</w:t>
      </w:r>
      <w:r w:rsidR="0016124E">
        <w:rPr>
          <w:sz w:val="22"/>
        </w:rPr>
        <w:t>1</w:t>
      </w:r>
      <w:r w:rsidRPr="00FB164D">
        <w:rPr>
          <w:sz w:val="22"/>
        </w:rPr>
        <w:t xml:space="preserve">9. As a result, state spending per person is predicted to fall over this period. </w:t>
      </w:r>
    </w:p>
    <w:p w:rsidR="00FB164D" w:rsidRPr="00137DC9" w:rsidRDefault="00FB164D" w:rsidP="00FB164D">
      <w:pPr>
        <w:tabs>
          <w:tab w:val="left" w:pos="7935"/>
        </w:tabs>
        <w:ind w:left="567" w:right="567"/>
        <w:jc w:val="center"/>
        <w:rPr>
          <w:noProof/>
          <w:sz w:val="22"/>
          <w:lang w:eastAsia="en-ZA"/>
        </w:rPr>
      </w:pPr>
      <w:r>
        <w:rPr>
          <w:b/>
          <w:color w:val="1B5068"/>
          <w:sz w:val="22"/>
        </w:rPr>
        <w:t>Graph 11</w:t>
      </w:r>
    </w:p>
    <w:p w:rsidR="00FB164D" w:rsidRDefault="000F3B7F" w:rsidP="00FB164D">
      <w:pPr>
        <w:pStyle w:val="source"/>
        <w:jc w:val="center"/>
        <w:rPr>
          <w:i/>
        </w:rPr>
      </w:pPr>
      <w:r w:rsidRPr="006A057B">
        <w:rPr>
          <w:noProof/>
          <w:lang w:eastAsia="en-ZA"/>
        </w:rPr>
        <w:drawing>
          <wp:inline distT="0" distB="0" distL="0" distR="0" wp14:anchorId="5A255018" wp14:editId="647E9AE8">
            <wp:extent cx="5040000" cy="26136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40000" cy="2613600"/>
                    </a:xfrm>
                    <a:prstGeom prst="rect">
                      <a:avLst/>
                    </a:prstGeom>
                    <a:noFill/>
                    <a:ln>
                      <a:noFill/>
                    </a:ln>
                  </pic:spPr>
                </pic:pic>
              </a:graphicData>
            </a:graphic>
          </wp:inline>
        </w:drawing>
      </w:r>
    </w:p>
    <w:p w:rsidR="000F3B7F" w:rsidRPr="00FB164D" w:rsidRDefault="000F3B7F" w:rsidP="00FB164D">
      <w:pPr>
        <w:pStyle w:val="source"/>
        <w:spacing w:after="120"/>
        <w:ind w:left="567" w:right="567"/>
        <w:rPr>
          <w:sz w:val="18"/>
          <w:szCs w:val="18"/>
        </w:rPr>
      </w:pPr>
      <w:r w:rsidRPr="00FB164D">
        <w:rPr>
          <w:i/>
          <w:sz w:val="18"/>
          <w:szCs w:val="18"/>
        </w:rPr>
        <w:t xml:space="preserve">Source: </w:t>
      </w:r>
      <w:r w:rsidRPr="00FB164D">
        <w:rPr>
          <w:sz w:val="18"/>
          <w:szCs w:val="18"/>
        </w:rPr>
        <w:t xml:space="preserve">Calculated from Budget Review. Statistics in excel format. Relevant series. Downloaded from </w:t>
      </w:r>
      <w:hyperlink r:id="rId30" w:history="1">
        <w:r w:rsidRPr="00FB164D">
          <w:rPr>
            <w:rStyle w:val="Hyperlink"/>
            <w:color w:val="auto"/>
            <w:sz w:val="18"/>
            <w:szCs w:val="18"/>
            <w:u w:val="none"/>
          </w:rPr>
          <w:t>www.treasury.gov.za</w:t>
        </w:r>
      </w:hyperlink>
      <w:r w:rsidRPr="00FB164D">
        <w:rPr>
          <w:sz w:val="18"/>
          <w:szCs w:val="18"/>
        </w:rPr>
        <w:t xml:space="preserve"> in June 2016.</w:t>
      </w:r>
    </w:p>
    <w:p w:rsidR="000F3B7F" w:rsidRDefault="000F3B7F" w:rsidP="00FB164D">
      <w:pPr>
        <w:spacing w:before="0" w:after="120" w:line="264" w:lineRule="auto"/>
        <w:ind w:left="567" w:right="567"/>
        <w:jc w:val="both"/>
        <w:rPr>
          <w:sz w:val="22"/>
        </w:rPr>
      </w:pPr>
      <w:r w:rsidRPr="00FB164D">
        <w:rPr>
          <w:sz w:val="22"/>
        </w:rPr>
        <w:t xml:space="preserve">Furthermore, the Reserve Bank began to increase the repo rate just as economic growth began to decline, as </w:t>
      </w:r>
      <w:r w:rsidR="0016124E">
        <w:rPr>
          <w:sz w:val="22"/>
        </w:rPr>
        <w:t>Graph 12</w:t>
      </w:r>
      <w:r w:rsidRPr="00FB164D">
        <w:rPr>
          <w:sz w:val="22"/>
        </w:rPr>
        <w:t xml:space="preserve"> shows. In large part, it sought to subdue inflation, which seemed likely to follow from rapid depreciation as export markets narrowed. But the effect was to aggravate the overall slowdown. </w:t>
      </w:r>
    </w:p>
    <w:p w:rsidR="00FB164D" w:rsidRPr="00137DC9" w:rsidRDefault="00FB164D" w:rsidP="0016124E">
      <w:pPr>
        <w:tabs>
          <w:tab w:val="left" w:pos="7935"/>
        </w:tabs>
        <w:spacing w:before="0"/>
        <w:ind w:left="567" w:right="567"/>
        <w:jc w:val="center"/>
        <w:rPr>
          <w:noProof/>
          <w:sz w:val="22"/>
          <w:lang w:eastAsia="en-ZA"/>
        </w:rPr>
      </w:pPr>
      <w:r>
        <w:rPr>
          <w:b/>
          <w:color w:val="1B5068"/>
          <w:sz w:val="22"/>
        </w:rPr>
        <w:t>Graph 12</w:t>
      </w:r>
    </w:p>
    <w:p w:rsidR="000F3B7F" w:rsidRDefault="00C17783" w:rsidP="00FB164D">
      <w:pPr>
        <w:jc w:val="center"/>
      </w:pPr>
      <w:r w:rsidRPr="00C17783">
        <w:rPr>
          <w:noProof/>
          <w:lang w:eastAsia="en-ZA"/>
        </w:rPr>
        <w:drawing>
          <wp:inline distT="0" distB="0" distL="0" distR="0" wp14:anchorId="10BB6AFE" wp14:editId="0104557D">
            <wp:extent cx="5040000" cy="2314800"/>
            <wp:effectExtent l="0" t="0" r="825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040000" cy="2314800"/>
                    </a:xfrm>
                    <a:prstGeom prst="rect">
                      <a:avLst/>
                    </a:prstGeom>
                    <a:noFill/>
                    <a:ln>
                      <a:noFill/>
                    </a:ln>
                  </pic:spPr>
                </pic:pic>
              </a:graphicData>
            </a:graphic>
          </wp:inline>
        </w:drawing>
      </w:r>
    </w:p>
    <w:p w:rsidR="000F3B7F" w:rsidRPr="00FB164D" w:rsidRDefault="000F3B7F" w:rsidP="00FB164D">
      <w:pPr>
        <w:pStyle w:val="source"/>
        <w:ind w:left="567" w:right="567"/>
        <w:rPr>
          <w:sz w:val="18"/>
          <w:szCs w:val="18"/>
        </w:rPr>
      </w:pPr>
      <w:r w:rsidRPr="00FB164D">
        <w:rPr>
          <w:i/>
          <w:sz w:val="18"/>
          <w:szCs w:val="18"/>
        </w:rPr>
        <w:t xml:space="preserve">Source: </w:t>
      </w:r>
      <w:r w:rsidRPr="00FB164D">
        <w:rPr>
          <w:sz w:val="18"/>
          <w:szCs w:val="18"/>
        </w:rPr>
        <w:t xml:space="preserve">Repo rate from SARB. Interactive data set. Series on the repo rate. Downloaded in June 2016. GDP growth calculated from Statistics South Africa. GDP data from 2003. Electronic database. Series on GDP in constant terms. Downloaded from </w:t>
      </w:r>
      <w:hyperlink r:id="rId32" w:history="1">
        <w:r w:rsidRPr="00FB164D">
          <w:rPr>
            <w:rStyle w:val="Hyperlink"/>
            <w:color w:val="auto"/>
            <w:sz w:val="18"/>
            <w:szCs w:val="18"/>
            <w:u w:val="none"/>
          </w:rPr>
          <w:t>www.statssa.gov.za</w:t>
        </w:r>
      </w:hyperlink>
      <w:r w:rsidRPr="00FB164D">
        <w:rPr>
          <w:sz w:val="18"/>
          <w:szCs w:val="18"/>
        </w:rPr>
        <w:t xml:space="preserve"> in June 2016. CPI for March from Statistics South Africa. CPI History: 1960 Onwards. Downloaded from </w:t>
      </w:r>
      <w:hyperlink r:id="rId33" w:history="1">
        <w:r w:rsidRPr="00FB164D">
          <w:rPr>
            <w:rStyle w:val="Hyperlink"/>
            <w:color w:val="auto"/>
            <w:sz w:val="18"/>
            <w:szCs w:val="18"/>
            <w:u w:val="none"/>
          </w:rPr>
          <w:t>www.statssa.gov.za</w:t>
        </w:r>
      </w:hyperlink>
      <w:r w:rsidRPr="00FB164D">
        <w:rPr>
          <w:sz w:val="18"/>
          <w:szCs w:val="18"/>
        </w:rPr>
        <w:t xml:space="preserve"> in June 2016. </w:t>
      </w:r>
    </w:p>
    <w:p w:rsidR="00FB164D" w:rsidRPr="000C07AD" w:rsidRDefault="000C07AD" w:rsidP="000F3B7F">
      <w:pPr>
        <w:rPr>
          <w:b/>
          <w:sz w:val="22"/>
        </w:rPr>
      </w:pPr>
      <w:r>
        <w:rPr>
          <w:b/>
          <w:sz w:val="22"/>
        </w:rPr>
        <w:t xml:space="preserve">                                                                                                                                                                                </w:t>
      </w:r>
      <w:r w:rsidRPr="000C07AD">
        <w:rPr>
          <w:b/>
          <w:sz w:val="22"/>
        </w:rPr>
        <w:t>9</w:t>
      </w:r>
    </w:p>
    <w:p w:rsidR="000F3B7F" w:rsidRPr="00FB164D" w:rsidRDefault="000F3B7F" w:rsidP="00C118F9">
      <w:pPr>
        <w:spacing w:before="0" w:after="60" w:line="264" w:lineRule="auto"/>
        <w:ind w:left="567" w:right="567"/>
        <w:jc w:val="both"/>
        <w:rPr>
          <w:sz w:val="22"/>
        </w:rPr>
      </w:pPr>
      <w:r w:rsidRPr="00FB164D">
        <w:rPr>
          <w:sz w:val="22"/>
        </w:rPr>
        <w:lastRenderedPageBreak/>
        <w:t>While budget constraints are real, the risk is that the current combination of tightening fiscal and monetary stances will aggravate the threats of slow growth, unemployment and inequality. In these circumstances, South Africa should explore more innovative and creative levers to stimulate aggregate demand, going beyond the budget and the repo rate. Viable measures include the following</w:t>
      </w:r>
      <w:r w:rsidR="00C118F9">
        <w:rPr>
          <w:sz w:val="22"/>
        </w:rPr>
        <w:t>:</w:t>
      </w:r>
    </w:p>
    <w:p w:rsidR="000F3B7F" w:rsidRPr="00FB164D" w:rsidRDefault="000F3B7F" w:rsidP="00C118F9">
      <w:pPr>
        <w:pStyle w:val="ListParagraph"/>
        <w:numPr>
          <w:ilvl w:val="0"/>
          <w:numId w:val="22"/>
        </w:numPr>
        <w:spacing w:before="0" w:after="60" w:line="264" w:lineRule="auto"/>
        <w:ind w:left="737" w:right="567" w:hanging="170"/>
        <w:jc w:val="both"/>
        <w:rPr>
          <w:sz w:val="22"/>
        </w:rPr>
      </w:pPr>
      <w:r w:rsidRPr="00FB164D">
        <w:rPr>
          <w:sz w:val="22"/>
        </w:rPr>
        <w:t xml:space="preserve">A two-year holiday on UIF contributions would effectively increase incomes for both workers and employers. It would take advantage of the current UIF surplus of over R100 billion, which is far in excess of the amount required to maintain spending even under </w:t>
      </w:r>
      <w:r w:rsidR="00C62ECF">
        <w:rPr>
          <w:sz w:val="22"/>
        </w:rPr>
        <w:t xml:space="preserve">current proposals to improve benefits. </w:t>
      </w:r>
      <w:r w:rsidRPr="00FB164D">
        <w:rPr>
          <w:sz w:val="22"/>
        </w:rPr>
        <w:t>In addition, ways to invest the UIF surplus to generate more sustainable growth and more competitive industries should also be considered.</w:t>
      </w:r>
    </w:p>
    <w:p w:rsidR="000F3B7F" w:rsidRPr="00FB164D" w:rsidRDefault="000F3B7F" w:rsidP="00C118F9">
      <w:pPr>
        <w:pStyle w:val="ListParagraph"/>
        <w:numPr>
          <w:ilvl w:val="0"/>
          <w:numId w:val="22"/>
        </w:numPr>
        <w:spacing w:before="0" w:after="60" w:line="264" w:lineRule="auto"/>
        <w:ind w:left="737" w:right="567" w:hanging="170"/>
        <w:jc w:val="both"/>
        <w:rPr>
          <w:sz w:val="22"/>
        </w:rPr>
      </w:pPr>
      <w:r w:rsidRPr="00FB164D">
        <w:rPr>
          <w:sz w:val="22"/>
        </w:rPr>
        <w:t>A revised policy guideline to the Reserve Bank should ensure that interest rates do not increase as long as inflation is moderate by historical standards – below, say, 10% - and growth is under 1% a year.</w:t>
      </w:r>
    </w:p>
    <w:p w:rsidR="000F3B7F" w:rsidRPr="00FB164D" w:rsidRDefault="000F3B7F" w:rsidP="00C118F9">
      <w:pPr>
        <w:pStyle w:val="ListParagraph"/>
        <w:numPr>
          <w:ilvl w:val="0"/>
          <w:numId w:val="22"/>
        </w:numPr>
        <w:spacing w:before="0" w:after="60" w:line="264" w:lineRule="auto"/>
        <w:ind w:left="737" w:right="567" w:hanging="170"/>
        <w:jc w:val="both"/>
        <w:rPr>
          <w:sz w:val="22"/>
        </w:rPr>
      </w:pPr>
      <w:r w:rsidRPr="00FB164D">
        <w:rPr>
          <w:sz w:val="22"/>
        </w:rPr>
        <w:t xml:space="preserve">More vigorous action should be taken to monitor and where appropriate restrain regulated prices and to improve productivity by state-owned enterprises, public-sector schools and hospitals, and municipalities, most of which have increased their tariffs faster than inflation. </w:t>
      </w:r>
    </w:p>
    <w:p w:rsidR="000F3B7F" w:rsidRPr="00FB164D" w:rsidRDefault="000F3B7F" w:rsidP="00C118F9">
      <w:pPr>
        <w:pStyle w:val="ListParagraph"/>
        <w:numPr>
          <w:ilvl w:val="0"/>
          <w:numId w:val="22"/>
        </w:numPr>
        <w:spacing w:before="0" w:after="60" w:line="264" w:lineRule="auto"/>
        <w:ind w:left="737" w:right="567" w:hanging="170"/>
        <w:jc w:val="both"/>
        <w:rPr>
          <w:sz w:val="22"/>
        </w:rPr>
      </w:pPr>
      <w:r w:rsidRPr="00FB164D">
        <w:rPr>
          <w:sz w:val="22"/>
        </w:rPr>
        <w:t>Cabinet should impose a six-month freeze on amending regulations and laws to stabilise the policy environment and reduce compliance burdens. The only exception should be whe</w:t>
      </w:r>
      <w:r w:rsidR="0016124E">
        <w:rPr>
          <w:sz w:val="22"/>
        </w:rPr>
        <w:t>n</w:t>
      </w:r>
      <w:r w:rsidRPr="00FB164D">
        <w:rPr>
          <w:sz w:val="22"/>
        </w:rPr>
        <w:t xml:space="preserve"> Cabinet specifically approves a change on the grounds that it has nationally important and urgent aims. During the temporary freeze, government should engage with stakeholders on its legislative programme so as to ensure a higher degree of agreement on priorities and </w:t>
      </w:r>
      <w:r w:rsidR="00C62ECF">
        <w:rPr>
          <w:sz w:val="22"/>
        </w:rPr>
        <w:t xml:space="preserve">to establish </w:t>
      </w:r>
      <w:r w:rsidRPr="00FB164D">
        <w:rPr>
          <w:sz w:val="22"/>
        </w:rPr>
        <w:t xml:space="preserve">processes to avoid unintended consequences. </w:t>
      </w:r>
    </w:p>
    <w:p w:rsidR="000F3B7F" w:rsidRPr="00FB164D" w:rsidRDefault="000F3B7F" w:rsidP="00C118F9">
      <w:pPr>
        <w:pStyle w:val="ListParagraph"/>
        <w:numPr>
          <w:ilvl w:val="0"/>
          <w:numId w:val="22"/>
        </w:numPr>
        <w:spacing w:before="0" w:after="60" w:line="264" w:lineRule="auto"/>
        <w:ind w:left="737" w:right="567" w:hanging="170"/>
        <w:jc w:val="both"/>
        <w:rPr>
          <w:sz w:val="22"/>
        </w:rPr>
      </w:pPr>
      <w:r w:rsidRPr="00FB164D">
        <w:rPr>
          <w:sz w:val="22"/>
        </w:rPr>
        <w:t xml:space="preserve">State agencies should be required to do more to ensure local procurement, especially for consumables, where the price differential is not excessive, in order to maximise the stimulus effects of government spending by reducing import leakages. </w:t>
      </w:r>
    </w:p>
    <w:p w:rsidR="000F3B7F" w:rsidRPr="00FB164D" w:rsidRDefault="000F3B7F" w:rsidP="00C118F9">
      <w:pPr>
        <w:pStyle w:val="ListParagraph"/>
        <w:numPr>
          <w:ilvl w:val="0"/>
          <w:numId w:val="22"/>
        </w:numPr>
        <w:spacing w:before="0" w:after="120" w:line="264" w:lineRule="auto"/>
        <w:ind w:left="737" w:right="567" w:hanging="170"/>
        <w:jc w:val="both"/>
        <w:rPr>
          <w:sz w:val="22"/>
        </w:rPr>
      </w:pPr>
      <w:r w:rsidRPr="00FB164D">
        <w:rPr>
          <w:sz w:val="22"/>
        </w:rPr>
        <w:t xml:space="preserve">Government should identify additional levers to encourage private companies also to buy local. </w:t>
      </w:r>
    </w:p>
    <w:p w:rsidR="00FD31A1" w:rsidRPr="003D04C9" w:rsidRDefault="00FB164D" w:rsidP="00C118F9">
      <w:pPr>
        <w:spacing w:before="0" w:after="120" w:line="264" w:lineRule="auto"/>
        <w:ind w:left="567" w:right="567"/>
        <w:jc w:val="both"/>
        <w:rPr>
          <w:sz w:val="28"/>
          <w:szCs w:val="28"/>
        </w:rPr>
      </w:pPr>
      <w:r w:rsidRPr="003D04C9">
        <w:rPr>
          <w:b/>
          <w:color w:val="1B5468"/>
          <w:sz w:val="28"/>
          <w:szCs w:val="28"/>
        </w:rPr>
        <w:t>Fiscal pressure on industrial policy programme</w:t>
      </w:r>
      <w:r w:rsidR="0039570A" w:rsidRPr="003D04C9">
        <w:rPr>
          <w:b/>
          <w:color w:val="1B5468"/>
          <w:sz w:val="28"/>
          <w:szCs w:val="28"/>
        </w:rPr>
        <w:t>s</w:t>
      </w:r>
    </w:p>
    <w:p w:rsidR="00FD31A1" w:rsidRPr="00FB164D" w:rsidRDefault="00FD31A1" w:rsidP="0016124E">
      <w:pPr>
        <w:spacing w:before="0" w:after="120" w:line="264" w:lineRule="auto"/>
        <w:ind w:left="567" w:right="567"/>
        <w:jc w:val="both"/>
        <w:rPr>
          <w:sz w:val="22"/>
        </w:rPr>
      </w:pPr>
      <w:r w:rsidRPr="00FB164D">
        <w:rPr>
          <w:sz w:val="22"/>
        </w:rPr>
        <w:t xml:space="preserve">The 2016/17-2018/19 Medium Term Expenditure Framework (MTEF) is the product of a difficult economic climate. As a slowing global economy and depressed commodity prices put pressure on the budget, key government departments will have to grapple with the dual challenge of constrained fiscal conditions and the ever more pressing need to boost economic growth. </w:t>
      </w:r>
      <w:r w:rsidR="00D417E5" w:rsidRPr="00FB164D">
        <w:rPr>
          <w:sz w:val="22"/>
        </w:rPr>
        <w:t xml:space="preserve">One result is a cut in the </w:t>
      </w:r>
      <w:r w:rsidR="0016124E">
        <w:rPr>
          <w:sz w:val="22"/>
        </w:rPr>
        <w:t xml:space="preserve">Department of Trade and Industry’s (the dti’s) </w:t>
      </w:r>
      <w:r w:rsidR="00D417E5" w:rsidRPr="00FB164D">
        <w:rPr>
          <w:sz w:val="22"/>
        </w:rPr>
        <w:t>budget in nominal term</w:t>
      </w:r>
      <w:r w:rsidR="0016124E">
        <w:rPr>
          <w:sz w:val="22"/>
        </w:rPr>
        <w:t>s</w:t>
      </w:r>
      <w:r w:rsidR="00D417E5" w:rsidRPr="00FB164D">
        <w:rPr>
          <w:sz w:val="22"/>
        </w:rPr>
        <w:t>, with a particularly sharp impact on incentives for business and funds for I</w:t>
      </w:r>
      <w:r w:rsidR="0016124E">
        <w:rPr>
          <w:sz w:val="22"/>
        </w:rPr>
        <w:t xml:space="preserve">ndustrial </w:t>
      </w:r>
      <w:r w:rsidR="00D417E5" w:rsidRPr="00FB164D">
        <w:rPr>
          <w:sz w:val="22"/>
        </w:rPr>
        <w:t>D</w:t>
      </w:r>
      <w:r w:rsidR="0016124E">
        <w:rPr>
          <w:sz w:val="22"/>
        </w:rPr>
        <w:t xml:space="preserve">evelopment </w:t>
      </w:r>
      <w:r w:rsidR="00D417E5" w:rsidRPr="00FB164D">
        <w:rPr>
          <w:sz w:val="22"/>
        </w:rPr>
        <w:t>C</w:t>
      </w:r>
      <w:r w:rsidR="0016124E">
        <w:rPr>
          <w:sz w:val="22"/>
        </w:rPr>
        <w:t>orporation</w:t>
      </w:r>
      <w:r w:rsidR="00D417E5" w:rsidRPr="00FB164D">
        <w:rPr>
          <w:sz w:val="22"/>
        </w:rPr>
        <w:t xml:space="preserve"> </w:t>
      </w:r>
      <w:r w:rsidR="005807DE">
        <w:rPr>
          <w:sz w:val="22"/>
        </w:rPr>
        <w:t xml:space="preserve">(IDC) </w:t>
      </w:r>
      <w:r w:rsidR="00D417E5" w:rsidRPr="00FB164D">
        <w:rPr>
          <w:sz w:val="22"/>
        </w:rPr>
        <w:t xml:space="preserve">programmes. </w:t>
      </w:r>
    </w:p>
    <w:p w:rsidR="00D417E5" w:rsidRPr="00FB164D" w:rsidRDefault="00FD31A1" w:rsidP="0016124E">
      <w:pPr>
        <w:spacing w:before="0" w:after="120" w:line="264" w:lineRule="auto"/>
        <w:ind w:left="567" w:right="567"/>
        <w:jc w:val="both"/>
        <w:rPr>
          <w:sz w:val="22"/>
        </w:rPr>
      </w:pPr>
      <w:r w:rsidRPr="00FB164D">
        <w:rPr>
          <w:sz w:val="22"/>
        </w:rPr>
        <w:t xml:space="preserve">The dti plays a crucial role in facilitating and supporting economic activity </w:t>
      </w:r>
      <w:r w:rsidR="009C188C" w:rsidRPr="00FB164D">
        <w:rPr>
          <w:sz w:val="22"/>
        </w:rPr>
        <w:t xml:space="preserve">and employment in South Africa. Key </w:t>
      </w:r>
      <w:r w:rsidRPr="00FB164D">
        <w:rPr>
          <w:sz w:val="22"/>
        </w:rPr>
        <w:t>departmental</w:t>
      </w:r>
      <w:r w:rsidR="009C188C" w:rsidRPr="00FB164D">
        <w:rPr>
          <w:sz w:val="22"/>
        </w:rPr>
        <w:t xml:space="preserve"> functions</w:t>
      </w:r>
      <w:r w:rsidR="00D417E5" w:rsidRPr="00FB164D">
        <w:rPr>
          <w:sz w:val="22"/>
        </w:rPr>
        <w:t xml:space="preserve"> </w:t>
      </w:r>
      <w:r w:rsidR="009C188C" w:rsidRPr="00FB164D">
        <w:rPr>
          <w:sz w:val="22"/>
        </w:rPr>
        <w:t>include</w:t>
      </w:r>
      <w:r w:rsidRPr="00FB164D">
        <w:rPr>
          <w:sz w:val="22"/>
        </w:rPr>
        <w:t xml:space="preserve"> increased investment facilitation, manufacturing incentives, supporting exports and industrial spatial development. Of the MTEF budgeted expenditure, the dti has been allocated just over R28</w:t>
      </w:r>
      <w:r w:rsidR="00D417E5" w:rsidRPr="00FB164D">
        <w:rPr>
          <w:sz w:val="22"/>
        </w:rPr>
        <w:t xml:space="preserve"> billion</w:t>
      </w:r>
      <w:r w:rsidRPr="00FB164D">
        <w:rPr>
          <w:sz w:val="22"/>
        </w:rPr>
        <w:t xml:space="preserve"> over the medium term (to 2018/19). </w:t>
      </w:r>
      <w:r w:rsidR="00D417E5" w:rsidRPr="00FB164D">
        <w:rPr>
          <w:sz w:val="22"/>
        </w:rPr>
        <w:t xml:space="preserve">That means </w:t>
      </w:r>
      <w:r w:rsidRPr="00FB164D">
        <w:rPr>
          <w:sz w:val="22"/>
        </w:rPr>
        <w:t xml:space="preserve">the dti’s budget </w:t>
      </w:r>
      <w:r w:rsidR="00D417E5" w:rsidRPr="00FB164D">
        <w:rPr>
          <w:sz w:val="22"/>
        </w:rPr>
        <w:t xml:space="preserve">will </w:t>
      </w:r>
      <w:r w:rsidRPr="00FB164D">
        <w:rPr>
          <w:sz w:val="22"/>
        </w:rPr>
        <w:lastRenderedPageBreak/>
        <w:t>decreas</w:t>
      </w:r>
      <w:r w:rsidR="00D417E5" w:rsidRPr="00FB164D">
        <w:rPr>
          <w:sz w:val="22"/>
        </w:rPr>
        <w:t xml:space="preserve">e </w:t>
      </w:r>
      <w:r w:rsidRPr="00FB164D">
        <w:rPr>
          <w:sz w:val="22"/>
        </w:rPr>
        <w:t>by an estimated 3</w:t>
      </w:r>
      <w:r w:rsidR="00D417E5" w:rsidRPr="00FB164D">
        <w:rPr>
          <w:sz w:val="22"/>
        </w:rPr>
        <w:t>,</w:t>
      </w:r>
      <w:r w:rsidRPr="00FB164D">
        <w:rPr>
          <w:sz w:val="22"/>
        </w:rPr>
        <w:t>1% annually for the next three years (versus overall budgetary growth of 7,5% p.a.) from R10</w:t>
      </w:r>
      <w:r w:rsidR="00D417E5" w:rsidRPr="00FB164D">
        <w:rPr>
          <w:sz w:val="22"/>
        </w:rPr>
        <w:t>,</w:t>
      </w:r>
      <w:r w:rsidRPr="00FB164D">
        <w:rPr>
          <w:sz w:val="22"/>
        </w:rPr>
        <w:t xml:space="preserve">3 </w:t>
      </w:r>
      <w:r w:rsidR="00D417E5" w:rsidRPr="00FB164D">
        <w:rPr>
          <w:sz w:val="22"/>
        </w:rPr>
        <w:t>billion</w:t>
      </w:r>
      <w:r w:rsidRPr="00FB164D">
        <w:rPr>
          <w:sz w:val="22"/>
        </w:rPr>
        <w:t xml:space="preserve"> in 2016 to R8</w:t>
      </w:r>
      <w:r w:rsidR="00D417E5" w:rsidRPr="00FB164D">
        <w:rPr>
          <w:sz w:val="22"/>
        </w:rPr>
        <w:t>,</w:t>
      </w:r>
      <w:r w:rsidRPr="00FB164D">
        <w:rPr>
          <w:sz w:val="22"/>
        </w:rPr>
        <w:t>6</w:t>
      </w:r>
      <w:r w:rsidR="00D417E5" w:rsidRPr="00FB164D">
        <w:rPr>
          <w:sz w:val="22"/>
        </w:rPr>
        <w:t xml:space="preserve"> billion</w:t>
      </w:r>
      <w:r w:rsidRPr="00FB164D">
        <w:rPr>
          <w:sz w:val="22"/>
        </w:rPr>
        <w:t xml:space="preserve"> in 2018. </w:t>
      </w:r>
    </w:p>
    <w:p w:rsidR="00FD31A1" w:rsidRPr="00FB164D" w:rsidRDefault="00D417E5" w:rsidP="0016124E">
      <w:pPr>
        <w:spacing w:before="0" w:after="120" w:line="264" w:lineRule="auto"/>
        <w:ind w:left="567" w:right="567"/>
        <w:jc w:val="both"/>
        <w:rPr>
          <w:sz w:val="22"/>
        </w:rPr>
      </w:pPr>
      <w:r w:rsidRPr="00FB164D">
        <w:rPr>
          <w:sz w:val="22"/>
        </w:rPr>
        <w:t xml:space="preserve">The cuts will mostly </w:t>
      </w:r>
      <w:r w:rsidR="004C4CD7">
        <w:rPr>
          <w:sz w:val="22"/>
        </w:rPr>
        <w:t>affect</w:t>
      </w:r>
      <w:r w:rsidRPr="00FB164D">
        <w:rPr>
          <w:sz w:val="22"/>
        </w:rPr>
        <w:t xml:space="preserve"> t</w:t>
      </w:r>
      <w:r w:rsidR="00FD31A1" w:rsidRPr="00FB164D">
        <w:rPr>
          <w:sz w:val="22"/>
        </w:rPr>
        <w:t>hree key programme areas of the dti</w:t>
      </w:r>
      <w:r w:rsidR="0016124E">
        <w:rPr>
          <w:sz w:val="22"/>
        </w:rPr>
        <w:t>:</w:t>
      </w:r>
      <w:r w:rsidRPr="00FB164D">
        <w:rPr>
          <w:sz w:val="22"/>
        </w:rPr>
        <w:t xml:space="preserve"> </w:t>
      </w:r>
      <w:r w:rsidR="00FD31A1" w:rsidRPr="00FB164D">
        <w:rPr>
          <w:sz w:val="22"/>
        </w:rPr>
        <w:t>support to industrial development programmes, trade and exports</w:t>
      </w:r>
      <w:r w:rsidRPr="00FB164D">
        <w:rPr>
          <w:sz w:val="22"/>
        </w:rPr>
        <w:t>,</w:t>
      </w:r>
      <w:r w:rsidR="00FD31A1" w:rsidRPr="00FB164D">
        <w:rPr>
          <w:sz w:val="22"/>
        </w:rPr>
        <w:t xml:space="preserve"> and incentives.</w:t>
      </w:r>
    </w:p>
    <w:p w:rsidR="00FD31A1" w:rsidRPr="00FB164D" w:rsidRDefault="00D417E5" w:rsidP="0016124E">
      <w:pPr>
        <w:spacing w:before="0" w:after="120" w:line="264" w:lineRule="auto"/>
        <w:ind w:left="567" w:right="567"/>
        <w:jc w:val="both"/>
        <w:rPr>
          <w:sz w:val="22"/>
        </w:rPr>
      </w:pPr>
      <w:r w:rsidRPr="00FB164D">
        <w:rPr>
          <w:sz w:val="22"/>
        </w:rPr>
        <w:t xml:space="preserve">Two dti branches </w:t>
      </w:r>
      <w:r w:rsidR="00FD31A1" w:rsidRPr="00FB164D">
        <w:rPr>
          <w:sz w:val="22"/>
        </w:rPr>
        <w:t>support manufacturing and industrial development directly</w:t>
      </w:r>
      <w:r w:rsidR="0016124E">
        <w:rPr>
          <w:sz w:val="22"/>
        </w:rPr>
        <w:t xml:space="preserve"> –</w:t>
      </w:r>
      <w:r w:rsidRPr="00FB164D">
        <w:rPr>
          <w:sz w:val="22"/>
        </w:rPr>
        <w:t xml:space="preserve">  the </w:t>
      </w:r>
      <w:r w:rsidR="00FD31A1" w:rsidRPr="00FB164D">
        <w:rPr>
          <w:sz w:val="22"/>
        </w:rPr>
        <w:t xml:space="preserve">Industrial Development Division (IDD) and </w:t>
      </w:r>
      <w:r w:rsidRPr="00FB164D">
        <w:rPr>
          <w:sz w:val="22"/>
        </w:rPr>
        <w:t xml:space="preserve">the </w:t>
      </w:r>
      <w:r w:rsidR="00FD31A1" w:rsidRPr="00FB164D">
        <w:rPr>
          <w:sz w:val="22"/>
        </w:rPr>
        <w:t xml:space="preserve">Incentive Development and Administration Division (IDAD). </w:t>
      </w:r>
    </w:p>
    <w:p w:rsidR="004C4CD7" w:rsidRPr="004C4CD7" w:rsidRDefault="00D417E5" w:rsidP="004C4CD7">
      <w:pPr>
        <w:spacing w:before="0" w:after="120" w:line="264" w:lineRule="auto"/>
        <w:ind w:left="567" w:right="567"/>
        <w:jc w:val="both"/>
        <w:rPr>
          <w:sz w:val="22"/>
        </w:rPr>
      </w:pPr>
      <w:r w:rsidRPr="00FB164D">
        <w:rPr>
          <w:sz w:val="22"/>
        </w:rPr>
        <w:t xml:space="preserve">IDAD is responsible for facilitating the development of sustainable and competitive firms through the provision of effective and accessible manufacturing (and services) incentives such as </w:t>
      </w:r>
      <w:r w:rsidR="005807DE">
        <w:rPr>
          <w:sz w:val="22"/>
        </w:rPr>
        <w:t>the Manufacturing Competitiveness Enhancement Programme (</w:t>
      </w:r>
      <w:r w:rsidRPr="00FB164D">
        <w:rPr>
          <w:sz w:val="22"/>
        </w:rPr>
        <w:t>MCEP</w:t>
      </w:r>
      <w:r w:rsidR="005807DE">
        <w:rPr>
          <w:sz w:val="22"/>
        </w:rPr>
        <w:t>)</w:t>
      </w:r>
      <w:r w:rsidRPr="00FB164D">
        <w:rPr>
          <w:sz w:val="22"/>
        </w:rPr>
        <w:t xml:space="preserve">, </w:t>
      </w:r>
      <w:r w:rsidR="005807DE">
        <w:rPr>
          <w:sz w:val="22"/>
        </w:rPr>
        <w:t>Automotive Investment Scheme (</w:t>
      </w:r>
      <w:r w:rsidRPr="00FB164D">
        <w:rPr>
          <w:sz w:val="22"/>
        </w:rPr>
        <w:t>AIS</w:t>
      </w:r>
      <w:r w:rsidR="005807DE">
        <w:rPr>
          <w:sz w:val="22"/>
        </w:rPr>
        <w:t>)</w:t>
      </w:r>
      <w:r w:rsidRPr="00FB164D">
        <w:rPr>
          <w:sz w:val="22"/>
        </w:rPr>
        <w:t xml:space="preserve">, </w:t>
      </w:r>
      <w:r w:rsidR="005807DE">
        <w:rPr>
          <w:sz w:val="22"/>
        </w:rPr>
        <w:t>Critical Infrastructure Programme (</w:t>
      </w:r>
      <w:r w:rsidRPr="00FB164D">
        <w:rPr>
          <w:sz w:val="22"/>
        </w:rPr>
        <w:t>CIP</w:t>
      </w:r>
      <w:r w:rsidR="005807DE">
        <w:rPr>
          <w:sz w:val="22"/>
        </w:rPr>
        <w:t>)</w:t>
      </w:r>
      <w:r w:rsidRPr="00FB164D">
        <w:rPr>
          <w:sz w:val="22"/>
        </w:rPr>
        <w:t xml:space="preserve">, </w:t>
      </w:r>
      <w:r w:rsidR="005807DE">
        <w:rPr>
          <w:sz w:val="22"/>
        </w:rPr>
        <w:t xml:space="preserve">Export Marketing and Investment </w:t>
      </w:r>
      <w:r w:rsidR="005807DE" w:rsidRPr="004C4CD7">
        <w:rPr>
          <w:sz w:val="22"/>
        </w:rPr>
        <w:t>Assistance (</w:t>
      </w:r>
      <w:r w:rsidRPr="004C4CD7">
        <w:rPr>
          <w:sz w:val="22"/>
        </w:rPr>
        <w:t>EMIA</w:t>
      </w:r>
      <w:r w:rsidR="005807DE" w:rsidRPr="004C4CD7">
        <w:rPr>
          <w:sz w:val="22"/>
        </w:rPr>
        <w:t>)</w:t>
      </w:r>
      <w:r w:rsidRPr="004C4CD7">
        <w:rPr>
          <w:sz w:val="22"/>
        </w:rPr>
        <w:t xml:space="preserve"> and industrial infrastructure support to S</w:t>
      </w:r>
      <w:r w:rsidR="005807DE" w:rsidRPr="004C4CD7">
        <w:rPr>
          <w:sz w:val="22"/>
        </w:rPr>
        <w:t xml:space="preserve">pecial </w:t>
      </w:r>
      <w:r w:rsidRPr="004C4CD7">
        <w:rPr>
          <w:sz w:val="22"/>
        </w:rPr>
        <w:t>E</w:t>
      </w:r>
      <w:r w:rsidR="005807DE" w:rsidRPr="004C4CD7">
        <w:rPr>
          <w:sz w:val="22"/>
        </w:rPr>
        <w:t xml:space="preserve">conomic </w:t>
      </w:r>
      <w:r w:rsidRPr="004C4CD7">
        <w:rPr>
          <w:sz w:val="22"/>
        </w:rPr>
        <w:t>Z</w:t>
      </w:r>
      <w:r w:rsidR="005807DE" w:rsidRPr="004C4CD7">
        <w:rPr>
          <w:sz w:val="22"/>
        </w:rPr>
        <w:t>one</w:t>
      </w:r>
      <w:r w:rsidRPr="004C4CD7">
        <w:rPr>
          <w:sz w:val="22"/>
        </w:rPr>
        <w:t>s</w:t>
      </w:r>
      <w:r w:rsidR="004C4CD7" w:rsidRPr="004C4CD7">
        <w:rPr>
          <w:sz w:val="22"/>
        </w:rPr>
        <w:t xml:space="preserve"> (SEZs)</w:t>
      </w:r>
    </w:p>
    <w:p w:rsidR="004C4CD7" w:rsidRPr="004C4CD7" w:rsidRDefault="004C4CD7" w:rsidP="004C4CD7">
      <w:pPr>
        <w:spacing w:before="0" w:after="120" w:line="264" w:lineRule="auto"/>
        <w:ind w:left="567" w:right="567"/>
        <w:jc w:val="both"/>
        <w:rPr>
          <w:sz w:val="22"/>
        </w:rPr>
      </w:pPr>
      <w:r w:rsidRPr="004C4CD7">
        <w:rPr>
          <w:sz w:val="22"/>
        </w:rPr>
        <w:t xml:space="preserve">IDAD will suffer the most drastic budget reductions of all </w:t>
      </w:r>
      <w:r w:rsidR="00C118F9">
        <w:rPr>
          <w:sz w:val="22"/>
        </w:rPr>
        <w:t xml:space="preserve">the dti divisions. It receives </w:t>
      </w:r>
      <w:r w:rsidRPr="004C4CD7">
        <w:rPr>
          <w:sz w:val="22"/>
        </w:rPr>
        <w:t>63% of the dti’s budget, amounting to R17,8 billion over the MTEF. According to the latest MTEF, it will decline in nominal rand by an annual average of 4,4% from R6,9 billion in 2016 to just over R5 billion in 2018.</w:t>
      </w:r>
      <w:r w:rsidR="00C118F9">
        <w:rPr>
          <w:sz w:val="22"/>
        </w:rPr>
        <w:t xml:space="preserve"> </w:t>
      </w:r>
      <w:r w:rsidRPr="004C4CD7">
        <w:rPr>
          <w:sz w:val="22"/>
        </w:rPr>
        <w:t>Manufacturing and services investment incentives will be most affected. The manufacturing incentive budget will decrease from R4,5 billion in 2016 to R2,7 billion in 2018 (averaging just under 12% decline per annum).</w:t>
      </w:r>
    </w:p>
    <w:p w:rsidR="00FD31A1" w:rsidRPr="00FB164D" w:rsidRDefault="00FD31A1" w:rsidP="004C4CD7">
      <w:pPr>
        <w:spacing w:before="0" w:after="120" w:line="264" w:lineRule="auto"/>
        <w:ind w:left="567" w:right="567"/>
        <w:jc w:val="both"/>
        <w:rPr>
          <w:sz w:val="22"/>
        </w:rPr>
      </w:pPr>
      <w:r w:rsidRPr="004C4CD7">
        <w:rPr>
          <w:sz w:val="22"/>
        </w:rPr>
        <w:t xml:space="preserve">IDD houses the Industrial Competitiveness and Customised Sector Programmes, which </w:t>
      </w:r>
      <w:r w:rsidR="00C118F9">
        <w:rPr>
          <w:sz w:val="22"/>
        </w:rPr>
        <w:t>promote</w:t>
      </w:r>
      <w:r w:rsidRPr="004C4CD7">
        <w:rPr>
          <w:sz w:val="22"/>
        </w:rPr>
        <w:t xml:space="preserve"> policies and strategies to create jobs, increase value addition and improve firm competitiveness. A significant portion of th</w:t>
      </w:r>
      <w:r w:rsidRPr="00FB164D">
        <w:rPr>
          <w:sz w:val="22"/>
        </w:rPr>
        <w:t xml:space="preserve">e funds in this division aim to strengthen technical regulatory and research capabilities, through transfers to agencies such as the South African Bureau of Standards (SABS), the Council for </w:t>
      </w:r>
      <w:r w:rsidR="00D417E5" w:rsidRPr="00FB164D">
        <w:rPr>
          <w:sz w:val="22"/>
        </w:rPr>
        <w:t>S</w:t>
      </w:r>
      <w:r w:rsidRPr="00FB164D">
        <w:rPr>
          <w:sz w:val="22"/>
        </w:rPr>
        <w:t>cientific and Industrial Research (CSIR) and the National Regulator of Consumer Specifications (NRCS</w:t>
      </w:r>
      <w:r w:rsidR="009C188C" w:rsidRPr="00FB164D">
        <w:rPr>
          <w:sz w:val="22"/>
        </w:rPr>
        <w:t>). However, the bulk (over R750 million</w:t>
      </w:r>
      <w:r w:rsidR="005807DE">
        <w:rPr>
          <w:sz w:val="22"/>
        </w:rPr>
        <w:t xml:space="preserve"> –</w:t>
      </w:r>
      <w:r w:rsidRPr="00FB164D">
        <w:rPr>
          <w:sz w:val="22"/>
        </w:rPr>
        <w:t xml:space="preserve"> which represents 43% of the division</w:t>
      </w:r>
      <w:r w:rsidR="00D417E5" w:rsidRPr="00FB164D">
        <w:rPr>
          <w:sz w:val="22"/>
        </w:rPr>
        <w:t>’</w:t>
      </w:r>
      <w:r w:rsidRPr="00FB164D">
        <w:rPr>
          <w:sz w:val="22"/>
        </w:rPr>
        <w:t>s budget), is a transfer to the IDC</w:t>
      </w:r>
      <w:r w:rsidR="00D417E5" w:rsidRPr="00FB164D">
        <w:rPr>
          <w:sz w:val="22"/>
        </w:rPr>
        <w:t xml:space="preserve">. In nominal terms, this transfer </w:t>
      </w:r>
      <w:r w:rsidRPr="00FB164D">
        <w:rPr>
          <w:sz w:val="22"/>
        </w:rPr>
        <w:t>will decrease by</w:t>
      </w:r>
      <w:r w:rsidR="00D417E5" w:rsidRPr="00FB164D">
        <w:rPr>
          <w:sz w:val="22"/>
        </w:rPr>
        <w:t xml:space="preserve"> over</w:t>
      </w:r>
      <w:r w:rsidRPr="00FB164D">
        <w:rPr>
          <w:sz w:val="22"/>
        </w:rPr>
        <w:t xml:space="preserve"> </w:t>
      </w:r>
      <w:r w:rsidR="00D417E5" w:rsidRPr="00FB164D">
        <w:rPr>
          <w:sz w:val="22"/>
        </w:rPr>
        <w:t>7%</w:t>
      </w:r>
      <w:r w:rsidR="009C188C" w:rsidRPr="00FB164D">
        <w:rPr>
          <w:sz w:val="22"/>
        </w:rPr>
        <w:t xml:space="preserve"> to just under R700 million</w:t>
      </w:r>
      <w:r w:rsidRPr="00FB164D">
        <w:rPr>
          <w:sz w:val="22"/>
        </w:rPr>
        <w:t xml:space="preserve"> by 2018.</w:t>
      </w:r>
    </w:p>
    <w:p w:rsidR="00D417E5" w:rsidRPr="00FB164D" w:rsidRDefault="00FD31A1" w:rsidP="0016124E">
      <w:pPr>
        <w:spacing w:before="0" w:after="120" w:line="264" w:lineRule="auto"/>
        <w:ind w:left="567" w:right="567"/>
        <w:jc w:val="both"/>
        <w:rPr>
          <w:sz w:val="22"/>
        </w:rPr>
      </w:pPr>
      <w:r w:rsidRPr="00FB164D">
        <w:rPr>
          <w:sz w:val="22"/>
        </w:rPr>
        <w:t>Two strategic themes emerge</w:t>
      </w:r>
      <w:r w:rsidR="00D417E5" w:rsidRPr="00FB164D">
        <w:rPr>
          <w:sz w:val="22"/>
        </w:rPr>
        <w:t>.</w:t>
      </w:r>
    </w:p>
    <w:p w:rsidR="00D417E5" w:rsidRPr="00FB164D" w:rsidRDefault="00D417E5" w:rsidP="0016124E">
      <w:pPr>
        <w:pStyle w:val="ListParagraph"/>
        <w:numPr>
          <w:ilvl w:val="0"/>
          <w:numId w:val="21"/>
        </w:numPr>
        <w:spacing w:before="0" w:after="120" w:line="264" w:lineRule="auto"/>
        <w:ind w:left="737" w:right="567" w:hanging="170"/>
        <w:jc w:val="both"/>
        <w:rPr>
          <w:sz w:val="22"/>
        </w:rPr>
      </w:pPr>
      <w:r w:rsidRPr="00FB164D">
        <w:rPr>
          <w:sz w:val="22"/>
        </w:rPr>
        <w:t>F</w:t>
      </w:r>
      <w:r w:rsidR="00FD31A1" w:rsidRPr="00FB164D">
        <w:rPr>
          <w:sz w:val="22"/>
        </w:rPr>
        <w:t>irst, there is a clear move away from generic incentives such as MCEP to more sector</w:t>
      </w:r>
      <w:r w:rsidRPr="00FB164D">
        <w:rPr>
          <w:sz w:val="22"/>
        </w:rPr>
        <w:t>-</w:t>
      </w:r>
      <w:r w:rsidR="00FD31A1" w:rsidRPr="00FB164D">
        <w:rPr>
          <w:sz w:val="22"/>
        </w:rPr>
        <w:t xml:space="preserve">specific programmes in priority (and distressed) sectors. </w:t>
      </w:r>
    </w:p>
    <w:p w:rsidR="00FD31A1" w:rsidRPr="00FB164D" w:rsidRDefault="00FD31A1" w:rsidP="0016124E">
      <w:pPr>
        <w:pStyle w:val="ListParagraph"/>
        <w:numPr>
          <w:ilvl w:val="0"/>
          <w:numId w:val="21"/>
        </w:numPr>
        <w:spacing w:before="0" w:after="120" w:line="264" w:lineRule="auto"/>
        <w:ind w:left="737" w:right="567" w:hanging="170"/>
        <w:jc w:val="both"/>
        <w:rPr>
          <w:sz w:val="22"/>
        </w:rPr>
      </w:pPr>
      <w:r w:rsidRPr="00FB164D">
        <w:rPr>
          <w:sz w:val="22"/>
        </w:rPr>
        <w:t xml:space="preserve">Second, the evolution of incentives is premised on the need for the dti to focus on job creation and other conditions for incentive programmes. These developments have implications for industrial development and growth in South Africa especially around productivity growth, competitiveness improvement, and investment leveraging and crowding in, especially given the end of MCEP.  </w:t>
      </w:r>
    </w:p>
    <w:p w:rsidR="000C07AD" w:rsidRPr="00FB164D" w:rsidRDefault="00D417E5" w:rsidP="000C07AD">
      <w:pPr>
        <w:spacing w:before="0" w:line="264" w:lineRule="auto"/>
        <w:ind w:left="567" w:right="567"/>
        <w:jc w:val="both"/>
        <w:rPr>
          <w:sz w:val="22"/>
        </w:rPr>
      </w:pPr>
      <w:r w:rsidRPr="00FB164D">
        <w:rPr>
          <w:sz w:val="22"/>
        </w:rPr>
        <w:t xml:space="preserve">Given the stress on the budget, it will be incumbent on both the dti and the private sector to demonstrate the importance of industrial policy interventions – and the associated resources – for achieving a more dynamic and inclusive economy. Otherwise incentives and transfers to boost industrialisation may look like an easy target for fiscal authorities anxious to find programmes that are </w:t>
      </w:r>
      <w:r w:rsidR="00C118F9">
        <w:rPr>
          <w:sz w:val="22"/>
        </w:rPr>
        <w:t xml:space="preserve">relatively easy </w:t>
      </w:r>
      <w:r w:rsidRPr="00FB164D">
        <w:rPr>
          <w:sz w:val="22"/>
        </w:rPr>
        <w:t xml:space="preserve">to </w:t>
      </w:r>
      <w:r w:rsidR="00C118F9">
        <w:rPr>
          <w:sz w:val="22"/>
        </w:rPr>
        <w:t>cut</w:t>
      </w:r>
      <w:r w:rsidRPr="00FB164D">
        <w:rPr>
          <w:sz w:val="22"/>
        </w:rPr>
        <w:t xml:space="preserve"> because their funds are not</w:t>
      </w:r>
      <w:r w:rsidR="00D91D9D" w:rsidRPr="00FB164D">
        <w:rPr>
          <w:sz w:val="22"/>
        </w:rPr>
        <w:t xml:space="preserve"> tied up in existing projects and employment contracts. </w:t>
      </w:r>
      <w:r w:rsidRPr="00FB164D">
        <w:rPr>
          <w:sz w:val="22"/>
        </w:rPr>
        <w:t xml:space="preserve"> </w:t>
      </w:r>
    </w:p>
    <w:p w:rsidR="00FB164D" w:rsidRPr="0039570A" w:rsidRDefault="00FB164D" w:rsidP="00FB164D">
      <w:pPr>
        <w:spacing w:before="240" w:after="120" w:line="264" w:lineRule="auto"/>
        <w:ind w:left="567" w:right="567"/>
        <w:jc w:val="both"/>
        <w:rPr>
          <w:sz w:val="34"/>
          <w:szCs w:val="34"/>
        </w:rPr>
      </w:pPr>
      <w:r w:rsidRPr="00541AB1">
        <w:rPr>
          <w:b/>
          <w:color w:val="1B5468"/>
          <w:sz w:val="34"/>
          <w:szCs w:val="34"/>
        </w:rPr>
        <w:lastRenderedPageBreak/>
        <w:t>Brief</w:t>
      </w:r>
      <w:r w:rsidR="005701D1">
        <w:rPr>
          <w:b/>
          <w:color w:val="1B5468"/>
          <w:sz w:val="34"/>
          <w:szCs w:val="34"/>
        </w:rPr>
        <w:t>ing note summary</w:t>
      </w:r>
      <w:r w:rsidRPr="00541AB1">
        <w:rPr>
          <w:b/>
          <w:color w:val="1B5468"/>
          <w:sz w:val="34"/>
          <w:szCs w:val="34"/>
        </w:rPr>
        <w:t>: The</w:t>
      </w:r>
      <w:r w:rsidRPr="0039570A">
        <w:rPr>
          <w:b/>
          <w:color w:val="1B5468"/>
          <w:sz w:val="34"/>
          <w:szCs w:val="34"/>
        </w:rPr>
        <w:t xml:space="preserve"> crisis in the steel industry</w:t>
      </w:r>
    </w:p>
    <w:p w:rsidR="00FD31A1" w:rsidRPr="00FB164D" w:rsidRDefault="00FD31A1" w:rsidP="00FB164D">
      <w:pPr>
        <w:spacing w:before="0" w:after="120" w:line="264" w:lineRule="auto"/>
        <w:ind w:left="567" w:right="567"/>
        <w:jc w:val="both"/>
        <w:rPr>
          <w:sz w:val="22"/>
        </w:rPr>
      </w:pPr>
      <w:r w:rsidRPr="00FB164D">
        <w:rPr>
          <w:sz w:val="22"/>
        </w:rPr>
        <w:t xml:space="preserve">The crisis in the steel industry is evident through a number of measures. Steel production declined by 15% from 2010 to 2015, for a total fall of 33% from 2008. In dollar terms, steel exports fell by 32% from 2010 to 2015, and ferro-alloys dropped by 24%. Profitability in the steel value chain </w:t>
      </w:r>
      <w:r w:rsidR="00D91D9D" w:rsidRPr="00FB164D">
        <w:rPr>
          <w:sz w:val="22"/>
        </w:rPr>
        <w:t xml:space="preserve">shrank quickly </w:t>
      </w:r>
      <w:r w:rsidRPr="00FB164D">
        <w:rPr>
          <w:sz w:val="22"/>
        </w:rPr>
        <w:t>from 2010 to 2014</w:t>
      </w:r>
      <w:r w:rsidR="00D91D9D" w:rsidRPr="00FB164D">
        <w:rPr>
          <w:sz w:val="22"/>
        </w:rPr>
        <w:t>,</w:t>
      </w:r>
      <w:r w:rsidRPr="00FB164D">
        <w:rPr>
          <w:sz w:val="22"/>
        </w:rPr>
        <w:t xml:space="preserve"> with basic iron and steel posting losses for most of the past five years.  The losses sparked a run of closures, with the number of foundries in South Africa declining from 140 in 20</w:t>
      </w:r>
      <w:r w:rsidR="00C118F9">
        <w:rPr>
          <w:sz w:val="22"/>
        </w:rPr>
        <w:t>09 to 95 in 2014, and key ferro-</w:t>
      </w:r>
      <w:r w:rsidRPr="00FB164D">
        <w:rPr>
          <w:sz w:val="22"/>
        </w:rPr>
        <w:t xml:space="preserve">alloy producers </w:t>
      </w:r>
      <w:proofErr w:type="spellStart"/>
      <w:r w:rsidR="0099368A" w:rsidRPr="00FB164D">
        <w:rPr>
          <w:sz w:val="22"/>
        </w:rPr>
        <w:t>Evraz</w:t>
      </w:r>
      <w:proofErr w:type="spellEnd"/>
      <w:r w:rsidRPr="00FB164D">
        <w:rPr>
          <w:sz w:val="22"/>
        </w:rPr>
        <w:t xml:space="preserve"> Highveld and Samancor forced into major restructuring. </w:t>
      </w:r>
      <w:r w:rsidR="00C118F9">
        <w:rPr>
          <w:sz w:val="22"/>
        </w:rPr>
        <w:t>Iron and steel refining shed 30 </w:t>
      </w:r>
      <w:r w:rsidRPr="00FB164D">
        <w:rPr>
          <w:sz w:val="22"/>
        </w:rPr>
        <w:t>000 jobs between 2011 and 2015, with ferro-alloy producers applying for a further 3</w:t>
      </w:r>
      <w:r w:rsidR="00C118F9">
        <w:rPr>
          <w:sz w:val="22"/>
        </w:rPr>
        <w:t> </w:t>
      </w:r>
      <w:r w:rsidRPr="00FB164D">
        <w:rPr>
          <w:sz w:val="22"/>
        </w:rPr>
        <w:t>000 retrenchments in the first quarter of 2016 alone.</w:t>
      </w:r>
    </w:p>
    <w:p w:rsidR="00D91D9D" w:rsidRPr="00FB164D" w:rsidRDefault="00FD31A1" w:rsidP="00FB164D">
      <w:pPr>
        <w:spacing w:before="0" w:after="120" w:line="264" w:lineRule="auto"/>
        <w:ind w:left="567" w:right="567"/>
        <w:jc w:val="both"/>
        <w:rPr>
          <w:sz w:val="22"/>
        </w:rPr>
      </w:pPr>
      <w:r w:rsidRPr="00FB164D">
        <w:rPr>
          <w:sz w:val="22"/>
        </w:rPr>
        <w:t xml:space="preserve">The root of the crisis is </w:t>
      </w:r>
      <w:r w:rsidR="00D91D9D" w:rsidRPr="00FB164D">
        <w:rPr>
          <w:sz w:val="22"/>
        </w:rPr>
        <w:t xml:space="preserve">the </w:t>
      </w:r>
      <w:r w:rsidRPr="00FB164D">
        <w:rPr>
          <w:sz w:val="22"/>
        </w:rPr>
        <w:t xml:space="preserve">global steel glut, which saw unit prices for South African exports of flat rolled steel fall 32% between 2011 and 2015. </w:t>
      </w:r>
      <w:r w:rsidR="00C118F9">
        <w:rPr>
          <w:sz w:val="22"/>
        </w:rPr>
        <w:t xml:space="preserve">Overproduction results largely from </w:t>
      </w:r>
      <w:r w:rsidRPr="00FB164D">
        <w:rPr>
          <w:sz w:val="22"/>
        </w:rPr>
        <w:t xml:space="preserve">the rapid expansion of global steel supply from around 2003, fuelled </w:t>
      </w:r>
      <w:r w:rsidR="00C118F9">
        <w:rPr>
          <w:sz w:val="22"/>
        </w:rPr>
        <w:t xml:space="preserve">almost exclusively </w:t>
      </w:r>
      <w:r w:rsidRPr="00FB164D">
        <w:rPr>
          <w:sz w:val="22"/>
        </w:rPr>
        <w:t xml:space="preserve">by </w:t>
      </w:r>
      <w:r w:rsidR="00D91D9D" w:rsidRPr="00FB164D">
        <w:rPr>
          <w:sz w:val="22"/>
        </w:rPr>
        <w:t>a tenfold</w:t>
      </w:r>
      <w:r w:rsidRPr="00FB164D">
        <w:rPr>
          <w:sz w:val="22"/>
        </w:rPr>
        <w:t xml:space="preserve"> increase in Chinese production between 200</w:t>
      </w:r>
      <w:r w:rsidR="00D91D9D" w:rsidRPr="00FB164D">
        <w:rPr>
          <w:sz w:val="22"/>
        </w:rPr>
        <w:t>0</w:t>
      </w:r>
      <w:r w:rsidRPr="00FB164D">
        <w:rPr>
          <w:sz w:val="22"/>
        </w:rPr>
        <w:t xml:space="preserve"> and 2014. </w:t>
      </w:r>
    </w:p>
    <w:p w:rsidR="00FD31A1" w:rsidRPr="00FB164D" w:rsidRDefault="00FD31A1" w:rsidP="00FB164D">
      <w:pPr>
        <w:spacing w:before="0" w:after="120" w:line="264" w:lineRule="auto"/>
        <w:ind w:left="567" w:right="567"/>
        <w:jc w:val="both"/>
        <w:rPr>
          <w:sz w:val="22"/>
        </w:rPr>
      </w:pPr>
      <w:r w:rsidRPr="00FB164D">
        <w:rPr>
          <w:sz w:val="22"/>
        </w:rPr>
        <w:t xml:space="preserve">As the Chinese economy cooled </w:t>
      </w:r>
      <w:r w:rsidR="00D91D9D" w:rsidRPr="00FB164D">
        <w:rPr>
          <w:sz w:val="22"/>
        </w:rPr>
        <w:t xml:space="preserve">from around 2010 </w:t>
      </w:r>
      <w:r w:rsidRPr="00FB164D">
        <w:rPr>
          <w:sz w:val="22"/>
        </w:rPr>
        <w:t xml:space="preserve">and </w:t>
      </w:r>
      <w:r w:rsidR="00D91D9D" w:rsidRPr="00FB164D">
        <w:rPr>
          <w:sz w:val="22"/>
        </w:rPr>
        <w:t xml:space="preserve">the state undertook </w:t>
      </w:r>
      <w:r w:rsidRPr="00FB164D">
        <w:rPr>
          <w:sz w:val="22"/>
        </w:rPr>
        <w:t xml:space="preserve">to shift towards domestic consumption, Chinese steel exporters turned to </w:t>
      </w:r>
      <w:r w:rsidR="00D91D9D" w:rsidRPr="00FB164D">
        <w:rPr>
          <w:sz w:val="22"/>
        </w:rPr>
        <w:t xml:space="preserve">foreign </w:t>
      </w:r>
      <w:r w:rsidRPr="00FB164D">
        <w:rPr>
          <w:sz w:val="22"/>
        </w:rPr>
        <w:t>markets. Chinese exports of rolled steel globally climbed 2,5 times</w:t>
      </w:r>
      <w:r w:rsidR="00D91D9D" w:rsidRPr="00FB164D">
        <w:rPr>
          <w:sz w:val="22"/>
        </w:rPr>
        <w:t xml:space="preserve"> from 2010 to 2015</w:t>
      </w:r>
      <w:r w:rsidRPr="00FB164D">
        <w:rPr>
          <w:sz w:val="22"/>
        </w:rPr>
        <w:t xml:space="preserve">, and they multiplied six times to South Africa. </w:t>
      </w:r>
      <w:r w:rsidR="00C118F9">
        <w:rPr>
          <w:sz w:val="22"/>
        </w:rPr>
        <w:t xml:space="preserve">Even though the </w:t>
      </w:r>
      <w:r w:rsidRPr="00FB164D">
        <w:rPr>
          <w:sz w:val="22"/>
        </w:rPr>
        <w:t>(dollar) unit price</w:t>
      </w:r>
      <w:r w:rsidR="00C118F9">
        <w:rPr>
          <w:sz w:val="22"/>
        </w:rPr>
        <w:t xml:space="preserve"> fell by 25%</w:t>
      </w:r>
      <w:r w:rsidRPr="00FB164D">
        <w:rPr>
          <w:sz w:val="22"/>
        </w:rPr>
        <w:t xml:space="preserve">, the value of South African imports of all iron and steel products rose from US$206 million in 2010 to US$474 million in 2015. In the same period, South African producers of steel and steel products faced stagnant </w:t>
      </w:r>
      <w:r w:rsidR="00C118F9">
        <w:rPr>
          <w:sz w:val="22"/>
        </w:rPr>
        <w:t xml:space="preserve">domestic </w:t>
      </w:r>
      <w:r w:rsidRPr="00FB164D">
        <w:rPr>
          <w:sz w:val="22"/>
        </w:rPr>
        <w:t>demand from the end of the commodity boom</w:t>
      </w:r>
      <w:r w:rsidR="00D91D9D" w:rsidRPr="00FB164D">
        <w:rPr>
          <w:sz w:val="22"/>
        </w:rPr>
        <w:t>, with</w:t>
      </w:r>
      <w:r w:rsidRPr="00FB164D">
        <w:rPr>
          <w:sz w:val="22"/>
        </w:rPr>
        <w:t xml:space="preserve"> slowing growth in infrastructure investment.</w:t>
      </w:r>
    </w:p>
    <w:p w:rsidR="00D91D9D" w:rsidRPr="00FB164D" w:rsidRDefault="00D91D9D" w:rsidP="00FB164D">
      <w:pPr>
        <w:spacing w:before="0" w:after="120" w:line="264" w:lineRule="auto"/>
        <w:ind w:left="567" w:right="567"/>
        <w:jc w:val="both"/>
        <w:rPr>
          <w:sz w:val="22"/>
        </w:rPr>
      </w:pPr>
      <w:r w:rsidRPr="00FB164D">
        <w:rPr>
          <w:sz w:val="22"/>
        </w:rPr>
        <w:t xml:space="preserve">The South African steel industry has strong comparative and competitive advantages that mean it can once again become a valuable asset for national development, should it survive the current glut. The industry can draw on </w:t>
      </w:r>
      <w:r w:rsidR="00FD31A1" w:rsidRPr="00FB164D">
        <w:rPr>
          <w:sz w:val="22"/>
        </w:rPr>
        <w:t>unusually high quality iron and ferroalloy ores, supported by very efficient dedicated transport networks (thanks to Transnet)</w:t>
      </w:r>
      <w:r w:rsidRPr="00FB164D">
        <w:rPr>
          <w:sz w:val="22"/>
        </w:rPr>
        <w:t xml:space="preserve">. It </w:t>
      </w:r>
      <w:r w:rsidR="00FD31A1" w:rsidRPr="00FB164D">
        <w:rPr>
          <w:sz w:val="22"/>
        </w:rPr>
        <w:t>boasts a number</w:t>
      </w:r>
      <w:r w:rsidR="00C118F9">
        <w:rPr>
          <w:sz w:val="22"/>
        </w:rPr>
        <w:t xml:space="preserve"> of world-class steel and ferro-</w:t>
      </w:r>
      <w:r w:rsidR="00FD31A1" w:rsidRPr="00FB164D">
        <w:rPr>
          <w:sz w:val="22"/>
        </w:rPr>
        <w:t xml:space="preserve">alloy producers and fabricators. </w:t>
      </w:r>
    </w:p>
    <w:p w:rsidR="0039570A" w:rsidRDefault="00D91D9D" w:rsidP="00FB164D">
      <w:pPr>
        <w:spacing w:before="0" w:after="120" w:line="264" w:lineRule="auto"/>
        <w:ind w:left="567" w:right="567"/>
        <w:jc w:val="both"/>
        <w:rPr>
          <w:sz w:val="22"/>
        </w:rPr>
      </w:pPr>
      <w:r w:rsidRPr="00FB164D">
        <w:rPr>
          <w:sz w:val="22"/>
        </w:rPr>
        <w:t>But g</w:t>
      </w:r>
      <w:r w:rsidR="00FD31A1" w:rsidRPr="00FB164D">
        <w:rPr>
          <w:sz w:val="22"/>
        </w:rPr>
        <w:t xml:space="preserve">overnment support </w:t>
      </w:r>
      <w:r w:rsidRPr="00FB164D">
        <w:rPr>
          <w:sz w:val="22"/>
        </w:rPr>
        <w:t xml:space="preserve">is needed to see </w:t>
      </w:r>
      <w:r w:rsidR="00FD31A1" w:rsidRPr="00FB164D">
        <w:rPr>
          <w:sz w:val="22"/>
        </w:rPr>
        <w:t>the industry through the current downturn</w:t>
      </w:r>
      <w:r w:rsidRPr="00FB164D">
        <w:rPr>
          <w:sz w:val="22"/>
        </w:rPr>
        <w:t xml:space="preserve">. That support cannot be reduced to a bailout or measures to protect the domestic market through tariffs and local procurement policies, although these measures have to form part of the mix. Rather, it must improve the industry’s overall long-term competitiveness. </w:t>
      </w:r>
      <w:r w:rsidR="00C118F9">
        <w:rPr>
          <w:sz w:val="22"/>
        </w:rPr>
        <w:t>T</w:t>
      </w:r>
      <w:r w:rsidRPr="00FB164D">
        <w:rPr>
          <w:sz w:val="22"/>
        </w:rPr>
        <w:t xml:space="preserve">hat means </w:t>
      </w:r>
      <w:r w:rsidR="00FD31A1" w:rsidRPr="00FB164D">
        <w:rPr>
          <w:sz w:val="22"/>
        </w:rPr>
        <w:t xml:space="preserve">targeting key cost drivers, such as </w:t>
      </w:r>
      <w:r w:rsidRPr="00FB164D">
        <w:rPr>
          <w:sz w:val="22"/>
        </w:rPr>
        <w:t xml:space="preserve">inadequate </w:t>
      </w:r>
      <w:r w:rsidR="00FD31A1" w:rsidRPr="00FB164D">
        <w:rPr>
          <w:sz w:val="22"/>
        </w:rPr>
        <w:t xml:space="preserve">investment in modernised facilities, </w:t>
      </w:r>
      <w:r w:rsidRPr="00FB164D">
        <w:rPr>
          <w:sz w:val="22"/>
        </w:rPr>
        <w:t xml:space="preserve">especially in the refineries; </w:t>
      </w:r>
      <w:r w:rsidR="00FD31A1" w:rsidRPr="00FB164D">
        <w:rPr>
          <w:sz w:val="22"/>
        </w:rPr>
        <w:t>surging electricity costs</w:t>
      </w:r>
      <w:r w:rsidRPr="00FB164D">
        <w:rPr>
          <w:sz w:val="22"/>
        </w:rPr>
        <w:t>; poorly designed transport costs that burden steel production and exports while benefiting iron ore exports; regulatory challenges; and export-parity pricing by iron-ore producers and scrap-metal recyclers.</w:t>
      </w:r>
    </w:p>
    <w:p w:rsidR="009D501A" w:rsidRDefault="0039570A" w:rsidP="0039570A">
      <w:pPr>
        <w:spacing w:before="0" w:after="120" w:line="264" w:lineRule="auto"/>
        <w:ind w:left="567" w:right="567"/>
        <w:jc w:val="both"/>
        <w:rPr>
          <w:sz w:val="22"/>
        </w:rPr>
      </w:pPr>
      <w:r w:rsidRPr="0039570A">
        <w:rPr>
          <w:sz w:val="22"/>
        </w:rPr>
        <w:t xml:space="preserve">A full copy of the </w:t>
      </w:r>
      <w:hyperlink r:id="rId34" w:history="1">
        <w:r w:rsidRPr="00682E3D">
          <w:rPr>
            <w:rStyle w:val="Hyperlink"/>
            <w:i/>
            <w:color w:val="auto"/>
            <w:sz w:val="22"/>
            <w:u w:val="none"/>
          </w:rPr>
          <w:t xml:space="preserve">Briefing Note: </w:t>
        </w:r>
        <w:r w:rsidR="00C470D9" w:rsidRPr="00682E3D">
          <w:rPr>
            <w:rStyle w:val="Hyperlink"/>
            <w:i/>
            <w:color w:val="auto"/>
            <w:sz w:val="22"/>
            <w:u w:val="none"/>
          </w:rPr>
          <w:t xml:space="preserve">A strategic response to the </w:t>
        </w:r>
        <w:r w:rsidRPr="00682E3D">
          <w:rPr>
            <w:rStyle w:val="Hyperlink"/>
            <w:i/>
            <w:color w:val="auto"/>
            <w:sz w:val="22"/>
            <w:u w:val="none"/>
          </w:rPr>
          <w:t>crisis in the steel industry</w:t>
        </w:r>
      </w:hyperlink>
      <w:r w:rsidRPr="00682E3D">
        <w:rPr>
          <w:sz w:val="22"/>
        </w:rPr>
        <w:t xml:space="preserve"> is </w:t>
      </w:r>
      <w:r w:rsidRPr="0039570A">
        <w:rPr>
          <w:sz w:val="22"/>
        </w:rPr>
        <w:t xml:space="preserve">available to download at </w:t>
      </w:r>
      <w:hyperlink r:id="rId35" w:history="1">
        <w:r w:rsidRPr="0039570A">
          <w:rPr>
            <w:rStyle w:val="Hyperlink"/>
            <w:color w:val="auto"/>
            <w:sz w:val="22"/>
            <w:u w:val="none"/>
          </w:rPr>
          <w:t>www.tips.org.za/publications/the-real-economy-bulletin</w:t>
        </w:r>
      </w:hyperlink>
      <w:r w:rsidRPr="0039570A">
        <w:rPr>
          <w:sz w:val="22"/>
        </w:rPr>
        <w:t>.</w:t>
      </w:r>
    </w:p>
    <w:p w:rsidR="000C07AD" w:rsidRDefault="000C07AD" w:rsidP="0039570A">
      <w:pPr>
        <w:spacing w:before="0" w:after="120" w:line="264" w:lineRule="auto"/>
        <w:ind w:left="567" w:right="567"/>
        <w:jc w:val="both"/>
        <w:rPr>
          <w:sz w:val="22"/>
        </w:rPr>
      </w:pPr>
    </w:p>
    <w:p w:rsidR="00BA7F19" w:rsidRDefault="00BA7F19" w:rsidP="0039570A">
      <w:pPr>
        <w:spacing w:before="0" w:after="120" w:line="264" w:lineRule="auto"/>
        <w:ind w:left="567" w:right="567"/>
        <w:jc w:val="both"/>
        <w:rPr>
          <w:sz w:val="22"/>
        </w:rPr>
      </w:pPr>
    </w:p>
    <w:p w:rsidR="000C07AD" w:rsidRPr="000C07AD" w:rsidRDefault="000C07AD" w:rsidP="000C07AD">
      <w:pPr>
        <w:spacing w:before="0" w:after="120" w:line="264" w:lineRule="auto"/>
        <w:ind w:left="567"/>
        <w:jc w:val="both"/>
        <w:rPr>
          <w:b/>
          <w:sz w:val="22"/>
        </w:rPr>
      </w:pPr>
      <w:r>
        <w:rPr>
          <w:b/>
          <w:sz w:val="22"/>
        </w:rPr>
        <w:t xml:space="preserve">                                                                                                                                                                   </w:t>
      </w:r>
      <w:r w:rsidRPr="000C07AD">
        <w:rPr>
          <w:b/>
          <w:sz w:val="22"/>
        </w:rPr>
        <w:t>12</w:t>
      </w:r>
      <w:bookmarkStart w:id="0" w:name="_GoBack"/>
      <w:bookmarkEnd w:id="0"/>
    </w:p>
    <w:sectPr w:rsidR="000C07AD" w:rsidRPr="000C07AD" w:rsidSect="00B71801">
      <w:footerReference w:type="default" r:id="rId36"/>
      <w:pgSz w:w="11906" w:h="16838"/>
      <w:pgMar w:top="1440" w:right="1440" w:bottom="1440" w:left="1440"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7FD" w:rsidRDefault="006F27FD" w:rsidP="00667D0F">
      <w:r>
        <w:separator/>
      </w:r>
    </w:p>
  </w:endnote>
  <w:endnote w:type="continuationSeparator" w:id="0">
    <w:p w:rsidR="006F27FD" w:rsidRDefault="006F27FD" w:rsidP="0066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NeueLT Std Med">
    <w:altName w:val="Arial"/>
    <w:panose1 w:val="020B0604020202020204"/>
    <w:charset w:val="00"/>
    <w:family w:val="swiss"/>
    <w:notTrueType/>
    <w:pitch w:val="variable"/>
    <w:sig w:usb0="800000AF" w:usb1="4000204A" w:usb2="00000000" w:usb3="00000000" w:csb0="00000001" w:csb1="00000000"/>
  </w:font>
  <w:font w:name="Kelvetica Nobis">
    <w:altName w:val="Mangal"/>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Kelvetica Nobis" w:hAnsi="Kelvetica Nobis"/>
        <w:b/>
        <w:color w:val="1B5068"/>
        <w:sz w:val="20"/>
        <w:szCs w:val="20"/>
      </w:rPr>
      <w:id w:val="-267009149"/>
      <w:docPartObj>
        <w:docPartGallery w:val="Page Numbers (Bottom of Page)"/>
        <w:docPartUnique/>
      </w:docPartObj>
    </w:sdtPr>
    <w:sdtEndPr>
      <w:rPr>
        <w:noProof/>
        <w:color w:val="auto"/>
      </w:rPr>
    </w:sdtEndPr>
    <w:sdtContent>
      <w:p w:rsidR="00A66BA2" w:rsidRPr="00EC738D" w:rsidRDefault="00A66BA2" w:rsidP="00B71801">
        <w:pPr>
          <w:pStyle w:val="Footer"/>
          <w:jc w:val="center"/>
          <w:rPr>
            <w:rFonts w:ascii="Kelvetica Nobis" w:hAnsi="Kelvetica Nobis"/>
            <w:b/>
            <w:sz w:val="20"/>
            <w:szCs w:val="20"/>
          </w:rPr>
        </w:pPr>
        <w:r>
          <w:rPr>
            <w:rFonts w:ascii="Kelvetica Nobis" w:hAnsi="Kelvetica Nobis"/>
            <w:b/>
            <w:noProof/>
            <w:color w:val="1B5068"/>
            <w:sz w:val="20"/>
            <w:szCs w:val="20"/>
            <w:lang w:eastAsia="en-ZA"/>
          </w:rPr>
          <mc:AlternateContent>
            <mc:Choice Requires="wps">
              <w:drawing>
                <wp:anchor distT="45720" distB="45720" distL="114300" distR="114300" simplePos="0" relativeHeight="251658240" behindDoc="0" locked="0" layoutInCell="1" allowOverlap="1">
                  <wp:simplePos x="0" y="0"/>
                  <wp:positionH relativeFrom="margin">
                    <wp:align>right</wp:align>
                  </wp:positionH>
                  <wp:positionV relativeFrom="paragraph">
                    <wp:posOffset>-63500</wp:posOffset>
                  </wp:positionV>
                  <wp:extent cx="5721985" cy="66675"/>
                  <wp:effectExtent l="0" t="0" r="1206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21985" cy="66675"/>
                          </a:xfrm>
                          <a:prstGeom prst="rect">
                            <a:avLst/>
                          </a:prstGeom>
                          <a:solidFill>
                            <a:srgbClr val="1B5468"/>
                          </a:solidFill>
                          <a:ln w="9525">
                            <a:solidFill>
                              <a:srgbClr val="000000"/>
                            </a:solidFill>
                            <a:miter lim="800000"/>
                            <a:headEnd/>
                            <a:tailEnd/>
                          </a:ln>
                        </wps:spPr>
                        <wps:txbx>
                          <w:txbxContent>
                            <w:sdt>
                              <w:sdtPr>
                                <w:id w:val="-264390151"/>
                                <w:temporary/>
                                <w:showingPlcHdr/>
                              </w:sdtPr>
                              <w:sdtEndPr/>
                              <w:sdtContent>
                                <w:p w:rsidR="00A66BA2" w:rsidRDefault="00A66BA2" w:rsidP="00B71801">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399.35pt;margin-top:-5pt;width:450.55pt;height:5.25pt;flip:y;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" fillcolor="#1b5468">
                  <v:textbox>
                    <w:txbxContent>
                      <w:sdt>
                        <w:sdtPr>
                          <w:id w:val="-264390151"/>
                          <w:temporary/>
                          <w:showingPlcHdr/>
                        </w:sdtPr>
                        <w:sdtEndPr/>
                        <w:sdtContent>
                          <w:p w:rsidR="00A66BA2" w:rsidRDefault="00A66BA2" w:rsidP="00B71801">
                            <w:r>
                              <w:t>[Grab your reader’s attention with a great quote from the document or use this space to emphasize a key point. To place this text box anywhere on the page, just drag it.]</w:t>
                            </w:r>
                          </w:p>
                        </w:sdtContent>
                      </w:sdt>
                    </w:txbxContent>
                  </v:textbox>
                  <w10:wrap type="square" anchorx="margin"/>
                </v:shape>
              </w:pict>
            </mc:Fallback>
          </mc:AlternateContent>
        </w:r>
        <w:r w:rsidRPr="00EC738D">
          <w:rPr>
            <w:rFonts w:ascii="Kelvetica Nobis" w:hAnsi="Kelvetica Nobis"/>
            <w:b/>
            <w:color w:val="1B5068"/>
            <w:sz w:val="20"/>
            <w:szCs w:val="20"/>
          </w:rPr>
          <w:t>THE REAL ECONOMY BULLETIN</w:t>
        </w:r>
      </w:p>
    </w:sdtContent>
  </w:sdt>
  <w:p w:rsidR="00A66BA2" w:rsidRPr="00603D7D" w:rsidRDefault="00A66BA2" w:rsidP="00B71801">
    <w:pPr>
      <w:pStyle w:val="Footer"/>
      <w:rPr>
        <w:rFonts w:ascii="Kelvetica Nobis" w:hAnsi="Kelvetica Nobis"/>
        <w:sz w:val="20"/>
        <w:szCs w:val="20"/>
      </w:rPr>
    </w:pPr>
  </w:p>
  <w:p w:rsidR="00A66BA2" w:rsidRDefault="00A66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7FD" w:rsidRDefault="006F27FD" w:rsidP="00667D0F">
      <w:r>
        <w:separator/>
      </w:r>
    </w:p>
  </w:footnote>
  <w:footnote w:type="continuationSeparator" w:id="0">
    <w:p w:rsidR="006F27FD" w:rsidRDefault="006F27FD" w:rsidP="00667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91AEA"/>
    <w:multiLevelType w:val="multilevel"/>
    <w:tmpl w:val="4F88AE4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lowerLetter"/>
      <w:pStyle w:val="Heading4"/>
      <w:lvlText w:val="%4."/>
      <w:lvlJc w:val="left"/>
      <w:pPr>
        <w:ind w:left="864" w:hanging="864"/>
      </w:pPr>
      <w:rPr>
        <w:rFonts w:hint="default"/>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D0C0A32"/>
    <w:multiLevelType w:val="hybridMultilevel"/>
    <w:tmpl w:val="934C472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2CD36967"/>
    <w:multiLevelType w:val="hybridMultilevel"/>
    <w:tmpl w:val="B52AA24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2DC76A13"/>
    <w:multiLevelType w:val="multilevel"/>
    <w:tmpl w:val="5192DC4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0445881"/>
    <w:multiLevelType w:val="hybridMultilevel"/>
    <w:tmpl w:val="0A5A65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12F269F"/>
    <w:multiLevelType w:val="hybridMultilevel"/>
    <w:tmpl w:val="D924EA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6F1461C"/>
    <w:multiLevelType w:val="hybridMultilevel"/>
    <w:tmpl w:val="C57239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BB46F73"/>
    <w:multiLevelType w:val="hybridMultilevel"/>
    <w:tmpl w:val="CC8E20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CD01DCF"/>
    <w:multiLevelType w:val="hybridMultilevel"/>
    <w:tmpl w:val="AEB299B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D8F3F4F"/>
    <w:multiLevelType w:val="hybridMultilevel"/>
    <w:tmpl w:val="9D880F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pStyle w:val="Heading8"/>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0580994"/>
    <w:multiLevelType w:val="hybridMultilevel"/>
    <w:tmpl w:val="2ADECAD8"/>
    <w:lvl w:ilvl="0" w:tplc="FEDE0E18">
      <w:start w:val="4"/>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pStyle w:val="Heading9"/>
      <w:lvlText w:val=""/>
      <w:lvlJc w:val="left"/>
      <w:pPr>
        <w:ind w:left="6480" w:hanging="360"/>
      </w:pPr>
      <w:rPr>
        <w:rFonts w:ascii="Wingdings" w:hAnsi="Wingdings" w:hint="default"/>
      </w:rPr>
    </w:lvl>
  </w:abstractNum>
  <w:abstractNum w:abstractNumId="11" w15:restartNumberingAfterBreak="0">
    <w:nsid w:val="54A33217"/>
    <w:multiLevelType w:val="hybridMultilevel"/>
    <w:tmpl w:val="D884F65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5F3427AE"/>
    <w:multiLevelType w:val="hybridMultilevel"/>
    <w:tmpl w:val="100AC2F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6918130B"/>
    <w:multiLevelType w:val="hybridMultilevel"/>
    <w:tmpl w:val="B04252AC"/>
    <w:lvl w:ilvl="0" w:tplc="FB187DFE">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756B5409"/>
    <w:multiLevelType w:val="hybridMultilevel"/>
    <w:tmpl w:val="D924EA9A"/>
    <w:lvl w:ilvl="0" w:tplc="1C09000F">
      <w:start w:val="1"/>
      <w:numFmt w:val="decimal"/>
      <w:pStyle w:val="ListParagraph"/>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9"/>
  </w:num>
  <w:num w:numId="3">
    <w:abstractNumId w:val="14"/>
  </w:num>
  <w:num w:numId="4">
    <w:abstractNumId w:val="5"/>
  </w:num>
  <w:num w:numId="5">
    <w:abstractNumId w:val="12"/>
  </w:num>
  <w:num w:numId="6">
    <w:abstractNumId w:val="7"/>
  </w:num>
  <w:num w:numId="7">
    <w:abstractNumId w:val="6"/>
  </w:num>
  <w:num w:numId="8">
    <w:abstractNumId w:val="1"/>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3"/>
  </w:num>
  <w:num w:numId="18">
    <w:abstractNumId w:val="13"/>
  </w:num>
  <w:num w:numId="19">
    <w:abstractNumId w:val="8"/>
  </w:num>
  <w:num w:numId="20">
    <w:abstractNumId w:val="11"/>
  </w:num>
  <w:num w:numId="21">
    <w:abstractNumId w:val="2"/>
  </w:num>
  <w:num w:numId="22">
    <w:abstractNumId w:val="4"/>
  </w:num>
  <w:num w:numId="23">
    <w:abstractNumId w:val="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E1F"/>
    <w:rsid w:val="00014BA4"/>
    <w:rsid w:val="000212D8"/>
    <w:rsid w:val="00021739"/>
    <w:rsid w:val="000243E1"/>
    <w:rsid w:val="000274F5"/>
    <w:rsid w:val="00043C7F"/>
    <w:rsid w:val="0004492D"/>
    <w:rsid w:val="000451A4"/>
    <w:rsid w:val="00047405"/>
    <w:rsid w:val="00047782"/>
    <w:rsid w:val="000515A8"/>
    <w:rsid w:val="00054300"/>
    <w:rsid w:val="000557DA"/>
    <w:rsid w:val="00065170"/>
    <w:rsid w:val="000736BA"/>
    <w:rsid w:val="00081DAC"/>
    <w:rsid w:val="00090075"/>
    <w:rsid w:val="00096951"/>
    <w:rsid w:val="000A489C"/>
    <w:rsid w:val="000C07AD"/>
    <w:rsid w:val="000C2F57"/>
    <w:rsid w:val="000D5742"/>
    <w:rsid w:val="000E46A9"/>
    <w:rsid w:val="000E587A"/>
    <w:rsid w:val="000E799F"/>
    <w:rsid w:val="000F3B7F"/>
    <w:rsid w:val="000F3BE5"/>
    <w:rsid w:val="0010597E"/>
    <w:rsid w:val="00106208"/>
    <w:rsid w:val="0011604E"/>
    <w:rsid w:val="001208D8"/>
    <w:rsid w:val="00122AEE"/>
    <w:rsid w:val="00123851"/>
    <w:rsid w:val="001259F3"/>
    <w:rsid w:val="00134E9C"/>
    <w:rsid w:val="00137DC9"/>
    <w:rsid w:val="00144396"/>
    <w:rsid w:val="0016124E"/>
    <w:rsid w:val="00176934"/>
    <w:rsid w:val="0019133C"/>
    <w:rsid w:val="001921DC"/>
    <w:rsid w:val="00193647"/>
    <w:rsid w:val="001941D6"/>
    <w:rsid w:val="001A0C32"/>
    <w:rsid w:val="001A4565"/>
    <w:rsid w:val="001B152F"/>
    <w:rsid w:val="001C3A49"/>
    <w:rsid w:val="001E3C4C"/>
    <w:rsid w:val="001F4719"/>
    <w:rsid w:val="001F6565"/>
    <w:rsid w:val="001F66DC"/>
    <w:rsid w:val="002025D0"/>
    <w:rsid w:val="00202C72"/>
    <w:rsid w:val="00213431"/>
    <w:rsid w:val="0021460B"/>
    <w:rsid w:val="002335C6"/>
    <w:rsid w:val="002364E1"/>
    <w:rsid w:val="00237CA1"/>
    <w:rsid w:val="0024696C"/>
    <w:rsid w:val="0027200A"/>
    <w:rsid w:val="00274617"/>
    <w:rsid w:val="0027683E"/>
    <w:rsid w:val="00277595"/>
    <w:rsid w:val="002862FF"/>
    <w:rsid w:val="002B169D"/>
    <w:rsid w:val="002B31D2"/>
    <w:rsid w:val="002C2A3D"/>
    <w:rsid w:val="002C4934"/>
    <w:rsid w:val="002D3872"/>
    <w:rsid w:val="002D693A"/>
    <w:rsid w:val="002D70D7"/>
    <w:rsid w:val="002E2DA1"/>
    <w:rsid w:val="002E6775"/>
    <w:rsid w:val="002F24CE"/>
    <w:rsid w:val="002F6E34"/>
    <w:rsid w:val="00300464"/>
    <w:rsid w:val="00302853"/>
    <w:rsid w:val="0030333F"/>
    <w:rsid w:val="00312CDC"/>
    <w:rsid w:val="00314150"/>
    <w:rsid w:val="00344A18"/>
    <w:rsid w:val="00344C94"/>
    <w:rsid w:val="00346F04"/>
    <w:rsid w:val="00351BBB"/>
    <w:rsid w:val="00360B49"/>
    <w:rsid w:val="003641DC"/>
    <w:rsid w:val="00371CBC"/>
    <w:rsid w:val="00380AA5"/>
    <w:rsid w:val="0038536E"/>
    <w:rsid w:val="0039570A"/>
    <w:rsid w:val="00397D52"/>
    <w:rsid w:val="003B1F07"/>
    <w:rsid w:val="003C1C97"/>
    <w:rsid w:val="003C7A91"/>
    <w:rsid w:val="003D04C9"/>
    <w:rsid w:val="003D4387"/>
    <w:rsid w:val="003E6420"/>
    <w:rsid w:val="003F372D"/>
    <w:rsid w:val="0040568E"/>
    <w:rsid w:val="00406DBD"/>
    <w:rsid w:val="00407FA8"/>
    <w:rsid w:val="0041426B"/>
    <w:rsid w:val="0041472F"/>
    <w:rsid w:val="004209B0"/>
    <w:rsid w:val="004257A2"/>
    <w:rsid w:val="0043516A"/>
    <w:rsid w:val="004357CF"/>
    <w:rsid w:val="00456A8A"/>
    <w:rsid w:val="00461F4F"/>
    <w:rsid w:val="00470B02"/>
    <w:rsid w:val="004827A2"/>
    <w:rsid w:val="00486902"/>
    <w:rsid w:val="00492196"/>
    <w:rsid w:val="004A0DE7"/>
    <w:rsid w:val="004A7D21"/>
    <w:rsid w:val="004C1DCE"/>
    <w:rsid w:val="004C2663"/>
    <w:rsid w:val="004C4CD7"/>
    <w:rsid w:val="004D076A"/>
    <w:rsid w:val="004E5DB5"/>
    <w:rsid w:val="0050244C"/>
    <w:rsid w:val="00513336"/>
    <w:rsid w:val="00514169"/>
    <w:rsid w:val="00515A45"/>
    <w:rsid w:val="005168EB"/>
    <w:rsid w:val="00520343"/>
    <w:rsid w:val="00525950"/>
    <w:rsid w:val="00525A98"/>
    <w:rsid w:val="00541AB1"/>
    <w:rsid w:val="0054564A"/>
    <w:rsid w:val="005701D1"/>
    <w:rsid w:val="005807DE"/>
    <w:rsid w:val="0058410D"/>
    <w:rsid w:val="0059040B"/>
    <w:rsid w:val="00592C1F"/>
    <w:rsid w:val="005B108D"/>
    <w:rsid w:val="005C03AB"/>
    <w:rsid w:val="005E1237"/>
    <w:rsid w:val="005F1608"/>
    <w:rsid w:val="006111AA"/>
    <w:rsid w:val="00612D2F"/>
    <w:rsid w:val="00616900"/>
    <w:rsid w:val="006215D5"/>
    <w:rsid w:val="00623F98"/>
    <w:rsid w:val="00624742"/>
    <w:rsid w:val="00626376"/>
    <w:rsid w:val="006263F8"/>
    <w:rsid w:val="00630995"/>
    <w:rsid w:val="00646FB4"/>
    <w:rsid w:val="00654D95"/>
    <w:rsid w:val="00657FED"/>
    <w:rsid w:val="006665A8"/>
    <w:rsid w:val="00667D0F"/>
    <w:rsid w:val="00670E7D"/>
    <w:rsid w:val="0067239A"/>
    <w:rsid w:val="00680542"/>
    <w:rsid w:val="00682E3D"/>
    <w:rsid w:val="0068515B"/>
    <w:rsid w:val="0069372E"/>
    <w:rsid w:val="00693A4B"/>
    <w:rsid w:val="00694908"/>
    <w:rsid w:val="00696B39"/>
    <w:rsid w:val="006A1053"/>
    <w:rsid w:val="006A3952"/>
    <w:rsid w:val="006C761D"/>
    <w:rsid w:val="006D6772"/>
    <w:rsid w:val="006E44C5"/>
    <w:rsid w:val="006F27FD"/>
    <w:rsid w:val="006F6633"/>
    <w:rsid w:val="006F7940"/>
    <w:rsid w:val="007008ED"/>
    <w:rsid w:val="0072664E"/>
    <w:rsid w:val="0072764B"/>
    <w:rsid w:val="00736A4C"/>
    <w:rsid w:val="00737670"/>
    <w:rsid w:val="00745B26"/>
    <w:rsid w:val="007700A8"/>
    <w:rsid w:val="007703AA"/>
    <w:rsid w:val="007810C7"/>
    <w:rsid w:val="00784D98"/>
    <w:rsid w:val="007867A3"/>
    <w:rsid w:val="007A0BDE"/>
    <w:rsid w:val="007A162A"/>
    <w:rsid w:val="007A4AB4"/>
    <w:rsid w:val="007A5106"/>
    <w:rsid w:val="007B19A2"/>
    <w:rsid w:val="007D3FC3"/>
    <w:rsid w:val="007D5694"/>
    <w:rsid w:val="007F2D69"/>
    <w:rsid w:val="007F4400"/>
    <w:rsid w:val="007F4C15"/>
    <w:rsid w:val="008004C4"/>
    <w:rsid w:val="00800B96"/>
    <w:rsid w:val="00804199"/>
    <w:rsid w:val="00822CA1"/>
    <w:rsid w:val="0085411D"/>
    <w:rsid w:val="00862164"/>
    <w:rsid w:val="00863726"/>
    <w:rsid w:val="00863AC8"/>
    <w:rsid w:val="0088531C"/>
    <w:rsid w:val="008919B2"/>
    <w:rsid w:val="00892F09"/>
    <w:rsid w:val="0089458B"/>
    <w:rsid w:val="00894B89"/>
    <w:rsid w:val="00897701"/>
    <w:rsid w:val="00897B76"/>
    <w:rsid w:val="008A467C"/>
    <w:rsid w:val="008B3BE8"/>
    <w:rsid w:val="008C1C34"/>
    <w:rsid w:val="008D084C"/>
    <w:rsid w:val="008E22C3"/>
    <w:rsid w:val="008F0CF5"/>
    <w:rsid w:val="008F0DCE"/>
    <w:rsid w:val="008F118E"/>
    <w:rsid w:val="00900C3F"/>
    <w:rsid w:val="00900C96"/>
    <w:rsid w:val="0090157C"/>
    <w:rsid w:val="009072B6"/>
    <w:rsid w:val="00927FB7"/>
    <w:rsid w:val="00934F0B"/>
    <w:rsid w:val="0093543F"/>
    <w:rsid w:val="009422A9"/>
    <w:rsid w:val="0094238F"/>
    <w:rsid w:val="00943852"/>
    <w:rsid w:val="009452E2"/>
    <w:rsid w:val="0095566E"/>
    <w:rsid w:val="00976548"/>
    <w:rsid w:val="009839EB"/>
    <w:rsid w:val="00984F94"/>
    <w:rsid w:val="00985395"/>
    <w:rsid w:val="00987A2D"/>
    <w:rsid w:val="0099368A"/>
    <w:rsid w:val="00995EAC"/>
    <w:rsid w:val="009966D0"/>
    <w:rsid w:val="009B7FEC"/>
    <w:rsid w:val="009C0BDD"/>
    <w:rsid w:val="009C188C"/>
    <w:rsid w:val="009C3674"/>
    <w:rsid w:val="009D3CEB"/>
    <w:rsid w:val="009D501A"/>
    <w:rsid w:val="009D5249"/>
    <w:rsid w:val="009E1B34"/>
    <w:rsid w:val="009E7E4C"/>
    <w:rsid w:val="009F236C"/>
    <w:rsid w:val="009F35FB"/>
    <w:rsid w:val="009F36D7"/>
    <w:rsid w:val="009F58F9"/>
    <w:rsid w:val="00A16836"/>
    <w:rsid w:val="00A1721C"/>
    <w:rsid w:val="00A20FF3"/>
    <w:rsid w:val="00A21C35"/>
    <w:rsid w:val="00A2353B"/>
    <w:rsid w:val="00A24942"/>
    <w:rsid w:val="00A32FBD"/>
    <w:rsid w:val="00A371D9"/>
    <w:rsid w:val="00A435A0"/>
    <w:rsid w:val="00A55C40"/>
    <w:rsid w:val="00A61231"/>
    <w:rsid w:val="00A64CC4"/>
    <w:rsid w:val="00A66BA2"/>
    <w:rsid w:val="00A7065B"/>
    <w:rsid w:val="00A8529C"/>
    <w:rsid w:val="00AA07FE"/>
    <w:rsid w:val="00AA7A8A"/>
    <w:rsid w:val="00AB03D4"/>
    <w:rsid w:val="00AC14C1"/>
    <w:rsid w:val="00AC2FAA"/>
    <w:rsid w:val="00AE33C1"/>
    <w:rsid w:val="00AE6791"/>
    <w:rsid w:val="00B012E7"/>
    <w:rsid w:val="00B20929"/>
    <w:rsid w:val="00B250B0"/>
    <w:rsid w:val="00B47850"/>
    <w:rsid w:val="00B50933"/>
    <w:rsid w:val="00B6022E"/>
    <w:rsid w:val="00B71801"/>
    <w:rsid w:val="00B74A3D"/>
    <w:rsid w:val="00B80E20"/>
    <w:rsid w:val="00BA1759"/>
    <w:rsid w:val="00BA420E"/>
    <w:rsid w:val="00BA7F19"/>
    <w:rsid w:val="00BB18DC"/>
    <w:rsid w:val="00BB2961"/>
    <w:rsid w:val="00BC23E0"/>
    <w:rsid w:val="00BD51C3"/>
    <w:rsid w:val="00BD5BDD"/>
    <w:rsid w:val="00BE5487"/>
    <w:rsid w:val="00BE7662"/>
    <w:rsid w:val="00BF14DA"/>
    <w:rsid w:val="00BF5071"/>
    <w:rsid w:val="00C0577B"/>
    <w:rsid w:val="00C07C4B"/>
    <w:rsid w:val="00C118F9"/>
    <w:rsid w:val="00C1478A"/>
    <w:rsid w:val="00C15646"/>
    <w:rsid w:val="00C17783"/>
    <w:rsid w:val="00C17B9F"/>
    <w:rsid w:val="00C30024"/>
    <w:rsid w:val="00C306F0"/>
    <w:rsid w:val="00C32624"/>
    <w:rsid w:val="00C34787"/>
    <w:rsid w:val="00C46CD7"/>
    <w:rsid w:val="00C470D9"/>
    <w:rsid w:val="00C51359"/>
    <w:rsid w:val="00C57438"/>
    <w:rsid w:val="00C62ECF"/>
    <w:rsid w:val="00C709DF"/>
    <w:rsid w:val="00C710DF"/>
    <w:rsid w:val="00C71C56"/>
    <w:rsid w:val="00C73545"/>
    <w:rsid w:val="00C74B6E"/>
    <w:rsid w:val="00C81645"/>
    <w:rsid w:val="00C94411"/>
    <w:rsid w:val="00CA1586"/>
    <w:rsid w:val="00CC47E7"/>
    <w:rsid w:val="00CC4DB0"/>
    <w:rsid w:val="00CC72B5"/>
    <w:rsid w:val="00CD4429"/>
    <w:rsid w:val="00CD5E39"/>
    <w:rsid w:val="00CD734A"/>
    <w:rsid w:val="00CE2BAA"/>
    <w:rsid w:val="00CE73B9"/>
    <w:rsid w:val="00D135BE"/>
    <w:rsid w:val="00D163F2"/>
    <w:rsid w:val="00D2114C"/>
    <w:rsid w:val="00D417E5"/>
    <w:rsid w:val="00D42A85"/>
    <w:rsid w:val="00D6437C"/>
    <w:rsid w:val="00D67301"/>
    <w:rsid w:val="00D7245A"/>
    <w:rsid w:val="00D7310A"/>
    <w:rsid w:val="00D7526A"/>
    <w:rsid w:val="00D84FC8"/>
    <w:rsid w:val="00D91606"/>
    <w:rsid w:val="00D91D9D"/>
    <w:rsid w:val="00D97FA5"/>
    <w:rsid w:val="00DA69C3"/>
    <w:rsid w:val="00DB4674"/>
    <w:rsid w:val="00DC0AFD"/>
    <w:rsid w:val="00DC2400"/>
    <w:rsid w:val="00DC4A65"/>
    <w:rsid w:val="00DD399B"/>
    <w:rsid w:val="00DD5502"/>
    <w:rsid w:val="00DF5E64"/>
    <w:rsid w:val="00E01B98"/>
    <w:rsid w:val="00E235AC"/>
    <w:rsid w:val="00E2529E"/>
    <w:rsid w:val="00E2613A"/>
    <w:rsid w:val="00E278BF"/>
    <w:rsid w:val="00E32C1D"/>
    <w:rsid w:val="00E34F1E"/>
    <w:rsid w:val="00E36E19"/>
    <w:rsid w:val="00E37110"/>
    <w:rsid w:val="00E5130F"/>
    <w:rsid w:val="00E616C7"/>
    <w:rsid w:val="00E67278"/>
    <w:rsid w:val="00E67CF5"/>
    <w:rsid w:val="00E70697"/>
    <w:rsid w:val="00E70F7D"/>
    <w:rsid w:val="00E83FF0"/>
    <w:rsid w:val="00E878C1"/>
    <w:rsid w:val="00E95E1F"/>
    <w:rsid w:val="00EA067F"/>
    <w:rsid w:val="00EA51F0"/>
    <w:rsid w:val="00EB2846"/>
    <w:rsid w:val="00EB3C65"/>
    <w:rsid w:val="00EB65D7"/>
    <w:rsid w:val="00EC5D9E"/>
    <w:rsid w:val="00EC7C9B"/>
    <w:rsid w:val="00ED091E"/>
    <w:rsid w:val="00ED1602"/>
    <w:rsid w:val="00EE3E5F"/>
    <w:rsid w:val="00EF0D26"/>
    <w:rsid w:val="00EF0E38"/>
    <w:rsid w:val="00EF2110"/>
    <w:rsid w:val="00EF3778"/>
    <w:rsid w:val="00F103BC"/>
    <w:rsid w:val="00F13015"/>
    <w:rsid w:val="00F15A83"/>
    <w:rsid w:val="00F175BD"/>
    <w:rsid w:val="00F2379E"/>
    <w:rsid w:val="00F2758A"/>
    <w:rsid w:val="00F33BEF"/>
    <w:rsid w:val="00F53C77"/>
    <w:rsid w:val="00F82424"/>
    <w:rsid w:val="00F952C4"/>
    <w:rsid w:val="00F97C44"/>
    <w:rsid w:val="00FA1052"/>
    <w:rsid w:val="00FA398E"/>
    <w:rsid w:val="00FB1168"/>
    <w:rsid w:val="00FB164D"/>
    <w:rsid w:val="00FC4ECE"/>
    <w:rsid w:val="00FD31A1"/>
    <w:rsid w:val="00FE17A5"/>
    <w:rsid w:val="00FE2CBA"/>
    <w:rsid w:val="00FE409B"/>
    <w:rsid w:val="00FF02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C51EF"/>
  <w15:docId w15:val="{1EC3BB63-75EF-41BC-BCE8-76C1ACCE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C1C34"/>
    <w:pPr>
      <w:spacing w:before="120" w:after="0" w:line="240" w:lineRule="auto"/>
    </w:pPr>
    <w:rPr>
      <w:sz w:val="24"/>
    </w:rPr>
  </w:style>
  <w:style w:type="paragraph" w:styleId="Heading1">
    <w:name w:val="heading 1"/>
    <w:basedOn w:val="Normal"/>
    <w:next w:val="Normal"/>
    <w:link w:val="Heading1Char"/>
    <w:uiPriority w:val="9"/>
    <w:qFormat/>
    <w:rsid w:val="008C1C34"/>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C1C34"/>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1C34"/>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1C34"/>
    <w:pPr>
      <w:keepNext/>
      <w:keepLines/>
      <w:numPr>
        <w:ilvl w:val="3"/>
        <w:numId w:val="1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1C34"/>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1C34"/>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1C34"/>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1C34"/>
    <w:pPr>
      <w:keepNext/>
      <w:keepLines/>
      <w:numPr>
        <w:ilvl w:val="7"/>
        <w:numId w:val="2"/>
      </w:numPr>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1C34"/>
    <w:pPr>
      <w:keepNext/>
      <w:keepLines/>
      <w:numPr>
        <w:ilvl w:val="8"/>
        <w:numId w:val="1"/>
      </w:numPr>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8C1C34"/>
    <w:pPr>
      <w:numPr>
        <w:numId w:val="3"/>
      </w:numPr>
      <w:ind w:left="357" w:hanging="357"/>
    </w:pPr>
  </w:style>
  <w:style w:type="character" w:styleId="CommentReference">
    <w:name w:val="annotation reference"/>
    <w:basedOn w:val="DefaultParagraphFont"/>
    <w:uiPriority w:val="99"/>
    <w:semiHidden/>
    <w:unhideWhenUsed/>
    <w:rsid w:val="002335C6"/>
    <w:rPr>
      <w:sz w:val="16"/>
      <w:szCs w:val="16"/>
    </w:rPr>
  </w:style>
  <w:style w:type="paragraph" w:styleId="CommentText">
    <w:name w:val="annotation text"/>
    <w:basedOn w:val="Normal"/>
    <w:link w:val="CommentTextChar"/>
    <w:uiPriority w:val="99"/>
    <w:semiHidden/>
    <w:unhideWhenUsed/>
    <w:rsid w:val="002335C6"/>
    <w:rPr>
      <w:sz w:val="20"/>
      <w:szCs w:val="20"/>
    </w:rPr>
  </w:style>
  <w:style w:type="character" w:customStyle="1" w:styleId="CommentTextChar">
    <w:name w:val="Comment Text Char"/>
    <w:basedOn w:val="DefaultParagraphFont"/>
    <w:link w:val="CommentText"/>
    <w:uiPriority w:val="99"/>
    <w:semiHidden/>
    <w:rsid w:val="002335C6"/>
    <w:rPr>
      <w:sz w:val="20"/>
      <w:szCs w:val="20"/>
    </w:rPr>
  </w:style>
  <w:style w:type="paragraph" w:styleId="CommentSubject">
    <w:name w:val="annotation subject"/>
    <w:basedOn w:val="CommentText"/>
    <w:next w:val="CommentText"/>
    <w:link w:val="CommentSubjectChar"/>
    <w:uiPriority w:val="99"/>
    <w:semiHidden/>
    <w:unhideWhenUsed/>
    <w:rsid w:val="002335C6"/>
    <w:rPr>
      <w:b/>
      <w:bCs/>
    </w:rPr>
  </w:style>
  <w:style w:type="character" w:customStyle="1" w:styleId="CommentSubjectChar">
    <w:name w:val="Comment Subject Char"/>
    <w:basedOn w:val="CommentTextChar"/>
    <w:link w:val="CommentSubject"/>
    <w:uiPriority w:val="99"/>
    <w:semiHidden/>
    <w:rsid w:val="002335C6"/>
    <w:rPr>
      <w:b/>
      <w:bCs/>
      <w:sz w:val="20"/>
      <w:szCs w:val="20"/>
    </w:rPr>
  </w:style>
  <w:style w:type="paragraph" w:styleId="BalloonText">
    <w:name w:val="Balloon Text"/>
    <w:basedOn w:val="Normal"/>
    <w:link w:val="BalloonTextChar"/>
    <w:uiPriority w:val="99"/>
    <w:semiHidden/>
    <w:unhideWhenUsed/>
    <w:rsid w:val="002335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5C6"/>
    <w:rPr>
      <w:rFonts w:ascii="Segoe UI" w:hAnsi="Segoe UI" w:cs="Segoe UI"/>
      <w:sz w:val="18"/>
      <w:szCs w:val="18"/>
    </w:rPr>
  </w:style>
  <w:style w:type="paragraph" w:styleId="Header">
    <w:name w:val="header"/>
    <w:basedOn w:val="Normal"/>
    <w:link w:val="HeaderChar"/>
    <w:uiPriority w:val="99"/>
    <w:unhideWhenUsed/>
    <w:rsid w:val="00667D0F"/>
    <w:pPr>
      <w:tabs>
        <w:tab w:val="center" w:pos="4513"/>
        <w:tab w:val="right" w:pos="9026"/>
      </w:tabs>
    </w:pPr>
  </w:style>
  <w:style w:type="character" w:customStyle="1" w:styleId="HeaderChar">
    <w:name w:val="Header Char"/>
    <w:basedOn w:val="DefaultParagraphFont"/>
    <w:link w:val="Header"/>
    <w:uiPriority w:val="99"/>
    <w:rsid w:val="00667D0F"/>
  </w:style>
  <w:style w:type="paragraph" w:styleId="Footer">
    <w:name w:val="footer"/>
    <w:basedOn w:val="Normal"/>
    <w:link w:val="FooterChar"/>
    <w:uiPriority w:val="99"/>
    <w:unhideWhenUsed/>
    <w:rsid w:val="00667D0F"/>
    <w:pPr>
      <w:tabs>
        <w:tab w:val="center" w:pos="4513"/>
        <w:tab w:val="right" w:pos="9026"/>
      </w:tabs>
    </w:pPr>
  </w:style>
  <w:style w:type="character" w:customStyle="1" w:styleId="FooterChar">
    <w:name w:val="Footer Char"/>
    <w:basedOn w:val="DefaultParagraphFont"/>
    <w:link w:val="Footer"/>
    <w:uiPriority w:val="99"/>
    <w:rsid w:val="00667D0F"/>
  </w:style>
  <w:style w:type="table" w:styleId="TableGrid">
    <w:name w:val="Table Grid"/>
    <w:basedOn w:val="TableNormal"/>
    <w:uiPriority w:val="59"/>
    <w:rsid w:val="00C32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1C34"/>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202C72"/>
    <w:rPr>
      <w:sz w:val="20"/>
      <w:szCs w:val="20"/>
    </w:rPr>
  </w:style>
  <w:style w:type="character" w:customStyle="1" w:styleId="EndnoteTextChar">
    <w:name w:val="Endnote Text Char"/>
    <w:basedOn w:val="DefaultParagraphFont"/>
    <w:link w:val="EndnoteText"/>
    <w:uiPriority w:val="99"/>
    <w:semiHidden/>
    <w:rsid w:val="00202C72"/>
    <w:rPr>
      <w:sz w:val="20"/>
      <w:szCs w:val="20"/>
    </w:rPr>
  </w:style>
  <w:style w:type="character" w:styleId="EndnoteReference">
    <w:name w:val="endnote reference"/>
    <w:basedOn w:val="DefaultParagraphFont"/>
    <w:uiPriority w:val="99"/>
    <w:semiHidden/>
    <w:unhideWhenUsed/>
    <w:rsid w:val="00202C72"/>
    <w:rPr>
      <w:vertAlign w:val="superscript"/>
    </w:rPr>
  </w:style>
  <w:style w:type="paragraph" w:customStyle="1" w:styleId="source">
    <w:name w:val="source"/>
    <w:basedOn w:val="Normal"/>
    <w:link w:val="sourceChar"/>
    <w:qFormat/>
    <w:rsid w:val="008C1C34"/>
    <w:pPr>
      <w:spacing w:before="0"/>
    </w:pPr>
    <w:rPr>
      <w:sz w:val="20"/>
      <w:szCs w:val="20"/>
    </w:rPr>
  </w:style>
  <w:style w:type="character" w:customStyle="1" w:styleId="sourceChar">
    <w:name w:val="source Char"/>
    <w:basedOn w:val="DefaultParagraphFont"/>
    <w:link w:val="source"/>
    <w:rsid w:val="008C1C34"/>
    <w:rPr>
      <w:sz w:val="20"/>
      <w:szCs w:val="20"/>
    </w:rPr>
  </w:style>
  <w:style w:type="paragraph" w:customStyle="1" w:styleId="Quote1">
    <w:name w:val="Quote1"/>
    <w:basedOn w:val="source"/>
    <w:link w:val="quoteChar"/>
    <w:qFormat/>
    <w:rsid w:val="008C1C34"/>
    <w:pPr>
      <w:spacing w:before="120"/>
      <w:ind w:left="720"/>
    </w:pPr>
  </w:style>
  <w:style w:type="character" w:customStyle="1" w:styleId="quoteChar">
    <w:name w:val="quote Char"/>
    <w:basedOn w:val="sourceChar"/>
    <w:link w:val="Quote1"/>
    <w:rsid w:val="008C1C34"/>
    <w:rPr>
      <w:sz w:val="20"/>
      <w:szCs w:val="20"/>
    </w:rPr>
  </w:style>
  <w:style w:type="paragraph" w:customStyle="1" w:styleId="charts">
    <w:name w:val="charts"/>
    <w:basedOn w:val="Normal"/>
    <w:link w:val="chartsChar"/>
    <w:qFormat/>
    <w:rsid w:val="008C1C34"/>
    <w:pPr>
      <w:keepNext/>
      <w:spacing w:before="0"/>
    </w:pPr>
  </w:style>
  <w:style w:type="character" w:customStyle="1" w:styleId="chartsChar">
    <w:name w:val="charts Char"/>
    <w:basedOn w:val="DefaultParagraphFont"/>
    <w:link w:val="charts"/>
    <w:rsid w:val="008C1C34"/>
    <w:rPr>
      <w:sz w:val="24"/>
    </w:rPr>
  </w:style>
  <w:style w:type="paragraph" w:customStyle="1" w:styleId="TableofTables">
    <w:name w:val="Table of Tables"/>
    <w:basedOn w:val="Normal"/>
    <w:qFormat/>
    <w:rsid w:val="008C1C34"/>
    <w:pPr>
      <w:spacing w:before="240" w:line="276" w:lineRule="auto"/>
    </w:pPr>
    <w:rPr>
      <w:rFonts w:ascii="Arial Narrow" w:hAnsi="Arial Narrow"/>
      <w:b/>
      <w:sz w:val="22"/>
      <w:lang w:val="en-US"/>
    </w:rPr>
  </w:style>
  <w:style w:type="paragraph" w:customStyle="1" w:styleId="table">
    <w:name w:val="table"/>
    <w:basedOn w:val="Normal"/>
    <w:link w:val="tableChar"/>
    <w:qFormat/>
    <w:rsid w:val="008C1C34"/>
    <w:pPr>
      <w:spacing w:before="0"/>
    </w:pPr>
    <w:rPr>
      <w:lang w:val="en-US"/>
    </w:rPr>
  </w:style>
  <w:style w:type="character" w:customStyle="1" w:styleId="tableChar">
    <w:name w:val="table Char"/>
    <w:basedOn w:val="DefaultParagraphFont"/>
    <w:link w:val="table"/>
    <w:rsid w:val="008C1C34"/>
    <w:rPr>
      <w:sz w:val="24"/>
      <w:lang w:val="en-US"/>
    </w:rPr>
  </w:style>
  <w:style w:type="paragraph" w:customStyle="1" w:styleId="STDheading1">
    <w:name w:val="STD heading 1"/>
    <w:basedOn w:val="Normal"/>
    <w:qFormat/>
    <w:rsid w:val="008C1C34"/>
    <w:pPr>
      <w:spacing w:before="0" w:line="360" w:lineRule="auto"/>
      <w:jc w:val="both"/>
    </w:pPr>
    <w:rPr>
      <w:rFonts w:ascii="Arial" w:eastAsiaTheme="minorEastAsia" w:hAnsi="Arial"/>
      <w:b/>
      <w:sz w:val="22"/>
      <w:szCs w:val="24"/>
      <w:lang w:val="en-GB"/>
    </w:rPr>
  </w:style>
  <w:style w:type="paragraph" w:customStyle="1" w:styleId="stdheading2real">
    <w:name w:val="std heading 2 real"/>
    <w:basedOn w:val="STDheading1"/>
    <w:qFormat/>
    <w:rsid w:val="008C1C34"/>
  </w:style>
  <w:style w:type="character" w:customStyle="1" w:styleId="Heading2Char">
    <w:name w:val="Heading 2 Char"/>
    <w:basedOn w:val="DefaultParagraphFont"/>
    <w:link w:val="Heading2"/>
    <w:uiPriority w:val="9"/>
    <w:semiHidden/>
    <w:rsid w:val="008C1C3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C1C3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8C1C3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8C1C3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8C1C3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8C1C3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8C1C3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1C34"/>
    <w:rPr>
      <w:rFonts w:asciiTheme="majorHAnsi" w:eastAsiaTheme="majorEastAsia" w:hAnsiTheme="majorHAnsi" w:cstheme="majorBidi"/>
      <w:i/>
      <w:iCs/>
      <w:color w:val="404040" w:themeColor="text1" w:themeTint="BF"/>
      <w:sz w:val="20"/>
      <w:szCs w:val="20"/>
    </w:rPr>
  </w:style>
  <w:style w:type="paragraph" w:styleId="Caption">
    <w:name w:val="caption"/>
    <w:aliases w:val="Stacey_Caption"/>
    <w:basedOn w:val="Normal"/>
    <w:next w:val="Normal"/>
    <w:link w:val="CaptionChar"/>
    <w:uiPriority w:val="35"/>
    <w:unhideWhenUsed/>
    <w:qFormat/>
    <w:rsid w:val="008C1C34"/>
    <w:pPr>
      <w:keepNext/>
    </w:pPr>
    <w:rPr>
      <w:b/>
      <w:bCs/>
      <w:color w:val="000000" w:themeColor="text1"/>
      <w:szCs w:val="18"/>
    </w:rPr>
  </w:style>
  <w:style w:type="character" w:customStyle="1" w:styleId="CaptionChar">
    <w:name w:val="Caption Char"/>
    <w:aliases w:val="Stacey_Caption Char"/>
    <w:basedOn w:val="DefaultParagraphFont"/>
    <w:link w:val="Caption"/>
    <w:uiPriority w:val="35"/>
    <w:rsid w:val="008C1C34"/>
    <w:rPr>
      <w:b/>
      <w:bCs/>
      <w:color w:val="000000" w:themeColor="text1"/>
      <w:sz w:val="24"/>
      <w:szCs w:val="18"/>
    </w:rPr>
  </w:style>
  <w:style w:type="paragraph" w:styleId="TableofFigures">
    <w:name w:val="table of figures"/>
    <w:basedOn w:val="Normal"/>
    <w:next w:val="Normal"/>
    <w:uiPriority w:val="99"/>
    <w:semiHidden/>
    <w:unhideWhenUsed/>
    <w:qFormat/>
    <w:rsid w:val="008C1C34"/>
    <w:pPr>
      <w:spacing w:before="240" w:line="276" w:lineRule="auto"/>
    </w:pPr>
    <w:rPr>
      <w:rFonts w:ascii="Arial Narrow" w:hAnsi="Arial Narrow"/>
      <w:b/>
      <w:sz w:val="22"/>
    </w:rPr>
  </w:style>
  <w:style w:type="paragraph" w:styleId="Title">
    <w:name w:val="Title"/>
    <w:basedOn w:val="Normal"/>
    <w:next w:val="Normal"/>
    <w:link w:val="TitleChar"/>
    <w:uiPriority w:val="10"/>
    <w:qFormat/>
    <w:rsid w:val="008C1C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1C34"/>
    <w:rPr>
      <w:rFonts w:asciiTheme="majorHAnsi" w:eastAsiaTheme="majorEastAsia" w:hAnsiTheme="majorHAnsi" w:cstheme="majorBidi"/>
      <w:color w:val="17365D" w:themeColor="text2" w:themeShade="BF"/>
      <w:spacing w:val="5"/>
      <w:kern w:val="28"/>
      <w:sz w:val="52"/>
      <w:szCs w:val="52"/>
    </w:rPr>
  </w:style>
  <w:style w:type="character" w:customStyle="1" w:styleId="ListParagraphChar">
    <w:name w:val="List Paragraph Char"/>
    <w:basedOn w:val="DefaultParagraphFont"/>
    <w:link w:val="ListParagraph"/>
    <w:uiPriority w:val="99"/>
    <w:locked/>
    <w:rsid w:val="008C1C34"/>
    <w:rPr>
      <w:sz w:val="24"/>
    </w:rPr>
  </w:style>
  <w:style w:type="character" w:styleId="Hyperlink">
    <w:name w:val="Hyperlink"/>
    <w:basedOn w:val="DefaultParagraphFont"/>
    <w:uiPriority w:val="99"/>
    <w:unhideWhenUsed/>
    <w:rsid w:val="009D501A"/>
    <w:rPr>
      <w:color w:val="0000FF" w:themeColor="hyperlink"/>
      <w:u w:val="single"/>
    </w:rPr>
  </w:style>
  <w:style w:type="paragraph" w:styleId="FootnoteText">
    <w:name w:val="footnote text"/>
    <w:basedOn w:val="Normal"/>
    <w:link w:val="FootnoteTextChar"/>
    <w:uiPriority w:val="99"/>
    <w:semiHidden/>
    <w:unhideWhenUsed/>
    <w:rsid w:val="009D501A"/>
    <w:pPr>
      <w:spacing w:before="0"/>
    </w:pPr>
    <w:rPr>
      <w:sz w:val="20"/>
      <w:szCs w:val="20"/>
    </w:rPr>
  </w:style>
  <w:style w:type="character" w:customStyle="1" w:styleId="FootnoteTextChar">
    <w:name w:val="Footnote Text Char"/>
    <w:basedOn w:val="DefaultParagraphFont"/>
    <w:link w:val="FootnoteText"/>
    <w:uiPriority w:val="99"/>
    <w:semiHidden/>
    <w:rsid w:val="009D501A"/>
    <w:rPr>
      <w:sz w:val="20"/>
      <w:szCs w:val="20"/>
    </w:rPr>
  </w:style>
  <w:style w:type="character" w:styleId="FootnoteReference">
    <w:name w:val="footnote reference"/>
    <w:basedOn w:val="DefaultParagraphFont"/>
    <w:uiPriority w:val="99"/>
    <w:semiHidden/>
    <w:unhideWhenUsed/>
    <w:rsid w:val="009D501A"/>
    <w:rPr>
      <w:vertAlign w:val="superscript"/>
    </w:rPr>
  </w:style>
  <w:style w:type="paragraph" w:styleId="Revision">
    <w:name w:val="Revision"/>
    <w:hidden/>
    <w:uiPriority w:val="99"/>
    <w:semiHidden/>
    <w:rsid w:val="002E6775"/>
    <w:pPr>
      <w:spacing w:after="0" w:line="240" w:lineRule="auto"/>
    </w:pPr>
    <w:rPr>
      <w:sz w:val="24"/>
    </w:rPr>
  </w:style>
  <w:style w:type="character" w:styleId="FollowedHyperlink">
    <w:name w:val="FollowedHyperlink"/>
    <w:basedOn w:val="DefaultParagraphFont"/>
    <w:uiPriority w:val="99"/>
    <w:semiHidden/>
    <w:unhideWhenUsed/>
    <w:rsid w:val="000274F5"/>
    <w:rPr>
      <w:color w:val="800080" w:themeColor="followedHyperlink"/>
      <w:u w:val="single"/>
    </w:rPr>
  </w:style>
  <w:style w:type="character" w:customStyle="1" w:styleId="apple-converted-space">
    <w:name w:val="apple-converted-space"/>
    <w:basedOn w:val="DefaultParagraphFont"/>
    <w:rsid w:val="00580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0075">
      <w:bodyDiv w:val="1"/>
      <w:marLeft w:val="0"/>
      <w:marRight w:val="0"/>
      <w:marTop w:val="0"/>
      <w:marBottom w:val="0"/>
      <w:divBdr>
        <w:top w:val="none" w:sz="0" w:space="0" w:color="auto"/>
        <w:left w:val="none" w:sz="0" w:space="0" w:color="auto"/>
        <w:bottom w:val="none" w:sz="0" w:space="0" w:color="auto"/>
        <w:right w:val="none" w:sz="0" w:space="0" w:color="auto"/>
      </w:divBdr>
    </w:div>
    <w:div w:id="240993887">
      <w:bodyDiv w:val="1"/>
      <w:marLeft w:val="0"/>
      <w:marRight w:val="0"/>
      <w:marTop w:val="0"/>
      <w:marBottom w:val="0"/>
      <w:divBdr>
        <w:top w:val="none" w:sz="0" w:space="0" w:color="auto"/>
        <w:left w:val="none" w:sz="0" w:space="0" w:color="auto"/>
        <w:bottom w:val="none" w:sz="0" w:space="0" w:color="auto"/>
        <w:right w:val="none" w:sz="0" w:space="0" w:color="auto"/>
      </w:divBdr>
    </w:div>
    <w:div w:id="586812629">
      <w:bodyDiv w:val="1"/>
      <w:marLeft w:val="0"/>
      <w:marRight w:val="0"/>
      <w:marTop w:val="0"/>
      <w:marBottom w:val="0"/>
      <w:divBdr>
        <w:top w:val="none" w:sz="0" w:space="0" w:color="auto"/>
        <w:left w:val="none" w:sz="0" w:space="0" w:color="auto"/>
        <w:bottom w:val="none" w:sz="0" w:space="0" w:color="auto"/>
        <w:right w:val="none" w:sz="0" w:space="0" w:color="auto"/>
      </w:divBdr>
    </w:div>
    <w:div w:id="1022168438">
      <w:bodyDiv w:val="1"/>
      <w:marLeft w:val="0"/>
      <w:marRight w:val="0"/>
      <w:marTop w:val="0"/>
      <w:marBottom w:val="0"/>
      <w:divBdr>
        <w:top w:val="none" w:sz="0" w:space="0" w:color="auto"/>
        <w:left w:val="none" w:sz="0" w:space="0" w:color="auto"/>
        <w:bottom w:val="none" w:sz="0" w:space="0" w:color="auto"/>
        <w:right w:val="none" w:sz="0" w:space="0" w:color="auto"/>
      </w:divBdr>
    </w:div>
    <w:div w:id="1215658905">
      <w:bodyDiv w:val="1"/>
      <w:marLeft w:val="0"/>
      <w:marRight w:val="0"/>
      <w:marTop w:val="0"/>
      <w:marBottom w:val="0"/>
      <w:divBdr>
        <w:top w:val="none" w:sz="0" w:space="0" w:color="auto"/>
        <w:left w:val="none" w:sz="0" w:space="0" w:color="auto"/>
        <w:bottom w:val="none" w:sz="0" w:space="0" w:color="auto"/>
        <w:right w:val="none" w:sz="0" w:space="0" w:color="auto"/>
      </w:divBdr>
    </w:div>
    <w:div w:id="1262445959">
      <w:bodyDiv w:val="1"/>
      <w:marLeft w:val="0"/>
      <w:marRight w:val="0"/>
      <w:marTop w:val="0"/>
      <w:marBottom w:val="0"/>
      <w:divBdr>
        <w:top w:val="none" w:sz="0" w:space="0" w:color="auto"/>
        <w:left w:val="none" w:sz="0" w:space="0" w:color="auto"/>
        <w:bottom w:val="none" w:sz="0" w:space="0" w:color="auto"/>
        <w:right w:val="none" w:sz="0" w:space="0" w:color="auto"/>
      </w:divBdr>
    </w:div>
    <w:div w:id="1395347414">
      <w:bodyDiv w:val="1"/>
      <w:marLeft w:val="0"/>
      <w:marRight w:val="0"/>
      <w:marTop w:val="0"/>
      <w:marBottom w:val="0"/>
      <w:divBdr>
        <w:top w:val="none" w:sz="0" w:space="0" w:color="auto"/>
        <w:left w:val="none" w:sz="0" w:space="0" w:color="auto"/>
        <w:bottom w:val="none" w:sz="0" w:space="0" w:color="auto"/>
        <w:right w:val="none" w:sz="0" w:space="0" w:color="auto"/>
      </w:divBdr>
    </w:div>
    <w:div w:id="194603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emf"/><Relationship Id="rId18" Type="http://schemas.openxmlformats.org/officeDocument/2006/relationships/hyperlink" Target="http://www.statssa.gov.za" TargetMode="External"/><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hyperlink" Target="http://www.tips.org.za/images/The_Real_Economy_Bulletin_Q1_2016_Briefing_note_The_steel_crisis_June_2016.pdf" TargetMode="External"/><Relationship Id="rId7" Type="http://schemas.openxmlformats.org/officeDocument/2006/relationships/endnotes" Target="endnotes.xml"/><Relationship Id="rId12" Type="http://schemas.openxmlformats.org/officeDocument/2006/relationships/hyperlink" Target="http://www.tips.org.za/publications/the-real-economy-bulletin/item/3146-the-real-economy-bulletin-first-quarter-2016" TargetMode="External"/><Relationship Id="rId17" Type="http://schemas.openxmlformats.org/officeDocument/2006/relationships/image" Target="media/image5.emf"/><Relationship Id="rId25" Type="http://schemas.openxmlformats.org/officeDocument/2006/relationships/image" Target="media/image10.emf"/><Relationship Id="rId33" Type="http://schemas.openxmlformats.org/officeDocument/2006/relationships/hyperlink" Target="http://www.statssa.gov.z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atssa.gov.za" TargetMode="External"/><Relationship Id="rId20" Type="http://schemas.openxmlformats.org/officeDocument/2006/relationships/hyperlink" Target="http://www.tips.org.za" TargetMode="External"/><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ips.org.za" TargetMode="External"/><Relationship Id="rId24" Type="http://schemas.openxmlformats.org/officeDocument/2006/relationships/image" Target="media/image9.png"/><Relationship Id="rId32" Type="http://schemas.openxmlformats.org/officeDocument/2006/relationships/hyperlink" Target="http://www.statssa.gov.z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hyperlink" Target="http://www.imf.org" TargetMode="External"/><Relationship Id="rId36" Type="http://schemas.openxmlformats.org/officeDocument/2006/relationships/footer" Target="footer1.xml"/><Relationship Id="rId10" Type="http://schemas.openxmlformats.org/officeDocument/2006/relationships/hyperlink" Target="mailto:info@tips.org.za" TargetMode="External"/><Relationship Id="rId19" Type="http://schemas.openxmlformats.org/officeDocument/2006/relationships/hyperlink" Target="http://www.tips.org.za/policy-briefs/item/3135-the-jobs-bloodbath-that-wasn-t-what-happened-to-employment-in-the-first-quarter-of-2016" TargetMode="External"/><Relationship Id="rId31"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statssa.gov.za" TargetMode="External"/><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hyperlink" Target="http://www.treasury.gov.za" TargetMode="External"/><Relationship Id="rId35" Type="http://schemas.openxmlformats.org/officeDocument/2006/relationships/hyperlink" Target="http://www.tips.org.za/publications/the-real-economy-bulletin" TargetMode="External"/></Relationships>
</file>

<file path=word/theme/theme1.xml><?xml version="1.0" encoding="utf-8"?>
<a:theme xmlns:a="http://schemas.openxmlformats.org/drawingml/2006/main" name="REB">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522CB-625F-48EC-BC5C-AB012A993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12</Pages>
  <Words>3743</Words>
  <Characters>21336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 Gqubule</dc:creator>
  <cp:lastModifiedBy>Janet Wilhelm</cp:lastModifiedBy>
  <cp:revision>30</cp:revision>
  <cp:lastPrinted>2016-06-13T15:42:00Z</cp:lastPrinted>
  <dcterms:created xsi:type="dcterms:W3CDTF">2016-06-13T06:41:00Z</dcterms:created>
  <dcterms:modified xsi:type="dcterms:W3CDTF">2016-06-19T13:15:00Z</dcterms:modified>
</cp:coreProperties>
</file>