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87DA5" w14:textId="1A4E2E3E" w:rsidR="004A172A" w:rsidRPr="003E1A98" w:rsidRDefault="004A172A" w:rsidP="00D66738">
      <w:pPr>
        <w:pStyle w:val="TitlePage"/>
        <w:spacing w:after="120" w:line="264" w:lineRule="auto"/>
        <w:jc w:val="right"/>
        <w:rPr>
          <w:rFonts w:asciiTheme="minorHAnsi" w:hAnsiTheme="minorHAnsi"/>
          <w:szCs w:val="24"/>
          <w:lang w:val="en-GB"/>
        </w:rPr>
      </w:pPr>
      <w:r w:rsidRPr="00211340">
        <w:rPr>
          <w:rFonts w:asciiTheme="minorHAnsi" w:hAnsiTheme="minorHAnsi"/>
          <w:noProof/>
          <w:szCs w:val="24"/>
          <w:lang w:val="en-ZA" w:eastAsia="en-ZA"/>
        </w:rPr>
        <w:drawing>
          <wp:inline distT="0" distB="0" distL="0" distR="0" wp14:anchorId="143E2772" wp14:editId="2F7BF0E5">
            <wp:extent cx="3657600" cy="1806222"/>
            <wp:effectExtent l="19050" t="0" r="0" b="0"/>
            <wp:docPr id="9" name="Picture 2" descr="2016 logo with na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 with name.gif"/>
                    <pic:cNvPicPr/>
                  </pic:nvPicPr>
                  <pic:blipFill>
                    <a:blip r:embed="rId8" cstate="print"/>
                    <a:stretch>
                      <a:fillRect/>
                    </a:stretch>
                  </pic:blipFill>
                  <pic:spPr>
                    <a:xfrm>
                      <a:off x="0" y="0"/>
                      <a:ext cx="3657600" cy="1806222"/>
                    </a:xfrm>
                    <a:prstGeom prst="rect">
                      <a:avLst/>
                    </a:prstGeom>
                  </pic:spPr>
                </pic:pic>
              </a:graphicData>
            </a:graphic>
          </wp:inline>
        </w:drawing>
      </w:r>
      <w:r>
        <w:rPr>
          <w:b/>
          <w:noProof/>
          <w:lang w:val="en-ZA" w:eastAsia="en-ZA"/>
        </w:rPr>
        <mc:AlternateContent>
          <mc:Choice Requires="wps">
            <w:drawing>
              <wp:anchor distT="0" distB="0" distL="114300" distR="114300" simplePos="0" relativeHeight="251661312" behindDoc="0" locked="0" layoutInCell="1" allowOverlap="1" wp14:anchorId="40D548AC" wp14:editId="5151D343">
                <wp:simplePos x="0" y="0"/>
                <wp:positionH relativeFrom="page">
                  <wp:posOffset>0</wp:posOffset>
                </wp:positionH>
                <wp:positionV relativeFrom="paragraph">
                  <wp:posOffset>-1038225</wp:posOffset>
                </wp:positionV>
                <wp:extent cx="1876425" cy="1847850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8478500"/>
                        </a:xfrm>
                        <a:prstGeom prst="rect">
                          <a:avLst/>
                        </a:prstGeom>
                        <a:solidFill>
                          <a:srgbClr val="1B5068"/>
                        </a:solidFill>
                        <a:ln>
                          <a:noFill/>
                        </a:ln>
                      </wps:spPr>
                      <wps:txbx>
                        <w:txbxContent>
                          <w:p w14:paraId="1F6F4081" w14:textId="77777777" w:rsidR="00D66738" w:rsidRDefault="00D66738" w:rsidP="004A172A">
                            <w:pPr>
                              <w:widowControl w:val="0"/>
                              <w:spacing w:line="264" w:lineRule="auto"/>
                              <w:jc w:val="center"/>
                              <w:rPr>
                                <w:b/>
                                <w:bCs/>
                                <w:color w:val="FFFFFF"/>
                              </w:rPr>
                            </w:pPr>
                          </w:p>
                          <w:p w14:paraId="0A0A4665" w14:textId="77777777" w:rsidR="00D66738" w:rsidRDefault="00D66738" w:rsidP="004A172A">
                            <w:pPr>
                              <w:widowControl w:val="0"/>
                              <w:spacing w:line="264" w:lineRule="auto"/>
                              <w:jc w:val="center"/>
                              <w:rPr>
                                <w:b/>
                                <w:bCs/>
                                <w:color w:val="FFFFFF"/>
                              </w:rPr>
                            </w:pPr>
                          </w:p>
                          <w:p w14:paraId="473B46A4" w14:textId="77777777" w:rsidR="00D66738" w:rsidRDefault="00D66738" w:rsidP="004A172A">
                            <w:pPr>
                              <w:widowControl w:val="0"/>
                              <w:spacing w:line="264" w:lineRule="auto"/>
                              <w:jc w:val="center"/>
                              <w:rPr>
                                <w:b/>
                                <w:bCs/>
                                <w:color w:val="FFFFFF"/>
                              </w:rPr>
                            </w:pPr>
                          </w:p>
                          <w:p w14:paraId="4811D306" w14:textId="77777777" w:rsidR="00D66738" w:rsidRDefault="00D66738" w:rsidP="004A172A">
                            <w:pPr>
                              <w:widowControl w:val="0"/>
                              <w:spacing w:after="120" w:line="264" w:lineRule="auto"/>
                              <w:ind w:left="284" w:right="284"/>
                              <w:jc w:val="center"/>
                              <w:rPr>
                                <w:b/>
                                <w:bCs/>
                                <w:color w:val="FFFFFF"/>
                              </w:rPr>
                            </w:pPr>
                          </w:p>
                          <w:p w14:paraId="6ED97806" w14:textId="77777777" w:rsidR="00D66738" w:rsidRDefault="00D66738" w:rsidP="004A172A">
                            <w:pPr>
                              <w:widowControl w:val="0"/>
                              <w:spacing w:after="120" w:line="264" w:lineRule="auto"/>
                              <w:ind w:left="284" w:right="284"/>
                              <w:jc w:val="center"/>
                              <w:rPr>
                                <w:b/>
                                <w:bCs/>
                                <w:color w:val="FFFFFF"/>
                              </w:rPr>
                            </w:pPr>
                          </w:p>
                          <w:p w14:paraId="27DE7F22" w14:textId="77777777" w:rsidR="00D66738" w:rsidRDefault="00D66738" w:rsidP="004A172A">
                            <w:pPr>
                              <w:widowControl w:val="0"/>
                              <w:spacing w:after="120" w:line="264" w:lineRule="auto"/>
                              <w:ind w:left="284" w:right="284"/>
                              <w:jc w:val="center"/>
                              <w:rPr>
                                <w:b/>
                                <w:bCs/>
                                <w:color w:val="FFFFFF"/>
                              </w:rPr>
                            </w:pPr>
                          </w:p>
                          <w:p w14:paraId="1DC0060F" w14:textId="77777777" w:rsidR="00D66738" w:rsidRDefault="00D66738" w:rsidP="004A172A">
                            <w:pPr>
                              <w:widowControl w:val="0"/>
                              <w:spacing w:after="120" w:line="264" w:lineRule="auto"/>
                              <w:ind w:left="284" w:right="284"/>
                              <w:jc w:val="center"/>
                              <w:rPr>
                                <w:b/>
                                <w:bCs/>
                                <w:color w:val="FFFFFF"/>
                              </w:rPr>
                            </w:pPr>
                          </w:p>
                          <w:p w14:paraId="6AB52498" w14:textId="77777777" w:rsidR="00D66738" w:rsidRDefault="00D66738" w:rsidP="004A172A">
                            <w:pPr>
                              <w:widowControl w:val="0"/>
                              <w:spacing w:after="120" w:line="264" w:lineRule="auto"/>
                              <w:ind w:left="284" w:right="284"/>
                              <w:jc w:val="center"/>
                              <w:rPr>
                                <w:b/>
                                <w:bCs/>
                                <w:color w:val="FFFFFF"/>
                              </w:rPr>
                            </w:pPr>
                          </w:p>
                          <w:p w14:paraId="4249CF6F" w14:textId="77777777" w:rsidR="00D66738" w:rsidRDefault="00D66738" w:rsidP="004A172A">
                            <w:pPr>
                              <w:widowControl w:val="0"/>
                              <w:spacing w:after="120" w:line="264" w:lineRule="auto"/>
                              <w:ind w:left="284" w:right="284"/>
                              <w:jc w:val="center"/>
                              <w:rPr>
                                <w:b/>
                                <w:bCs/>
                                <w:color w:val="FFFFFF"/>
                              </w:rPr>
                            </w:pPr>
                          </w:p>
                          <w:p w14:paraId="24A7A49A" w14:textId="77777777" w:rsidR="00D66738" w:rsidRDefault="00D66738" w:rsidP="004A172A">
                            <w:pPr>
                              <w:widowControl w:val="0"/>
                              <w:spacing w:after="120" w:line="264" w:lineRule="auto"/>
                              <w:ind w:left="284" w:right="284"/>
                              <w:jc w:val="center"/>
                              <w:rPr>
                                <w:b/>
                                <w:bCs/>
                                <w:color w:val="FFFFFF"/>
                              </w:rPr>
                            </w:pPr>
                          </w:p>
                          <w:p w14:paraId="4E62622A" w14:textId="77777777" w:rsidR="00D66738" w:rsidRDefault="00D66738" w:rsidP="004A172A">
                            <w:pPr>
                              <w:widowControl w:val="0"/>
                              <w:spacing w:after="120" w:line="264" w:lineRule="auto"/>
                              <w:ind w:left="284" w:right="284"/>
                              <w:jc w:val="center"/>
                              <w:rPr>
                                <w:b/>
                                <w:bCs/>
                                <w:color w:val="FFFFFF"/>
                              </w:rPr>
                            </w:pPr>
                          </w:p>
                          <w:p w14:paraId="2F5CC445" w14:textId="77777777" w:rsidR="00D66738" w:rsidRDefault="00D66738" w:rsidP="004A172A">
                            <w:pPr>
                              <w:widowControl w:val="0"/>
                              <w:spacing w:after="120" w:line="264" w:lineRule="auto"/>
                              <w:ind w:left="284" w:right="284"/>
                              <w:jc w:val="center"/>
                              <w:rPr>
                                <w:b/>
                                <w:bCs/>
                                <w:color w:val="FFFFFF"/>
                              </w:rPr>
                            </w:pPr>
                          </w:p>
                          <w:p w14:paraId="14E24AD5" w14:textId="77777777" w:rsidR="00D66738" w:rsidRDefault="00D66738" w:rsidP="004A172A">
                            <w:pPr>
                              <w:widowControl w:val="0"/>
                              <w:spacing w:after="120" w:line="264" w:lineRule="auto"/>
                              <w:ind w:left="284" w:right="284"/>
                              <w:jc w:val="center"/>
                              <w:rPr>
                                <w:b/>
                                <w:bCs/>
                                <w:color w:val="FFFFFF"/>
                              </w:rPr>
                            </w:pPr>
                          </w:p>
                          <w:p w14:paraId="485D96F5" w14:textId="77777777" w:rsidR="00D66738" w:rsidRDefault="00D66738" w:rsidP="004A172A">
                            <w:pPr>
                              <w:widowControl w:val="0"/>
                              <w:spacing w:before="240" w:after="200" w:line="264" w:lineRule="auto"/>
                              <w:ind w:left="288" w:right="288"/>
                              <w:jc w:val="center"/>
                              <w:rPr>
                                <w:b/>
                                <w:bCs/>
                                <w:color w:val="FFFFFF"/>
                              </w:rPr>
                            </w:pPr>
                            <w:r>
                              <w:rPr>
                                <w:b/>
                                <w:bCs/>
                                <w:color w:val="FFFFFF"/>
                              </w:rPr>
                              <w:t xml:space="preserve">Trade &amp; Industrial Policy Strategies (TIPS) is a research </w:t>
                            </w:r>
                            <w:r>
                              <w:rPr>
                                <w:b/>
                                <w:bCs/>
                                <w:color w:val="FFFFFF"/>
                              </w:rPr>
                              <w:br/>
                              <w:t>organisation  that facilitates policy development and dialogue across three  focus  areas: trade and industrial policy,  inequality  and economic inclusion, and sustainable growth</w:t>
                            </w:r>
                          </w:p>
                          <w:p w14:paraId="49751D14" w14:textId="77777777" w:rsidR="00D66738" w:rsidRDefault="00D66738" w:rsidP="004A172A">
                            <w:pPr>
                              <w:widowControl w:val="0"/>
                              <w:spacing w:after="120" w:line="264" w:lineRule="auto"/>
                              <w:ind w:left="284" w:right="284"/>
                              <w:jc w:val="center"/>
                              <w:rPr>
                                <w:b/>
                                <w:bCs/>
                                <w:color w:val="FFFFFF"/>
                              </w:rPr>
                            </w:pPr>
                          </w:p>
                          <w:p w14:paraId="2CE96D92" w14:textId="13695207" w:rsidR="00D66738" w:rsidRDefault="00D66738" w:rsidP="004A172A">
                            <w:pPr>
                              <w:widowControl w:val="0"/>
                              <w:tabs>
                                <w:tab w:val="left" w:pos="-31680"/>
                              </w:tabs>
                              <w:spacing w:before="0" w:line="264" w:lineRule="auto"/>
                              <w:ind w:left="288" w:right="288"/>
                              <w:jc w:val="center"/>
                              <w:rPr>
                                <w:b/>
                                <w:bCs/>
                                <w:color w:val="FFFFFF"/>
                              </w:rPr>
                            </w:pPr>
                            <w:r>
                              <w:rPr>
                                <w:b/>
                                <w:bCs/>
                                <w:color w:val="FFFFFF"/>
                              </w:rPr>
                              <w:t>mbongeni@tips.org.za</w:t>
                            </w:r>
                          </w:p>
                          <w:p w14:paraId="121D43B2" w14:textId="77777777" w:rsidR="00D66738" w:rsidRDefault="00D66738" w:rsidP="004A172A">
                            <w:pPr>
                              <w:widowControl w:val="0"/>
                              <w:tabs>
                                <w:tab w:val="left" w:pos="-31680"/>
                              </w:tabs>
                              <w:spacing w:before="0" w:line="264" w:lineRule="auto"/>
                              <w:ind w:left="288" w:right="288"/>
                              <w:jc w:val="center"/>
                              <w:rPr>
                                <w:b/>
                                <w:bCs/>
                                <w:color w:val="FFFFFF"/>
                              </w:rPr>
                            </w:pPr>
                            <w:r>
                              <w:rPr>
                                <w:b/>
                                <w:bCs/>
                                <w:color w:val="FFFFFF"/>
                              </w:rPr>
                              <w:t>+27 12 433 9340</w:t>
                            </w:r>
                          </w:p>
                          <w:p w14:paraId="07BACC59" w14:textId="77777777" w:rsidR="00D66738" w:rsidRDefault="00D66738" w:rsidP="004A172A">
                            <w:pPr>
                              <w:widowControl w:val="0"/>
                              <w:tabs>
                                <w:tab w:val="left" w:pos="-31680"/>
                              </w:tabs>
                              <w:spacing w:before="0" w:line="264" w:lineRule="auto"/>
                              <w:ind w:left="288" w:right="288"/>
                              <w:jc w:val="center"/>
                              <w:rPr>
                                <w:b/>
                                <w:bCs/>
                                <w:color w:val="FFFFFF"/>
                              </w:rPr>
                            </w:pPr>
                            <w:r>
                              <w:rPr>
                                <w:b/>
                                <w:bCs/>
                                <w:color w:val="FFFFFF"/>
                              </w:rPr>
                              <w:t>www.tips.org.za</w:t>
                            </w:r>
                          </w:p>
                          <w:p w14:paraId="243E2D27" w14:textId="77777777" w:rsidR="00D66738" w:rsidRDefault="00D66738" w:rsidP="004A172A">
                            <w:pPr>
                              <w:widowControl w:val="0"/>
                              <w:tabs>
                                <w:tab w:val="left" w:pos="-31680"/>
                              </w:tabs>
                              <w:ind w:left="170" w:right="170"/>
                              <w:jc w:val="center"/>
                              <w:rPr>
                                <w:b/>
                                <w:bCs/>
                                <w:color w:val="FFFFFF"/>
                              </w:rPr>
                            </w:pPr>
                          </w:p>
                          <w:p w14:paraId="0056FB34" w14:textId="77777777" w:rsidR="00D66738" w:rsidRDefault="00D66738" w:rsidP="004A172A">
                            <w:pPr>
                              <w:widowControl w:val="0"/>
                              <w:tabs>
                                <w:tab w:val="left" w:pos="-31680"/>
                              </w:tabs>
                              <w:spacing w:line="264" w:lineRule="auto"/>
                              <w:ind w:left="170" w:right="170"/>
                              <w:jc w:val="center"/>
                              <w:rPr>
                                <w:b/>
                                <w:bCs/>
                                <w:color w:val="FFFFFF"/>
                              </w:rPr>
                            </w:pPr>
                          </w:p>
                          <w:p w14:paraId="23EF98B0" w14:textId="77777777" w:rsidR="00D66738" w:rsidRDefault="00D66738" w:rsidP="004A172A">
                            <w:pPr>
                              <w:widowControl w:val="0"/>
                              <w:rPr>
                                <w:color w:val="000000"/>
                                <w:sz w:val="20"/>
                                <w:szCs w:val="20"/>
                              </w:rPr>
                            </w:pPr>
                            <w:r>
                              <w:t> </w:t>
                            </w:r>
                          </w:p>
                          <w:p w14:paraId="39C16484" w14:textId="77777777" w:rsidR="00D66738" w:rsidRDefault="00D66738" w:rsidP="004A172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548AC" id="_x0000_t202" coordsize="21600,21600" o:spt="202" path="m,l,21600r21600,l21600,xe">
                <v:stroke joinstyle="miter"/>
                <v:path gradientshapeok="t" o:connecttype="rect"/>
              </v:shapetype>
              <v:shape id="Text Box 8" o:spid="_x0000_s1026" type="#_x0000_t202" style="position:absolute;left:0;text-align:left;margin-left:0;margin-top:-81.75pt;width:147.75pt;height:1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" fillcolor="#1b5068" stroked="f">
                <v:textbox inset=",7.2pt,,7.2pt">
                  <w:txbxContent>
                    <w:p w14:paraId="1F6F4081" w14:textId="77777777" w:rsidR="00D66738" w:rsidRDefault="00D66738" w:rsidP="004A172A">
                      <w:pPr>
                        <w:widowControl w:val="0"/>
                        <w:spacing w:line="264" w:lineRule="auto"/>
                        <w:jc w:val="center"/>
                        <w:rPr>
                          <w:b/>
                          <w:bCs/>
                          <w:color w:val="FFFFFF"/>
                        </w:rPr>
                      </w:pPr>
                    </w:p>
                    <w:p w14:paraId="0A0A4665" w14:textId="77777777" w:rsidR="00D66738" w:rsidRDefault="00D66738" w:rsidP="004A172A">
                      <w:pPr>
                        <w:widowControl w:val="0"/>
                        <w:spacing w:line="264" w:lineRule="auto"/>
                        <w:jc w:val="center"/>
                        <w:rPr>
                          <w:b/>
                          <w:bCs/>
                          <w:color w:val="FFFFFF"/>
                        </w:rPr>
                      </w:pPr>
                    </w:p>
                    <w:p w14:paraId="473B46A4" w14:textId="77777777" w:rsidR="00D66738" w:rsidRDefault="00D66738" w:rsidP="004A172A">
                      <w:pPr>
                        <w:widowControl w:val="0"/>
                        <w:spacing w:line="264" w:lineRule="auto"/>
                        <w:jc w:val="center"/>
                        <w:rPr>
                          <w:b/>
                          <w:bCs/>
                          <w:color w:val="FFFFFF"/>
                        </w:rPr>
                      </w:pPr>
                    </w:p>
                    <w:p w14:paraId="4811D306" w14:textId="77777777" w:rsidR="00D66738" w:rsidRDefault="00D66738" w:rsidP="004A172A">
                      <w:pPr>
                        <w:widowControl w:val="0"/>
                        <w:spacing w:after="120" w:line="264" w:lineRule="auto"/>
                        <w:ind w:left="284" w:right="284"/>
                        <w:jc w:val="center"/>
                        <w:rPr>
                          <w:b/>
                          <w:bCs/>
                          <w:color w:val="FFFFFF"/>
                        </w:rPr>
                      </w:pPr>
                    </w:p>
                    <w:p w14:paraId="6ED97806" w14:textId="77777777" w:rsidR="00D66738" w:rsidRDefault="00D66738" w:rsidP="004A172A">
                      <w:pPr>
                        <w:widowControl w:val="0"/>
                        <w:spacing w:after="120" w:line="264" w:lineRule="auto"/>
                        <w:ind w:left="284" w:right="284"/>
                        <w:jc w:val="center"/>
                        <w:rPr>
                          <w:b/>
                          <w:bCs/>
                          <w:color w:val="FFFFFF"/>
                        </w:rPr>
                      </w:pPr>
                    </w:p>
                    <w:p w14:paraId="27DE7F22" w14:textId="77777777" w:rsidR="00D66738" w:rsidRDefault="00D66738" w:rsidP="004A172A">
                      <w:pPr>
                        <w:widowControl w:val="0"/>
                        <w:spacing w:after="120" w:line="264" w:lineRule="auto"/>
                        <w:ind w:left="284" w:right="284"/>
                        <w:jc w:val="center"/>
                        <w:rPr>
                          <w:b/>
                          <w:bCs/>
                          <w:color w:val="FFFFFF"/>
                        </w:rPr>
                      </w:pPr>
                    </w:p>
                    <w:p w14:paraId="1DC0060F" w14:textId="77777777" w:rsidR="00D66738" w:rsidRDefault="00D66738" w:rsidP="004A172A">
                      <w:pPr>
                        <w:widowControl w:val="0"/>
                        <w:spacing w:after="120" w:line="264" w:lineRule="auto"/>
                        <w:ind w:left="284" w:right="284"/>
                        <w:jc w:val="center"/>
                        <w:rPr>
                          <w:b/>
                          <w:bCs/>
                          <w:color w:val="FFFFFF"/>
                        </w:rPr>
                      </w:pPr>
                    </w:p>
                    <w:p w14:paraId="6AB52498" w14:textId="77777777" w:rsidR="00D66738" w:rsidRDefault="00D66738" w:rsidP="004A172A">
                      <w:pPr>
                        <w:widowControl w:val="0"/>
                        <w:spacing w:after="120" w:line="264" w:lineRule="auto"/>
                        <w:ind w:left="284" w:right="284"/>
                        <w:jc w:val="center"/>
                        <w:rPr>
                          <w:b/>
                          <w:bCs/>
                          <w:color w:val="FFFFFF"/>
                        </w:rPr>
                      </w:pPr>
                    </w:p>
                    <w:p w14:paraId="4249CF6F" w14:textId="77777777" w:rsidR="00D66738" w:rsidRDefault="00D66738" w:rsidP="004A172A">
                      <w:pPr>
                        <w:widowControl w:val="0"/>
                        <w:spacing w:after="120" w:line="264" w:lineRule="auto"/>
                        <w:ind w:left="284" w:right="284"/>
                        <w:jc w:val="center"/>
                        <w:rPr>
                          <w:b/>
                          <w:bCs/>
                          <w:color w:val="FFFFFF"/>
                        </w:rPr>
                      </w:pPr>
                    </w:p>
                    <w:p w14:paraId="24A7A49A" w14:textId="77777777" w:rsidR="00D66738" w:rsidRDefault="00D66738" w:rsidP="004A172A">
                      <w:pPr>
                        <w:widowControl w:val="0"/>
                        <w:spacing w:after="120" w:line="264" w:lineRule="auto"/>
                        <w:ind w:left="284" w:right="284"/>
                        <w:jc w:val="center"/>
                        <w:rPr>
                          <w:b/>
                          <w:bCs/>
                          <w:color w:val="FFFFFF"/>
                        </w:rPr>
                      </w:pPr>
                    </w:p>
                    <w:p w14:paraId="4E62622A" w14:textId="77777777" w:rsidR="00D66738" w:rsidRDefault="00D66738" w:rsidP="004A172A">
                      <w:pPr>
                        <w:widowControl w:val="0"/>
                        <w:spacing w:after="120" w:line="264" w:lineRule="auto"/>
                        <w:ind w:left="284" w:right="284"/>
                        <w:jc w:val="center"/>
                        <w:rPr>
                          <w:b/>
                          <w:bCs/>
                          <w:color w:val="FFFFFF"/>
                        </w:rPr>
                      </w:pPr>
                    </w:p>
                    <w:p w14:paraId="2F5CC445" w14:textId="77777777" w:rsidR="00D66738" w:rsidRDefault="00D66738" w:rsidP="004A172A">
                      <w:pPr>
                        <w:widowControl w:val="0"/>
                        <w:spacing w:after="120" w:line="264" w:lineRule="auto"/>
                        <w:ind w:left="284" w:right="284"/>
                        <w:jc w:val="center"/>
                        <w:rPr>
                          <w:b/>
                          <w:bCs/>
                          <w:color w:val="FFFFFF"/>
                        </w:rPr>
                      </w:pPr>
                    </w:p>
                    <w:p w14:paraId="14E24AD5" w14:textId="77777777" w:rsidR="00D66738" w:rsidRDefault="00D66738" w:rsidP="004A172A">
                      <w:pPr>
                        <w:widowControl w:val="0"/>
                        <w:spacing w:after="120" w:line="264" w:lineRule="auto"/>
                        <w:ind w:left="284" w:right="284"/>
                        <w:jc w:val="center"/>
                        <w:rPr>
                          <w:b/>
                          <w:bCs/>
                          <w:color w:val="FFFFFF"/>
                        </w:rPr>
                      </w:pPr>
                    </w:p>
                    <w:p w14:paraId="485D96F5" w14:textId="77777777" w:rsidR="00D66738" w:rsidRDefault="00D66738" w:rsidP="004A172A">
                      <w:pPr>
                        <w:widowControl w:val="0"/>
                        <w:spacing w:before="240" w:after="200" w:line="264" w:lineRule="auto"/>
                        <w:ind w:left="288" w:right="288"/>
                        <w:jc w:val="center"/>
                        <w:rPr>
                          <w:b/>
                          <w:bCs/>
                          <w:color w:val="FFFFFF"/>
                        </w:rPr>
                      </w:pPr>
                      <w:r>
                        <w:rPr>
                          <w:b/>
                          <w:bCs/>
                          <w:color w:val="FFFFFF"/>
                        </w:rPr>
                        <w:t xml:space="preserve">Trade &amp; Industrial Policy Strategies (TIPS) is a research </w:t>
                      </w:r>
                      <w:r>
                        <w:rPr>
                          <w:b/>
                          <w:bCs/>
                          <w:color w:val="FFFFFF"/>
                        </w:rPr>
                        <w:br/>
                        <w:t>organisation  that facilitates policy development and dialogue across three  focus  areas: trade and industrial policy,  inequality  and economic inclusion, and sustainable growth</w:t>
                      </w:r>
                    </w:p>
                    <w:p w14:paraId="49751D14" w14:textId="77777777" w:rsidR="00D66738" w:rsidRDefault="00D66738" w:rsidP="004A172A">
                      <w:pPr>
                        <w:widowControl w:val="0"/>
                        <w:spacing w:after="120" w:line="264" w:lineRule="auto"/>
                        <w:ind w:left="284" w:right="284"/>
                        <w:jc w:val="center"/>
                        <w:rPr>
                          <w:b/>
                          <w:bCs/>
                          <w:color w:val="FFFFFF"/>
                        </w:rPr>
                      </w:pPr>
                    </w:p>
                    <w:p w14:paraId="2CE96D92" w14:textId="13695207" w:rsidR="00D66738" w:rsidRDefault="00D66738" w:rsidP="004A172A">
                      <w:pPr>
                        <w:widowControl w:val="0"/>
                        <w:tabs>
                          <w:tab w:val="left" w:pos="-31680"/>
                        </w:tabs>
                        <w:spacing w:before="0" w:line="264" w:lineRule="auto"/>
                        <w:ind w:left="288" w:right="288"/>
                        <w:jc w:val="center"/>
                        <w:rPr>
                          <w:b/>
                          <w:bCs/>
                          <w:color w:val="FFFFFF"/>
                        </w:rPr>
                      </w:pPr>
                      <w:r>
                        <w:rPr>
                          <w:b/>
                          <w:bCs/>
                          <w:color w:val="FFFFFF"/>
                        </w:rPr>
                        <w:t>mbongeni@tips.org.za</w:t>
                      </w:r>
                    </w:p>
                    <w:p w14:paraId="121D43B2" w14:textId="77777777" w:rsidR="00D66738" w:rsidRDefault="00D66738" w:rsidP="004A172A">
                      <w:pPr>
                        <w:widowControl w:val="0"/>
                        <w:tabs>
                          <w:tab w:val="left" w:pos="-31680"/>
                        </w:tabs>
                        <w:spacing w:before="0" w:line="264" w:lineRule="auto"/>
                        <w:ind w:left="288" w:right="288"/>
                        <w:jc w:val="center"/>
                        <w:rPr>
                          <w:b/>
                          <w:bCs/>
                          <w:color w:val="FFFFFF"/>
                        </w:rPr>
                      </w:pPr>
                      <w:r>
                        <w:rPr>
                          <w:b/>
                          <w:bCs/>
                          <w:color w:val="FFFFFF"/>
                        </w:rPr>
                        <w:t>+27 12 433 9340</w:t>
                      </w:r>
                    </w:p>
                    <w:p w14:paraId="07BACC59" w14:textId="77777777" w:rsidR="00D66738" w:rsidRDefault="00D66738" w:rsidP="004A172A">
                      <w:pPr>
                        <w:widowControl w:val="0"/>
                        <w:tabs>
                          <w:tab w:val="left" w:pos="-31680"/>
                        </w:tabs>
                        <w:spacing w:before="0" w:line="264" w:lineRule="auto"/>
                        <w:ind w:left="288" w:right="288"/>
                        <w:jc w:val="center"/>
                        <w:rPr>
                          <w:b/>
                          <w:bCs/>
                          <w:color w:val="FFFFFF"/>
                        </w:rPr>
                      </w:pPr>
                      <w:r>
                        <w:rPr>
                          <w:b/>
                          <w:bCs/>
                          <w:color w:val="FFFFFF"/>
                        </w:rPr>
                        <w:t>www.tips.org.za</w:t>
                      </w:r>
                    </w:p>
                    <w:p w14:paraId="243E2D27" w14:textId="77777777" w:rsidR="00D66738" w:rsidRDefault="00D66738" w:rsidP="004A172A">
                      <w:pPr>
                        <w:widowControl w:val="0"/>
                        <w:tabs>
                          <w:tab w:val="left" w:pos="-31680"/>
                        </w:tabs>
                        <w:ind w:left="170" w:right="170"/>
                        <w:jc w:val="center"/>
                        <w:rPr>
                          <w:b/>
                          <w:bCs/>
                          <w:color w:val="FFFFFF"/>
                        </w:rPr>
                      </w:pPr>
                    </w:p>
                    <w:p w14:paraId="0056FB34" w14:textId="77777777" w:rsidR="00D66738" w:rsidRDefault="00D66738" w:rsidP="004A172A">
                      <w:pPr>
                        <w:widowControl w:val="0"/>
                        <w:tabs>
                          <w:tab w:val="left" w:pos="-31680"/>
                        </w:tabs>
                        <w:spacing w:line="264" w:lineRule="auto"/>
                        <w:ind w:left="170" w:right="170"/>
                        <w:jc w:val="center"/>
                        <w:rPr>
                          <w:b/>
                          <w:bCs/>
                          <w:color w:val="FFFFFF"/>
                        </w:rPr>
                      </w:pPr>
                    </w:p>
                    <w:p w14:paraId="23EF98B0" w14:textId="77777777" w:rsidR="00D66738" w:rsidRDefault="00D66738" w:rsidP="004A172A">
                      <w:pPr>
                        <w:widowControl w:val="0"/>
                        <w:rPr>
                          <w:color w:val="000000"/>
                          <w:sz w:val="20"/>
                          <w:szCs w:val="20"/>
                        </w:rPr>
                      </w:pPr>
                      <w:r>
                        <w:t> </w:t>
                      </w:r>
                    </w:p>
                    <w:p w14:paraId="39C16484" w14:textId="77777777" w:rsidR="00D66738" w:rsidRDefault="00D66738" w:rsidP="004A172A"/>
                  </w:txbxContent>
                </v:textbox>
                <w10:wrap anchorx="page"/>
              </v:shape>
            </w:pict>
          </mc:Fallback>
        </mc:AlternateContent>
      </w:r>
    </w:p>
    <w:p w14:paraId="1FE8E39B" w14:textId="77777777" w:rsidR="004A172A" w:rsidRPr="003E1A98" w:rsidRDefault="004A172A" w:rsidP="00D66738">
      <w:pPr>
        <w:pStyle w:val="TitlePage"/>
        <w:spacing w:after="120" w:line="264" w:lineRule="auto"/>
        <w:jc w:val="right"/>
        <w:rPr>
          <w:rFonts w:asciiTheme="minorHAnsi" w:hAnsiTheme="minorHAnsi"/>
          <w:caps/>
          <w:szCs w:val="24"/>
          <w:lang w:val="en-GB"/>
        </w:rPr>
      </w:pPr>
    </w:p>
    <w:p w14:paraId="447081C8" w14:textId="77777777" w:rsidR="004A172A" w:rsidRDefault="004A172A" w:rsidP="00D66738">
      <w:pPr>
        <w:spacing w:before="360" w:after="200"/>
        <w:ind w:left="3261" w:hanging="3261"/>
        <w:jc w:val="right"/>
        <w:rPr>
          <w:rFonts w:eastAsiaTheme="majorEastAsia" w:cstheme="majorBidi"/>
          <w:b/>
          <w:bCs/>
          <w:color w:val="1B5068"/>
          <w:sz w:val="32"/>
          <w:szCs w:val="32"/>
        </w:rPr>
      </w:pPr>
    </w:p>
    <w:p w14:paraId="2B2FB2A5" w14:textId="3037EE70" w:rsidR="004A172A" w:rsidRDefault="004A172A" w:rsidP="00D66738">
      <w:pPr>
        <w:spacing w:before="360" w:line="288" w:lineRule="auto"/>
        <w:ind w:left="3260" w:hanging="3260"/>
        <w:jc w:val="right"/>
        <w:rPr>
          <w:rFonts w:eastAsiaTheme="majorEastAsia" w:cstheme="majorBidi"/>
          <w:b/>
          <w:bCs/>
          <w:color w:val="1B5068"/>
          <w:sz w:val="32"/>
          <w:szCs w:val="32"/>
        </w:rPr>
      </w:pPr>
      <w:r>
        <w:rPr>
          <w:rFonts w:eastAsiaTheme="majorEastAsia" w:cstheme="majorBidi"/>
          <w:b/>
          <w:bCs/>
          <w:color w:val="1B5068"/>
          <w:sz w:val="32"/>
          <w:szCs w:val="32"/>
        </w:rPr>
        <w:t>FINAL REPORT</w:t>
      </w:r>
    </w:p>
    <w:p w14:paraId="752479FE" w14:textId="77777777" w:rsidR="004A172A" w:rsidRPr="006B0356" w:rsidRDefault="004A172A" w:rsidP="00D66738">
      <w:pPr>
        <w:pStyle w:val="TitlePage"/>
        <w:spacing w:after="120" w:line="264" w:lineRule="auto"/>
        <w:jc w:val="right"/>
        <w:rPr>
          <w:rFonts w:asciiTheme="minorHAnsi" w:eastAsiaTheme="majorEastAsia" w:hAnsiTheme="minorHAnsi" w:cstheme="majorBidi"/>
          <w:b/>
          <w:bCs/>
          <w:caps/>
          <w:color w:val="1B5068"/>
          <w:sz w:val="32"/>
          <w:szCs w:val="32"/>
        </w:rPr>
      </w:pPr>
      <w:r w:rsidRPr="006B0356">
        <w:rPr>
          <w:rFonts w:asciiTheme="minorHAnsi" w:eastAsiaTheme="majorEastAsia" w:hAnsiTheme="minorHAnsi" w:cstheme="majorBidi"/>
          <w:b/>
          <w:bCs/>
          <w:caps/>
          <w:color w:val="1B5068"/>
          <w:sz w:val="32"/>
          <w:szCs w:val="32"/>
        </w:rPr>
        <w:t>Regulatory burdens</w:t>
      </w:r>
      <w:r>
        <w:rPr>
          <w:rFonts w:asciiTheme="minorHAnsi" w:eastAsiaTheme="majorEastAsia" w:hAnsiTheme="minorHAnsi" w:cstheme="majorBidi"/>
          <w:b/>
          <w:bCs/>
          <w:caps/>
          <w:color w:val="1B5068"/>
          <w:sz w:val="32"/>
          <w:szCs w:val="32"/>
        </w:rPr>
        <w:t xml:space="preserve"> on Small Business: Options for </w:t>
      </w:r>
      <w:r w:rsidRPr="006B0356">
        <w:rPr>
          <w:rFonts w:asciiTheme="minorHAnsi" w:eastAsiaTheme="majorEastAsia" w:hAnsiTheme="minorHAnsi" w:cstheme="majorBidi"/>
          <w:b/>
          <w:bCs/>
          <w:caps/>
          <w:color w:val="1B5068"/>
          <w:sz w:val="32"/>
          <w:szCs w:val="32"/>
        </w:rPr>
        <w:t>improvement</w:t>
      </w:r>
      <w:r w:rsidRPr="00211340">
        <w:rPr>
          <w:rFonts w:asciiTheme="minorHAnsi" w:eastAsiaTheme="majorEastAsia" w:hAnsiTheme="minorHAnsi" w:cstheme="majorBidi"/>
          <w:b/>
          <w:bCs/>
          <w:caps/>
          <w:color w:val="1B5068"/>
          <w:sz w:val="32"/>
          <w:szCs w:val="32"/>
        </w:rPr>
        <w:br/>
      </w:r>
    </w:p>
    <w:p w14:paraId="1369099A" w14:textId="77777777" w:rsidR="004A172A" w:rsidRDefault="004A172A" w:rsidP="00D66738">
      <w:pPr>
        <w:spacing w:line="276" w:lineRule="auto"/>
        <w:ind w:left="432" w:right="432"/>
        <w:jc w:val="right"/>
        <w:rPr>
          <w:b/>
          <w:color w:val="1B5068"/>
          <w:sz w:val="32"/>
          <w:szCs w:val="32"/>
        </w:rPr>
      </w:pPr>
    </w:p>
    <w:p w14:paraId="3FA20408" w14:textId="77777777" w:rsidR="004A172A" w:rsidRDefault="004A172A" w:rsidP="00D66738">
      <w:pPr>
        <w:spacing w:line="276" w:lineRule="auto"/>
        <w:ind w:left="432" w:right="432"/>
        <w:jc w:val="right"/>
        <w:rPr>
          <w:b/>
          <w:color w:val="1B5068"/>
          <w:sz w:val="32"/>
          <w:szCs w:val="32"/>
        </w:rPr>
      </w:pPr>
    </w:p>
    <w:p w14:paraId="45816B64" w14:textId="77777777" w:rsidR="004A172A" w:rsidRDefault="004A172A" w:rsidP="00D66738">
      <w:pPr>
        <w:spacing w:before="0" w:line="276" w:lineRule="auto"/>
        <w:jc w:val="right"/>
        <w:rPr>
          <w:b/>
          <w:color w:val="1B5068"/>
          <w:sz w:val="32"/>
          <w:szCs w:val="32"/>
        </w:rPr>
      </w:pPr>
    </w:p>
    <w:p w14:paraId="1101B5EB" w14:textId="77777777" w:rsidR="004A172A" w:rsidRPr="0027025F" w:rsidRDefault="004A172A" w:rsidP="00D66738">
      <w:pPr>
        <w:spacing w:before="0" w:line="276" w:lineRule="auto"/>
        <w:jc w:val="right"/>
        <w:rPr>
          <w:b/>
          <w:color w:val="1B5068"/>
          <w:sz w:val="32"/>
          <w:szCs w:val="32"/>
        </w:rPr>
      </w:pPr>
      <w:r>
        <w:rPr>
          <w:b/>
          <w:color w:val="1B5068"/>
          <w:sz w:val="32"/>
          <w:szCs w:val="32"/>
        </w:rPr>
        <w:t xml:space="preserve"> April 2017</w:t>
      </w:r>
    </w:p>
    <w:p w14:paraId="09ACC301" w14:textId="77777777" w:rsidR="004A172A" w:rsidRDefault="004A172A" w:rsidP="00D66738">
      <w:pPr>
        <w:jc w:val="right"/>
      </w:pPr>
    </w:p>
    <w:p w14:paraId="43C1AD8B" w14:textId="77777777" w:rsidR="004A172A" w:rsidRDefault="004A172A" w:rsidP="00D66738">
      <w:pPr>
        <w:jc w:val="right"/>
      </w:pPr>
    </w:p>
    <w:p w14:paraId="782B7F77" w14:textId="77777777" w:rsidR="004A172A" w:rsidRDefault="004A172A" w:rsidP="00D66738">
      <w:pPr>
        <w:jc w:val="right"/>
      </w:pPr>
    </w:p>
    <w:p w14:paraId="37C5ED7E" w14:textId="77777777" w:rsidR="004A172A" w:rsidRDefault="004A172A" w:rsidP="00D66738">
      <w:pPr>
        <w:jc w:val="both"/>
      </w:pPr>
    </w:p>
    <w:p w14:paraId="3F34DEF4" w14:textId="77777777" w:rsidR="004A172A" w:rsidRDefault="004A172A" w:rsidP="00D66738">
      <w:pPr>
        <w:jc w:val="both"/>
      </w:pPr>
    </w:p>
    <w:p w14:paraId="6A5A0ADC" w14:textId="77777777" w:rsidR="004A172A" w:rsidRDefault="004A172A" w:rsidP="00D66738">
      <w:pPr>
        <w:jc w:val="both"/>
      </w:pPr>
    </w:p>
    <w:p w14:paraId="1B5F7A0F" w14:textId="77777777" w:rsidR="004A172A" w:rsidRDefault="004A172A" w:rsidP="00D66738">
      <w:pPr>
        <w:jc w:val="both"/>
      </w:pPr>
    </w:p>
    <w:p w14:paraId="38DA46A6" w14:textId="77777777" w:rsidR="004A172A" w:rsidRDefault="004A172A" w:rsidP="00D66738">
      <w:pPr>
        <w:jc w:val="both"/>
      </w:pPr>
    </w:p>
    <w:p w14:paraId="28D526CC" w14:textId="77777777" w:rsidR="004A172A" w:rsidRDefault="004A172A" w:rsidP="00D66738">
      <w:pPr>
        <w:jc w:val="both"/>
        <w:sectPr w:rsidR="004A172A" w:rsidSect="00CE0352">
          <w:footerReference w:type="default" r:id="rId9"/>
          <w:footerReference w:type="first" r:id="rId10"/>
          <w:pgSz w:w="11906" w:h="16838"/>
          <w:pgMar w:top="1440" w:right="1440" w:bottom="1440" w:left="3544" w:header="708" w:footer="708" w:gutter="0"/>
          <w:pgNumType w:fmt="lowerRoman"/>
          <w:cols w:space="708"/>
          <w:titlePg/>
          <w:docGrid w:linePitch="360"/>
        </w:sectPr>
      </w:pPr>
    </w:p>
    <w:p w14:paraId="1E8ECFAE" w14:textId="720DC80A" w:rsidR="006B0356" w:rsidRPr="005167C0" w:rsidRDefault="005167C0" w:rsidP="00D66738">
      <w:pPr>
        <w:spacing w:after="240"/>
        <w:jc w:val="both"/>
        <w:rPr>
          <w:b/>
          <w:sz w:val="28"/>
        </w:rPr>
      </w:pPr>
      <w:r w:rsidRPr="005167C0">
        <w:rPr>
          <w:b/>
          <w:sz w:val="28"/>
        </w:rPr>
        <w:lastRenderedPageBreak/>
        <w:t xml:space="preserve">CONTENTS </w:t>
      </w:r>
    </w:p>
    <w:p w14:paraId="2B20C9C0" w14:textId="02EA035F" w:rsidR="0077260B" w:rsidRDefault="009F2BC3" w:rsidP="00D66738">
      <w:pPr>
        <w:pStyle w:val="TOC1"/>
        <w:tabs>
          <w:tab w:val="right" w:leader="dot" w:pos="9038"/>
        </w:tabs>
        <w:jc w:val="both"/>
        <w:rPr>
          <w:rFonts w:eastAsiaTheme="minorEastAsia"/>
          <w:b w:val="0"/>
          <w:bCs w:val="0"/>
          <w:caps w:val="0"/>
          <w:noProof/>
          <w:color w:val="auto"/>
          <w:sz w:val="22"/>
          <w:szCs w:val="22"/>
          <w:lang w:eastAsia="en-ZA"/>
        </w:rPr>
      </w:pPr>
      <w:r>
        <w:rPr>
          <w:rFonts w:ascii="Calibri" w:eastAsia="Calibri" w:hAnsi="Calibri" w:cs="Times New Roman"/>
          <w:b w:val="0"/>
          <w:noProof/>
          <w:sz w:val="28"/>
          <w:szCs w:val="28"/>
        </w:rPr>
        <w:fldChar w:fldCharType="begin"/>
      </w:r>
      <w:r>
        <w:rPr>
          <w:rFonts w:ascii="Calibri" w:eastAsia="Calibri" w:hAnsi="Calibri" w:cs="Times New Roman"/>
          <w:b w:val="0"/>
          <w:noProof/>
          <w:sz w:val="28"/>
          <w:szCs w:val="28"/>
        </w:rPr>
        <w:instrText xml:space="preserve"> TOC \o "1-3" \u </w:instrText>
      </w:r>
      <w:r>
        <w:rPr>
          <w:rFonts w:ascii="Calibri" w:eastAsia="Calibri" w:hAnsi="Calibri" w:cs="Times New Roman"/>
          <w:b w:val="0"/>
          <w:noProof/>
          <w:sz w:val="28"/>
          <w:szCs w:val="28"/>
        </w:rPr>
        <w:fldChar w:fldCharType="separate"/>
      </w:r>
      <w:r w:rsidR="0077260B" w:rsidRPr="00D84931">
        <w:rPr>
          <w:rFonts w:ascii="Calibri" w:hAnsi="Calibri"/>
          <w:noProof/>
          <w:color w:val="1B5068"/>
        </w:rPr>
        <w:t>Abbreviations</w:t>
      </w:r>
      <w:r w:rsidR="0077260B">
        <w:rPr>
          <w:noProof/>
        </w:rPr>
        <w:tab/>
      </w:r>
      <w:r w:rsidR="0077260B">
        <w:rPr>
          <w:noProof/>
        </w:rPr>
        <w:fldChar w:fldCharType="begin"/>
      </w:r>
      <w:r w:rsidR="0077260B">
        <w:rPr>
          <w:noProof/>
        </w:rPr>
        <w:instrText xml:space="preserve"> PAGEREF _Toc479940788 \h </w:instrText>
      </w:r>
      <w:r w:rsidR="0077260B">
        <w:rPr>
          <w:noProof/>
        </w:rPr>
      </w:r>
      <w:r w:rsidR="0077260B">
        <w:rPr>
          <w:noProof/>
        </w:rPr>
        <w:fldChar w:fldCharType="separate"/>
      </w:r>
      <w:r w:rsidR="005062E7">
        <w:rPr>
          <w:noProof/>
        </w:rPr>
        <w:t>v</w:t>
      </w:r>
      <w:r w:rsidR="0077260B">
        <w:rPr>
          <w:noProof/>
        </w:rPr>
        <w:fldChar w:fldCharType="end"/>
      </w:r>
    </w:p>
    <w:p w14:paraId="23E8A57D" w14:textId="3F5A5EB9" w:rsidR="0077260B" w:rsidRDefault="0077260B" w:rsidP="00D66738">
      <w:pPr>
        <w:pStyle w:val="TOC1"/>
        <w:tabs>
          <w:tab w:val="right" w:leader="dot" w:pos="9038"/>
        </w:tabs>
        <w:jc w:val="both"/>
        <w:rPr>
          <w:rFonts w:eastAsiaTheme="minorEastAsia"/>
          <w:b w:val="0"/>
          <w:bCs w:val="0"/>
          <w:caps w:val="0"/>
          <w:noProof/>
          <w:color w:val="auto"/>
          <w:sz w:val="22"/>
          <w:szCs w:val="22"/>
          <w:lang w:eastAsia="en-ZA"/>
        </w:rPr>
      </w:pPr>
      <w:r w:rsidRPr="00D84931">
        <w:rPr>
          <w:noProof/>
          <w:color w:val="1F497D" w:themeColor="text2"/>
        </w:rPr>
        <w:t>EXECUTIVE SUMMARY</w:t>
      </w:r>
      <w:r>
        <w:rPr>
          <w:noProof/>
        </w:rPr>
        <w:tab/>
      </w:r>
      <w:r>
        <w:rPr>
          <w:noProof/>
        </w:rPr>
        <w:fldChar w:fldCharType="begin"/>
      </w:r>
      <w:r>
        <w:rPr>
          <w:noProof/>
        </w:rPr>
        <w:instrText xml:space="preserve"> PAGEREF _Toc479940789 \h </w:instrText>
      </w:r>
      <w:r>
        <w:rPr>
          <w:noProof/>
        </w:rPr>
      </w:r>
      <w:r>
        <w:rPr>
          <w:noProof/>
        </w:rPr>
        <w:fldChar w:fldCharType="separate"/>
      </w:r>
      <w:r w:rsidR="005062E7">
        <w:rPr>
          <w:noProof/>
        </w:rPr>
        <w:t>1</w:t>
      </w:r>
      <w:r>
        <w:rPr>
          <w:noProof/>
        </w:rPr>
        <w:fldChar w:fldCharType="end"/>
      </w:r>
    </w:p>
    <w:p w14:paraId="2F2184FA" w14:textId="1376CFE0"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1.</w:t>
      </w:r>
      <w:r>
        <w:rPr>
          <w:rFonts w:eastAsiaTheme="minorEastAsia"/>
          <w:b w:val="0"/>
          <w:bCs w:val="0"/>
          <w:caps w:val="0"/>
          <w:noProof/>
          <w:color w:val="auto"/>
          <w:sz w:val="22"/>
          <w:szCs w:val="22"/>
          <w:lang w:eastAsia="en-ZA"/>
        </w:rPr>
        <w:tab/>
      </w:r>
      <w:r w:rsidRPr="00D84931">
        <w:rPr>
          <w:rFonts w:ascii="Calibri" w:hAnsi="Calibri"/>
          <w:noProof/>
          <w:color w:val="1B5068"/>
        </w:rPr>
        <w:t>Background and aims</w:t>
      </w:r>
      <w:r>
        <w:rPr>
          <w:noProof/>
        </w:rPr>
        <w:tab/>
      </w:r>
      <w:r>
        <w:rPr>
          <w:noProof/>
        </w:rPr>
        <w:fldChar w:fldCharType="begin"/>
      </w:r>
      <w:r>
        <w:rPr>
          <w:noProof/>
        </w:rPr>
        <w:instrText xml:space="preserve"> PAGEREF _Toc479940790 \h </w:instrText>
      </w:r>
      <w:r>
        <w:rPr>
          <w:noProof/>
        </w:rPr>
      </w:r>
      <w:r>
        <w:rPr>
          <w:noProof/>
        </w:rPr>
        <w:fldChar w:fldCharType="separate"/>
      </w:r>
      <w:r w:rsidR="005062E7">
        <w:rPr>
          <w:noProof/>
        </w:rPr>
        <w:t>1</w:t>
      </w:r>
      <w:r>
        <w:rPr>
          <w:noProof/>
        </w:rPr>
        <w:fldChar w:fldCharType="end"/>
      </w:r>
    </w:p>
    <w:p w14:paraId="33F7391F" w14:textId="48DC5B9E"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2.</w:t>
      </w:r>
      <w:r>
        <w:rPr>
          <w:rFonts w:eastAsiaTheme="minorEastAsia"/>
          <w:b w:val="0"/>
          <w:bCs w:val="0"/>
          <w:caps w:val="0"/>
          <w:noProof/>
          <w:color w:val="auto"/>
          <w:sz w:val="22"/>
          <w:szCs w:val="22"/>
          <w:lang w:eastAsia="en-ZA"/>
        </w:rPr>
        <w:tab/>
      </w:r>
      <w:r w:rsidRPr="00D84931">
        <w:rPr>
          <w:rFonts w:ascii="Calibri" w:hAnsi="Calibri"/>
          <w:noProof/>
          <w:color w:val="1B5068"/>
        </w:rPr>
        <w:t>Scope and methodology</w:t>
      </w:r>
      <w:r>
        <w:rPr>
          <w:noProof/>
        </w:rPr>
        <w:tab/>
      </w:r>
      <w:r>
        <w:rPr>
          <w:noProof/>
        </w:rPr>
        <w:fldChar w:fldCharType="begin"/>
      </w:r>
      <w:r>
        <w:rPr>
          <w:noProof/>
        </w:rPr>
        <w:instrText xml:space="preserve"> PAGEREF _Toc479940791 \h </w:instrText>
      </w:r>
      <w:r>
        <w:rPr>
          <w:noProof/>
        </w:rPr>
      </w:r>
      <w:r>
        <w:rPr>
          <w:noProof/>
        </w:rPr>
        <w:fldChar w:fldCharType="separate"/>
      </w:r>
      <w:r w:rsidR="005062E7">
        <w:rPr>
          <w:noProof/>
        </w:rPr>
        <w:t>2</w:t>
      </w:r>
      <w:r>
        <w:rPr>
          <w:noProof/>
        </w:rPr>
        <w:fldChar w:fldCharType="end"/>
      </w:r>
    </w:p>
    <w:p w14:paraId="2E572CFC" w14:textId="2D2FCCFB"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3.</w:t>
      </w:r>
      <w:r>
        <w:rPr>
          <w:rFonts w:eastAsiaTheme="minorEastAsia"/>
          <w:b w:val="0"/>
          <w:bCs w:val="0"/>
          <w:caps w:val="0"/>
          <w:noProof/>
          <w:color w:val="auto"/>
          <w:sz w:val="22"/>
          <w:szCs w:val="22"/>
          <w:lang w:eastAsia="en-ZA"/>
        </w:rPr>
        <w:tab/>
      </w:r>
      <w:r w:rsidRPr="00D84931">
        <w:rPr>
          <w:rFonts w:ascii="Calibri" w:hAnsi="Calibri"/>
          <w:noProof/>
          <w:color w:val="1B5068"/>
        </w:rPr>
        <w:t>Core findings and proposals</w:t>
      </w:r>
      <w:r>
        <w:rPr>
          <w:noProof/>
        </w:rPr>
        <w:tab/>
      </w:r>
      <w:r>
        <w:rPr>
          <w:noProof/>
        </w:rPr>
        <w:fldChar w:fldCharType="begin"/>
      </w:r>
      <w:r>
        <w:rPr>
          <w:noProof/>
        </w:rPr>
        <w:instrText xml:space="preserve"> PAGEREF _Toc479940792 \h </w:instrText>
      </w:r>
      <w:r>
        <w:rPr>
          <w:noProof/>
        </w:rPr>
      </w:r>
      <w:r>
        <w:rPr>
          <w:noProof/>
        </w:rPr>
        <w:fldChar w:fldCharType="separate"/>
      </w:r>
      <w:r w:rsidR="005062E7">
        <w:rPr>
          <w:noProof/>
        </w:rPr>
        <w:t>4</w:t>
      </w:r>
      <w:r>
        <w:rPr>
          <w:noProof/>
        </w:rPr>
        <w:fldChar w:fldCharType="end"/>
      </w:r>
    </w:p>
    <w:p w14:paraId="61658767" w14:textId="6E226D89"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3.1.</w:t>
      </w:r>
      <w:r>
        <w:rPr>
          <w:rFonts w:eastAsiaTheme="minorEastAsia"/>
          <w:smallCaps w:val="0"/>
          <w:noProof/>
          <w:sz w:val="22"/>
          <w:szCs w:val="22"/>
          <w:lang w:eastAsia="en-ZA"/>
        </w:rPr>
        <w:tab/>
      </w:r>
      <w:r>
        <w:rPr>
          <w:noProof/>
        </w:rPr>
        <w:t>Registration and reporting</w:t>
      </w:r>
      <w:r>
        <w:rPr>
          <w:noProof/>
        </w:rPr>
        <w:tab/>
      </w:r>
      <w:r>
        <w:rPr>
          <w:noProof/>
        </w:rPr>
        <w:fldChar w:fldCharType="begin"/>
      </w:r>
      <w:r>
        <w:rPr>
          <w:noProof/>
        </w:rPr>
        <w:instrText xml:space="preserve"> PAGEREF _Toc479940805 \h </w:instrText>
      </w:r>
      <w:r>
        <w:rPr>
          <w:noProof/>
        </w:rPr>
      </w:r>
      <w:r>
        <w:rPr>
          <w:noProof/>
        </w:rPr>
        <w:fldChar w:fldCharType="separate"/>
      </w:r>
      <w:r w:rsidR="005062E7">
        <w:rPr>
          <w:noProof/>
        </w:rPr>
        <w:t>4</w:t>
      </w:r>
      <w:r>
        <w:rPr>
          <w:noProof/>
        </w:rPr>
        <w:fldChar w:fldCharType="end"/>
      </w:r>
    </w:p>
    <w:p w14:paraId="0F085BAE" w14:textId="2594B185"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3.1.1.</w:t>
      </w:r>
      <w:r>
        <w:rPr>
          <w:rFonts w:eastAsiaTheme="minorEastAsia"/>
          <w:i w:val="0"/>
          <w:iCs w:val="0"/>
          <w:noProof/>
          <w:sz w:val="22"/>
          <w:szCs w:val="22"/>
          <w:lang w:eastAsia="en-ZA"/>
        </w:rPr>
        <w:tab/>
      </w:r>
      <w:r>
        <w:rPr>
          <w:noProof/>
        </w:rPr>
        <w:t>Company and co-operatives registration</w:t>
      </w:r>
      <w:r>
        <w:rPr>
          <w:noProof/>
        </w:rPr>
        <w:tab/>
      </w:r>
      <w:r>
        <w:rPr>
          <w:noProof/>
        </w:rPr>
        <w:fldChar w:fldCharType="begin"/>
      </w:r>
      <w:r>
        <w:rPr>
          <w:noProof/>
        </w:rPr>
        <w:instrText xml:space="preserve"> PAGEREF _Toc479940818 \h </w:instrText>
      </w:r>
      <w:r>
        <w:rPr>
          <w:noProof/>
        </w:rPr>
      </w:r>
      <w:r>
        <w:rPr>
          <w:noProof/>
        </w:rPr>
        <w:fldChar w:fldCharType="separate"/>
      </w:r>
      <w:r w:rsidR="005062E7">
        <w:rPr>
          <w:noProof/>
        </w:rPr>
        <w:t>4</w:t>
      </w:r>
      <w:r>
        <w:rPr>
          <w:noProof/>
        </w:rPr>
        <w:fldChar w:fldCharType="end"/>
      </w:r>
    </w:p>
    <w:p w14:paraId="4EB1CCD8" w14:textId="29C72056"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3.1.2.</w:t>
      </w:r>
      <w:r>
        <w:rPr>
          <w:rFonts w:eastAsiaTheme="minorEastAsia"/>
          <w:i w:val="0"/>
          <w:iCs w:val="0"/>
          <w:noProof/>
          <w:sz w:val="22"/>
          <w:szCs w:val="22"/>
          <w:lang w:eastAsia="en-ZA"/>
        </w:rPr>
        <w:tab/>
      </w:r>
      <w:r>
        <w:rPr>
          <w:noProof/>
        </w:rPr>
        <w:t>Taxation</w:t>
      </w:r>
      <w:r>
        <w:rPr>
          <w:noProof/>
        </w:rPr>
        <w:tab/>
      </w:r>
      <w:r>
        <w:rPr>
          <w:noProof/>
        </w:rPr>
        <w:fldChar w:fldCharType="begin"/>
      </w:r>
      <w:r>
        <w:rPr>
          <w:noProof/>
        </w:rPr>
        <w:instrText xml:space="preserve"> PAGEREF _Toc479940819 \h </w:instrText>
      </w:r>
      <w:r>
        <w:rPr>
          <w:noProof/>
        </w:rPr>
      </w:r>
      <w:r>
        <w:rPr>
          <w:noProof/>
        </w:rPr>
        <w:fldChar w:fldCharType="separate"/>
      </w:r>
      <w:r w:rsidR="005062E7">
        <w:rPr>
          <w:noProof/>
        </w:rPr>
        <w:t>6</w:t>
      </w:r>
      <w:r>
        <w:rPr>
          <w:noProof/>
        </w:rPr>
        <w:fldChar w:fldCharType="end"/>
      </w:r>
    </w:p>
    <w:p w14:paraId="160C61DF" w14:textId="72E33DA8"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3.1.3.</w:t>
      </w:r>
      <w:r>
        <w:rPr>
          <w:rFonts w:eastAsiaTheme="minorEastAsia"/>
          <w:i w:val="0"/>
          <w:iCs w:val="0"/>
          <w:noProof/>
          <w:sz w:val="22"/>
          <w:szCs w:val="22"/>
          <w:lang w:eastAsia="en-ZA"/>
        </w:rPr>
        <w:tab/>
      </w:r>
      <w:r>
        <w:rPr>
          <w:noProof/>
        </w:rPr>
        <w:t>Labour registration: UIF, the Compensation Fund and the skills levy</w:t>
      </w:r>
      <w:r>
        <w:rPr>
          <w:noProof/>
        </w:rPr>
        <w:tab/>
      </w:r>
      <w:r>
        <w:rPr>
          <w:noProof/>
        </w:rPr>
        <w:fldChar w:fldCharType="begin"/>
      </w:r>
      <w:r>
        <w:rPr>
          <w:noProof/>
        </w:rPr>
        <w:instrText xml:space="preserve"> PAGEREF _Toc479940820 \h </w:instrText>
      </w:r>
      <w:r>
        <w:rPr>
          <w:noProof/>
        </w:rPr>
      </w:r>
      <w:r>
        <w:rPr>
          <w:noProof/>
        </w:rPr>
        <w:fldChar w:fldCharType="separate"/>
      </w:r>
      <w:r w:rsidR="005062E7">
        <w:rPr>
          <w:noProof/>
        </w:rPr>
        <w:t>7</w:t>
      </w:r>
      <w:r>
        <w:rPr>
          <w:noProof/>
        </w:rPr>
        <w:fldChar w:fldCharType="end"/>
      </w:r>
    </w:p>
    <w:p w14:paraId="741374F6" w14:textId="1A7B5723"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3.2.</w:t>
      </w:r>
      <w:r>
        <w:rPr>
          <w:rFonts w:eastAsiaTheme="minorEastAsia"/>
          <w:smallCaps w:val="0"/>
          <w:noProof/>
          <w:sz w:val="22"/>
          <w:szCs w:val="22"/>
          <w:lang w:eastAsia="en-ZA"/>
        </w:rPr>
        <w:tab/>
      </w:r>
      <w:r>
        <w:rPr>
          <w:noProof/>
        </w:rPr>
        <w:t>State procurement</w:t>
      </w:r>
      <w:r>
        <w:rPr>
          <w:noProof/>
        </w:rPr>
        <w:tab/>
      </w:r>
      <w:r>
        <w:rPr>
          <w:noProof/>
        </w:rPr>
        <w:fldChar w:fldCharType="begin"/>
      </w:r>
      <w:r>
        <w:rPr>
          <w:noProof/>
        </w:rPr>
        <w:instrText xml:space="preserve"> PAGEREF _Toc479940821 \h </w:instrText>
      </w:r>
      <w:r>
        <w:rPr>
          <w:noProof/>
        </w:rPr>
      </w:r>
      <w:r>
        <w:rPr>
          <w:noProof/>
        </w:rPr>
        <w:fldChar w:fldCharType="separate"/>
      </w:r>
      <w:r w:rsidR="005062E7">
        <w:rPr>
          <w:noProof/>
        </w:rPr>
        <w:t>9</w:t>
      </w:r>
      <w:r>
        <w:rPr>
          <w:noProof/>
        </w:rPr>
        <w:fldChar w:fldCharType="end"/>
      </w:r>
    </w:p>
    <w:p w14:paraId="297AF01D" w14:textId="5CA30D77"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3.3.</w:t>
      </w:r>
      <w:r>
        <w:rPr>
          <w:rFonts w:eastAsiaTheme="minorEastAsia"/>
          <w:smallCaps w:val="0"/>
          <w:noProof/>
          <w:sz w:val="22"/>
          <w:szCs w:val="22"/>
          <w:lang w:eastAsia="en-ZA"/>
        </w:rPr>
        <w:tab/>
      </w:r>
      <w:r>
        <w:rPr>
          <w:noProof/>
        </w:rPr>
        <w:t>Construction</w:t>
      </w:r>
      <w:r>
        <w:rPr>
          <w:noProof/>
        </w:rPr>
        <w:tab/>
      </w:r>
      <w:r>
        <w:rPr>
          <w:noProof/>
        </w:rPr>
        <w:fldChar w:fldCharType="begin"/>
      </w:r>
      <w:r>
        <w:rPr>
          <w:noProof/>
        </w:rPr>
        <w:instrText xml:space="preserve"> PAGEREF _Toc479940822 \h </w:instrText>
      </w:r>
      <w:r>
        <w:rPr>
          <w:noProof/>
        </w:rPr>
      </w:r>
      <w:r>
        <w:rPr>
          <w:noProof/>
        </w:rPr>
        <w:fldChar w:fldCharType="separate"/>
      </w:r>
      <w:r w:rsidR="005062E7">
        <w:rPr>
          <w:noProof/>
        </w:rPr>
        <w:t>10</w:t>
      </w:r>
      <w:r>
        <w:rPr>
          <w:noProof/>
        </w:rPr>
        <w:fldChar w:fldCharType="end"/>
      </w:r>
    </w:p>
    <w:p w14:paraId="6C5A4DFE" w14:textId="537CA452"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3.4.</w:t>
      </w:r>
      <w:r>
        <w:rPr>
          <w:rFonts w:eastAsiaTheme="minorEastAsia"/>
          <w:smallCaps w:val="0"/>
          <w:noProof/>
          <w:sz w:val="22"/>
          <w:szCs w:val="22"/>
          <w:lang w:eastAsia="en-ZA"/>
        </w:rPr>
        <w:tab/>
      </w:r>
      <w:r>
        <w:rPr>
          <w:noProof/>
        </w:rPr>
        <w:t>Broad-Based Black Economic Empowerment</w:t>
      </w:r>
      <w:r>
        <w:rPr>
          <w:noProof/>
        </w:rPr>
        <w:tab/>
      </w:r>
      <w:r>
        <w:rPr>
          <w:noProof/>
        </w:rPr>
        <w:fldChar w:fldCharType="begin"/>
      </w:r>
      <w:r>
        <w:rPr>
          <w:noProof/>
        </w:rPr>
        <w:instrText xml:space="preserve"> PAGEREF _Toc479940823 \h </w:instrText>
      </w:r>
      <w:r>
        <w:rPr>
          <w:noProof/>
        </w:rPr>
      </w:r>
      <w:r>
        <w:rPr>
          <w:noProof/>
        </w:rPr>
        <w:fldChar w:fldCharType="separate"/>
      </w:r>
      <w:r w:rsidR="005062E7">
        <w:rPr>
          <w:noProof/>
        </w:rPr>
        <w:t>11</w:t>
      </w:r>
      <w:r>
        <w:rPr>
          <w:noProof/>
        </w:rPr>
        <w:fldChar w:fldCharType="end"/>
      </w:r>
    </w:p>
    <w:p w14:paraId="5F6EF1B9" w14:textId="1EED5032" w:rsidR="0077260B" w:rsidRDefault="0077260B" w:rsidP="00D66738">
      <w:pPr>
        <w:pStyle w:val="TOC1"/>
        <w:tabs>
          <w:tab w:val="right" w:leader="dot" w:pos="9038"/>
        </w:tabs>
        <w:jc w:val="both"/>
        <w:rPr>
          <w:rFonts w:eastAsiaTheme="minorEastAsia"/>
          <w:b w:val="0"/>
          <w:bCs w:val="0"/>
          <w:caps w:val="0"/>
          <w:noProof/>
          <w:color w:val="auto"/>
          <w:sz w:val="22"/>
          <w:szCs w:val="22"/>
          <w:lang w:eastAsia="en-ZA"/>
        </w:rPr>
      </w:pPr>
      <w:r w:rsidRPr="00D84931">
        <w:rPr>
          <w:noProof/>
          <w:color w:val="1F497D" w:themeColor="text2"/>
        </w:rPr>
        <w:t>REGULATORY BURDENS ON SMALL BUSINESS: OPTIONS FOR IMPROVEMENT</w:t>
      </w:r>
      <w:r>
        <w:rPr>
          <w:noProof/>
        </w:rPr>
        <w:tab/>
      </w:r>
      <w:r>
        <w:rPr>
          <w:noProof/>
        </w:rPr>
        <w:fldChar w:fldCharType="begin"/>
      </w:r>
      <w:r>
        <w:rPr>
          <w:noProof/>
        </w:rPr>
        <w:instrText xml:space="preserve"> PAGEREF _Toc479940824 \h </w:instrText>
      </w:r>
      <w:r>
        <w:rPr>
          <w:noProof/>
        </w:rPr>
      </w:r>
      <w:r>
        <w:rPr>
          <w:noProof/>
        </w:rPr>
        <w:fldChar w:fldCharType="separate"/>
      </w:r>
      <w:r w:rsidR="005062E7">
        <w:rPr>
          <w:noProof/>
        </w:rPr>
        <w:t>12</w:t>
      </w:r>
      <w:r>
        <w:rPr>
          <w:noProof/>
        </w:rPr>
        <w:fldChar w:fldCharType="end"/>
      </w:r>
    </w:p>
    <w:p w14:paraId="3E3C2824" w14:textId="1CBD86E8"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1.</w:t>
      </w:r>
      <w:r>
        <w:rPr>
          <w:rFonts w:eastAsiaTheme="minorEastAsia"/>
          <w:b w:val="0"/>
          <w:bCs w:val="0"/>
          <w:caps w:val="0"/>
          <w:noProof/>
          <w:color w:val="auto"/>
          <w:sz w:val="22"/>
          <w:szCs w:val="22"/>
          <w:lang w:eastAsia="en-ZA"/>
        </w:rPr>
        <w:tab/>
      </w:r>
      <w:r w:rsidRPr="00D84931">
        <w:rPr>
          <w:rFonts w:ascii="Calibri" w:hAnsi="Calibri"/>
          <w:noProof/>
          <w:color w:val="1B5068"/>
        </w:rPr>
        <w:t>Aims and deliverables</w:t>
      </w:r>
      <w:r>
        <w:rPr>
          <w:noProof/>
        </w:rPr>
        <w:tab/>
      </w:r>
      <w:r>
        <w:rPr>
          <w:noProof/>
        </w:rPr>
        <w:fldChar w:fldCharType="begin"/>
      </w:r>
      <w:r>
        <w:rPr>
          <w:noProof/>
        </w:rPr>
        <w:instrText xml:space="preserve"> PAGEREF _Toc479940825 \h </w:instrText>
      </w:r>
      <w:r>
        <w:rPr>
          <w:noProof/>
        </w:rPr>
      </w:r>
      <w:r>
        <w:rPr>
          <w:noProof/>
        </w:rPr>
        <w:fldChar w:fldCharType="separate"/>
      </w:r>
      <w:r w:rsidR="005062E7">
        <w:rPr>
          <w:noProof/>
        </w:rPr>
        <w:t>12</w:t>
      </w:r>
      <w:r>
        <w:rPr>
          <w:noProof/>
        </w:rPr>
        <w:fldChar w:fldCharType="end"/>
      </w:r>
    </w:p>
    <w:p w14:paraId="24DCB011" w14:textId="02B95C82"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2.</w:t>
      </w:r>
      <w:r>
        <w:rPr>
          <w:rFonts w:eastAsiaTheme="minorEastAsia"/>
          <w:b w:val="0"/>
          <w:bCs w:val="0"/>
          <w:caps w:val="0"/>
          <w:noProof/>
          <w:color w:val="auto"/>
          <w:sz w:val="22"/>
          <w:szCs w:val="22"/>
          <w:lang w:eastAsia="en-ZA"/>
        </w:rPr>
        <w:tab/>
      </w:r>
      <w:r w:rsidRPr="00D84931">
        <w:rPr>
          <w:rFonts w:ascii="Calibri" w:hAnsi="Calibri"/>
          <w:noProof/>
          <w:color w:val="1B5068"/>
        </w:rPr>
        <w:t>Problem Statement: The small business shortfall in South Africa</w:t>
      </w:r>
      <w:r>
        <w:rPr>
          <w:noProof/>
        </w:rPr>
        <w:tab/>
      </w:r>
      <w:r>
        <w:rPr>
          <w:noProof/>
        </w:rPr>
        <w:fldChar w:fldCharType="begin"/>
      </w:r>
      <w:r>
        <w:rPr>
          <w:noProof/>
        </w:rPr>
        <w:instrText xml:space="preserve"> PAGEREF _Toc479940826 \h </w:instrText>
      </w:r>
      <w:r>
        <w:rPr>
          <w:noProof/>
        </w:rPr>
      </w:r>
      <w:r>
        <w:rPr>
          <w:noProof/>
        </w:rPr>
        <w:fldChar w:fldCharType="separate"/>
      </w:r>
      <w:r w:rsidR="005062E7">
        <w:rPr>
          <w:noProof/>
        </w:rPr>
        <w:t>13</w:t>
      </w:r>
      <w:r>
        <w:rPr>
          <w:noProof/>
        </w:rPr>
        <w:fldChar w:fldCharType="end"/>
      </w:r>
    </w:p>
    <w:p w14:paraId="415B3E7D" w14:textId="5CC5C134"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2.1.</w:t>
      </w:r>
      <w:r>
        <w:rPr>
          <w:rFonts w:eastAsiaTheme="minorEastAsia"/>
          <w:smallCaps w:val="0"/>
          <w:noProof/>
          <w:sz w:val="22"/>
          <w:szCs w:val="22"/>
          <w:lang w:eastAsia="en-ZA"/>
        </w:rPr>
        <w:tab/>
      </w:r>
      <w:r>
        <w:rPr>
          <w:noProof/>
        </w:rPr>
        <w:t>The implications of limited small business</w:t>
      </w:r>
      <w:r>
        <w:rPr>
          <w:noProof/>
        </w:rPr>
        <w:tab/>
      </w:r>
      <w:r>
        <w:rPr>
          <w:noProof/>
        </w:rPr>
        <w:fldChar w:fldCharType="begin"/>
      </w:r>
      <w:r>
        <w:rPr>
          <w:noProof/>
        </w:rPr>
        <w:instrText xml:space="preserve"> PAGEREF _Toc479940827 \h </w:instrText>
      </w:r>
      <w:r>
        <w:rPr>
          <w:noProof/>
        </w:rPr>
      </w:r>
      <w:r>
        <w:rPr>
          <w:noProof/>
        </w:rPr>
        <w:fldChar w:fldCharType="separate"/>
      </w:r>
      <w:r w:rsidR="005062E7">
        <w:rPr>
          <w:noProof/>
        </w:rPr>
        <w:t>13</w:t>
      </w:r>
      <w:r>
        <w:rPr>
          <w:noProof/>
        </w:rPr>
        <w:fldChar w:fldCharType="end"/>
      </w:r>
    </w:p>
    <w:p w14:paraId="647911BB" w14:textId="57E752EC"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2.2.</w:t>
      </w:r>
      <w:r>
        <w:rPr>
          <w:rFonts w:eastAsiaTheme="minorEastAsia"/>
          <w:smallCaps w:val="0"/>
          <w:noProof/>
          <w:sz w:val="22"/>
          <w:szCs w:val="22"/>
          <w:lang w:eastAsia="en-ZA"/>
        </w:rPr>
        <w:tab/>
      </w:r>
      <w:r>
        <w:rPr>
          <w:noProof/>
        </w:rPr>
        <w:t>The extent and nature of small business in SA</w:t>
      </w:r>
      <w:r>
        <w:rPr>
          <w:noProof/>
        </w:rPr>
        <w:tab/>
      </w:r>
      <w:r>
        <w:rPr>
          <w:noProof/>
        </w:rPr>
        <w:fldChar w:fldCharType="begin"/>
      </w:r>
      <w:r>
        <w:rPr>
          <w:noProof/>
        </w:rPr>
        <w:instrText xml:space="preserve"> PAGEREF _Toc479940828 \h </w:instrText>
      </w:r>
      <w:r>
        <w:rPr>
          <w:noProof/>
        </w:rPr>
      </w:r>
      <w:r>
        <w:rPr>
          <w:noProof/>
        </w:rPr>
        <w:fldChar w:fldCharType="separate"/>
      </w:r>
      <w:r w:rsidR="005062E7">
        <w:rPr>
          <w:noProof/>
        </w:rPr>
        <w:t>15</w:t>
      </w:r>
      <w:r>
        <w:rPr>
          <w:noProof/>
        </w:rPr>
        <w:fldChar w:fldCharType="end"/>
      </w:r>
    </w:p>
    <w:p w14:paraId="13AA2859" w14:textId="21612EE4"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sidRPr="00D84931">
        <w:rPr>
          <w:rFonts w:eastAsia="Calibri"/>
          <w:noProof/>
        </w:rPr>
        <w:t>2.2.1.</w:t>
      </w:r>
      <w:r>
        <w:rPr>
          <w:rFonts w:eastAsiaTheme="minorEastAsia"/>
          <w:i w:val="0"/>
          <w:iCs w:val="0"/>
          <w:noProof/>
          <w:sz w:val="22"/>
          <w:szCs w:val="22"/>
          <w:lang w:eastAsia="en-ZA"/>
        </w:rPr>
        <w:tab/>
      </w:r>
      <w:r w:rsidRPr="00D84931">
        <w:rPr>
          <w:rFonts w:eastAsia="Calibri"/>
          <w:noProof/>
        </w:rPr>
        <w:t>Categories and data sources</w:t>
      </w:r>
      <w:r>
        <w:rPr>
          <w:noProof/>
        </w:rPr>
        <w:tab/>
      </w:r>
      <w:r>
        <w:rPr>
          <w:noProof/>
        </w:rPr>
        <w:fldChar w:fldCharType="begin"/>
      </w:r>
      <w:r>
        <w:rPr>
          <w:noProof/>
        </w:rPr>
        <w:instrText xml:space="preserve"> PAGEREF _Toc479940834 \h </w:instrText>
      </w:r>
      <w:r>
        <w:rPr>
          <w:noProof/>
        </w:rPr>
      </w:r>
      <w:r>
        <w:rPr>
          <w:noProof/>
        </w:rPr>
        <w:fldChar w:fldCharType="separate"/>
      </w:r>
      <w:r w:rsidR="005062E7">
        <w:rPr>
          <w:noProof/>
        </w:rPr>
        <w:t>16</w:t>
      </w:r>
      <w:r>
        <w:rPr>
          <w:noProof/>
        </w:rPr>
        <w:fldChar w:fldCharType="end"/>
      </w:r>
    </w:p>
    <w:p w14:paraId="01DAAA04" w14:textId="38DD08E9"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sidRPr="00D84931">
        <w:rPr>
          <w:rFonts w:eastAsia="Calibri"/>
          <w:noProof/>
        </w:rPr>
        <w:t>2.2.2.</w:t>
      </w:r>
      <w:r>
        <w:rPr>
          <w:rFonts w:eastAsiaTheme="minorEastAsia"/>
          <w:i w:val="0"/>
          <w:iCs w:val="0"/>
          <w:noProof/>
          <w:sz w:val="22"/>
          <w:szCs w:val="22"/>
          <w:lang w:eastAsia="en-ZA"/>
        </w:rPr>
        <w:tab/>
      </w:r>
      <w:r w:rsidRPr="00D84931">
        <w:rPr>
          <w:rFonts w:eastAsia="Calibri"/>
          <w:noProof/>
        </w:rPr>
        <w:t>The number of small business and employment</w:t>
      </w:r>
      <w:r>
        <w:rPr>
          <w:noProof/>
        </w:rPr>
        <w:tab/>
      </w:r>
      <w:r>
        <w:rPr>
          <w:noProof/>
        </w:rPr>
        <w:fldChar w:fldCharType="begin"/>
      </w:r>
      <w:r>
        <w:rPr>
          <w:noProof/>
        </w:rPr>
        <w:instrText xml:space="preserve"> PAGEREF _Toc479940835 \h </w:instrText>
      </w:r>
      <w:r>
        <w:rPr>
          <w:noProof/>
        </w:rPr>
      </w:r>
      <w:r>
        <w:rPr>
          <w:noProof/>
        </w:rPr>
        <w:fldChar w:fldCharType="separate"/>
      </w:r>
      <w:r w:rsidR="005062E7">
        <w:rPr>
          <w:noProof/>
        </w:rPr>
        <w:t>16</w:t>
      </w:r>
      <w:r>
        <w:rPr>
          <w:noProof/>
        </w:rPr>
        <w:fldChar w:fldCharType="end"/>
      </w:r>
    </w:p>
    <w:p w14:paraId="3CB8FA19" w14:textId="5DF98EBF"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sidRPr="00D84931">
        <w:rPr>
          <w:rFonts w:eastAsia="Calibri"/>
          <w:noProof/>
        </w:rPr>
        <w:t>2.2.3.</w:t>
      </w:r>
      <w:r>
        <w:rPr>
          <w:rFonts w:eastAsiaTheme="minorEastAsia"/>
          <w:i w:val="0"/>
          <w:iCs w:val="0"/>
          <w:noProof/>
          <w:sz w:val="22"/>
          <w:szCs w:val="22"/>
          <w:lang w:eastAsia="en-ZA"/>
        </w:rPr>
        <w:tab/>
      </w:r>
      <w:r w:rsidRPr="00D84931">
        <w:rPr>
          <w:rFonts w:eastAsia="Calibri"/>
          <w:noProof/>
        </w:rPr>
        <w:t>Formal and informal small business</w:t>
      </w:r>
      <w:r>
        <w:rPr>
          <w:noProof/>
        </w:rPr>
        <w:tab/>
      </w:r>
      <w:r>
        <w:rPr>
          <w:noProof/>
        </w:rPr>
        <w:fldChar w:fldCharType="begin"/>
      </w:r>
      <w:r>
        <w:rPr>
          <w:noProof/>
        </w:rPr>
        <w:instrText xml:space="preserve"> PAGEREF _Toc479940836 \h </w:instrText>
      </w:r>
      <w:r>
        <w:rPr>
          <w:noProof/>
        </w:rPr>
      </w:r>
      <w:r>
        <w:rPr>
          <w:noProof/>
        </w:rPr>
        <w:fldChar w:fldCharType="separate"/>
      </w:r>
      <w:r w:rsidR="005062E7">
        <w:rPr>
          <w:noProof/>
        </w:rPr>
        <w:t>17</w:t>
      </w:r>
      <w:r>
        <w:rPr>
          <w:noProof/>
        </w:rPr>
        <w:fldChar w:fldCharType="end"/>
      </w:r>
    </w:p>
    <w:p w14:paraId="1F5F7617" w14:textId="19C3572B"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sidRPr="00D84931">
        <w:rPr>
          <w:rFonts w:eastAsia="Calibri"/>
          <w:noProof/>
        </w:rPr>
        <w:t>2.2.4.</w:t>
      </w:r>
      <w:r>
        <w:rPr>
          <w:rFonts w:eastAsiaTheme="minorEastAsia"/>
          <w:i w:val="0"/>
          <w:iCs w:val="0"/>
          <w:noProof/>
          <w:sz w:val="22"/>
          <w:szCs w:val="22"/>
          <w:lang w:eastAsia="en-ZA"/>
        </w:rPr>
        <w:tab/>
      </w:r>
      <w:r w:rsidRPr="00D84931">
        <w:rPr>
          <w:rFonts w:eastAsia="Calibri"/>
          <w:noProof/>
        </w:rPr>
        <w:t>Small business by industry</w:t>
      </w:r>
      <w:r>
        <w:rPr>
          <w:noProof/>
        </w:rPr>
        <w:tab/>
      </w:r>
      <w:r>
        <w:rPr>
          <w:noProof/>
        </w:rPr>
        <w:fldChar w:fldCharType="begin"/>
      </w:r>
      <w:r>
        <w:rPr>
          <w:noProof/>
        </w:rPr>
        <w:instrText xml:space="preserve"> PAGEREF _Toc479940837 \h </w:instrText>
      </w:r>
      <w:r>
        <w:rPr>
          <w:noProof/>
        </w:rPr>
      </w:r>
      <w:r>
        <w:rPr>
          <w:noProof/>
        </w:rPr>
        <w:fldChar w:fldCharType="separate"/>
      </w:r>
      <w:r w:rsidR="005062E7">
        <w:rPr>
          <w:noProof/>
        </w:rPr>
        <w:t>18</w:t>
      </w:r>
      <w:r>
        <w:rPr>
          <w:noProof/>
        </w:rPr>
        <w:fldChar w:fldCharType="end"/>
      </w:r>
    </w:p>
    <w:p w14:paraId="2C421524" w14:textId="24176581"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sidRPr="00D84931">
        <w:rPr>
          <w:rFonts w:eastAsia="Calibri"/>
          <w:noProof/>
        </w:rPr>
        <w:t>2.2.5.</w:t>
      </w:r>
      <w:r>
        <w:rPr>
          <w:rFonts w:eastAsiaTheme="minorEastAsia"/>
          <w:i w:val="0"/>
          <w:iCs w:val="0"/>
          <w:noProof/>
          <w:sz w:val="22"/>
          <w:szCs w:val="22"/>
          <w:lang w:eastAsia="en-ZA"/>
        </w:rPr>
        <w:tab/>
      </w:r>
      <w:r w:rsidRPr="00D84931">
        <w:rPr>
          <w:rFonts w:eastAsia="Calibri"/>
          <w:noProof/>
        </w:rPr>
        <w:t>Earnings</w:t>
      </w:r>
      <w:r>
        <w:rPr>
          <w:noProof/>
        </w:rPr>
        <w:tab/>
      </w:r>
      <w:r>
        <w:rPr>
          <w:noProof/>
        </w:rPr>
        <w:fldChar w:fldCharType="begin"/>
      </w:r>
      <w:r>
        <w:rPr>
          <w:noProof/>
        </w:rPr>
        <w:instrText xml:space="preserve"> PAGEREF _Toc479940838 \h </w:instrText>
      </w:r>
      <w:r>
        <w:rPr>
          <w:noProof/>
        </w:rPr>
      </w:r>
      <w:r>
        <w:rPr>
          <w:noProof/>
        </w:rPr>
        <w:fldChar w:fldCharType="separate"/>
      </w:r>
      <w:r w:rsidR="005062E7">
        <w:rPr>
          <w:noProof/>
        </w:rPr>
        <w:t>19</w:t>
      </w:r>
      <w:r>
        <w:rPr>
          <w:noProof/>
        </w:rPr>
        <w:fldChar w:fldCharType="end"/>
      </w:r>
    </w:p>
    <w:p w14:paraId="7E31D62C" w14:textId="3190A59A"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sidRPr="00D84931">
        <w:rPr>
          <w:rFonts w:eastAsia="Calibri"/>
          <w:noProof/>
        </w:rPr>
        <w:t>2.2.6.</w:t>
      </w:r>
      <w:r>
        <w:rPr>
          <w:rFonts w:eastAsiaTheme="minorEastAsia"/>
          <w:i w:val="0"/>
          <w:iCs w:val="0"/>
          <w:noProof/>
          <w:sz w:val="22"/>
          <w:szCs w:val="22"/>
          <w:lang w:eastAsia="en-ZA"/>
        </w:rPr>
        <w:tab/>
      </w:r>
      <w:r w:rsidRPr="00D84931">
        <w:rPr>
          <w:rFonts w:eastAsia="Calibri"/>
          <w:noProof/>
        </w:rPr>
        <w:t>Provincial distribution</w:t>
      </w:r>
      <w:r>
        <w:rPr>
          <w:noProof/>
        </w:rPr>
        <w:tab/>
      </w:r>
      <w:r>
        <w:rPr>
          <w:noProof/>
        </w:rPr>
        <w:fldChar w:fldCharType="begin"/>
      </w:r>
      <w:r>
        <w:rPr>
          <w:noProof/>
        </w:rPr>
        <w:instrText xml:space="preserve"> PAGEREF _Toc479940839 \h </w:instrText>
      </w:r>
      <w:r>
        <w:rPr>
          <w:noProof/>
        </w:rPr>
      </w:r>
      <w:r>
        <w:rPr>
          <w:noProof/>
        </w:rPr>
        <w:fldChar w:fldCharType="separate"/>
      </w:r>
      <w:r w:rsidR="005062E7">
        <w:rPr>
          <w:noProof/>
        </w:rPr>
        <w:t>20</w:t>
      </w:r>
      <w:r>
        <w:rPr>
          <w:noProof/>
        </w:rPr>
        <w:fldChar w:fldCharType="end"/>
      </w:r>
    </w:p>
    <w:p w14:paraId="58F25CDB" w14:textId="19223537"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sidRPr="00D84931">
        <w:rPr>
          <w:rFonts w:eastAsia="Calibri"/>
          <w:noProof/>
        </w:rPr>
        <w:t>2.2.7.</w:t>
      </w:r>
      <w:r>
        <w:rPr>
          <w:rFonts w:eastAsiaTheme="minorEastAsia"/>
          <w:i w:val="0"/>
          <w:iCs w:val="0"/>
          <w:noProof/>
          <w:sz w:val="22"/>
          <w:szCs w:val="22"/>
          <w:lang w:eastAsia="en-ZA"/>
        </w:rPr>
        <w:tab/>
      </w:r>
      <w:r w:rsidRPr="00D84931">
        <w:rPr>
          <w:rFonts w:eastAsia="Calibri"/>
          <w:noProof/>
        </w:rPr>
        <w:t>Human capital</w:t>
      </w:r>
      <w:r>
        <w:rPr>
          <w:noProof/>
        </w:rPr>
        <w:tab/>
      </w:r>
      <w:r>
        <w:rPr>
          <w:noProof/>
        </w:rPr>
        <w:fldChar w:fldCharType="begin"/>
      </w:r>
      <w:r>
        <w:rPr>
          <w:noProof/>
        </w:rPr>
        <w:instrText xml:space="preserve"> PAGEREF _Toc479940840 \h </w:instrText>
      </w:r>
      <w:r>
        <w:rPr>
          <w:noProof/>
        </w:rPr>
      </w:r>
      <w:r>
        <w:rPr>
          <w:noProof/>
        </w:rPr>
        <w:fldChar w:fldCharType="separate"/>
      </w:r>
      <w:r w:rsidR="005062E7">
        <w:rPr>
          <w:noProof/>
        </w:rPr>
        <w:t>21</w:t>
      </w:r>
      <w:r>
        <w:rPr>
          <w:noProof/>
        </w:rPr>
        <w:fldChar w:fldCharType="end"/>
      </w:r>
    </w:p>
    <w:p w14:paraId="64E11599" w14:textId="1770ADAD"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sidRPr="00D84931">
        <w:rPr>
          <w:rFonts w:eastAsia="Calibri"/>
          <w:noProof/>
        </w:rPr>
        <w:t>2.2.8.</w:t>
      </w:r>
      <w:r>
        <w:rPr>
          <w:rFonts w:eastAsiaTheme="minorEastAsia"/>
          <w:i w:val="0"/>
          <w:iCs w:val="0"/>
          <w:noProof/>
          <w:sz w:val="22"/>
          <w:szCs w:val="22"/>
          <w:lang w:eastAsia="en-ZA"/>
        </w:rPr>
        <w:tab/>
      </w:r>
      <w:r w:rsidRPr="00D84931">
        <w:rPr>
          <w:rFonts w:eastAsia="Calibri"/>
          <w:noProof/>
        </w:rPr>
        <w:t>Demography</w:t>
      </w:r>
      <w:r>
        <w:rPr>
          <w:noProof/>
        </w:rPr>
        <w:tab/>
      </w:r>
      <w:r>
        <w:rPr>
          <w:noProof/>
        </w:rPr>
        <w:fldChar w:fldCharType="begin"/>
      </w:r>
      <w:r>
        <w:rPr>
          <w:noProof/>
        </w:rPr>
        <w:instrText xml:space="preserve"> PAGEREF _Toc479940841 \h </w:instrText>
      </w:r>
      <w:r>
        <w:rPr>
          <w:noProof/>
        </w:rPr>
      </w:r>
      <w:r>
        <w:rPr>
          <w:noProof/>
        </w:rPr>
        <w:fldChar w:fldCharType="separate"/>
      </w:r>
      <w:r w:rsidR="005062E7">
        <w:rPr>
          <w:noProof/>
        </w:rPr>
        <w:t>21</w:t>
      </w:r>
      <w:r>
        <w:rPr>
          <w:noProof/>
        </w:rPr>
        <w:fldChar w:fldCharType="end"/>
      </w:r>
    </w:p>
    <w:p w14:paraId="2A0678D5" w14:textId="5FC7232A"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2.3.</w:t>
      </w:r>
      <w:r>
        <w:rPr>
          <w:rFonts w:eastAsiaTheme="minorEastAsia"/>
          <w:smallCaps w:val="0"/>
          <w:noProof/>
          <w:sz w:val="22"/>
          <w:szCs w:val="22"/>
          <w:lang w:eastAsia="en-ZA"/>
        </w:rPr>
        <w:tab/>
      </w:r>
      <w:r>
        <w:rPr>
          <w:noProof/>
        </w:rPr>
        <w:t>Implications for research</w:t>
      </w:r>
      <w:r>
        <w:rPr>
          <w:noProof/>
        </w:rPr>
        <w:tab/>
      </w:r>
      <w:r>
        <w:rPr>
          <w:noProof/>
        </w:rPr>
        <w:fldChar w:fldCharType="begin"/>
      </w:r>
      <w:r>
        <w:rPr>
          <w:noProof/>
        </w:rPr>
        <w:instrText xml:space="preserve"> PAGEREF _Toc479940842 \h </w:instrText>
      </w:r>
      <w:r>
        <w:rPr>
          <w:noProof/>
        </w:rPr>
      </w:r>
      <w:r>
        <w:rPr>
          <w:noProof/>
        </w:rPr>
        <w:fldChar w:fldCharType="separate"/>
      </w:r>
      <w:r w:rsidR="005062E7">
        <w:rPr>
          <w:noProof/>
        </w:rPr>
        <w:t>22</w:t>
      </w:r>
      <w:r>
        <w:rPr>
          <w:noProof/>
        </w:rPr>
        <w:fldChar w:fldCharType="end"/>
      </w:r>
    </w:p>
    <w:p w14:paraId="55564C95" w14:textId="2180110B"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3.</w:t>
      </w:r>
      <w:r>
        <w:rPr>
          <w:rFonts w:eastAsiaTheme="minorEastAsia"/>
          <w:b w:val="0"/>
          <w:bCs w:val="0"/>
          <w:caps w:val="0"/>
          <w:noProof/>
          <w:color w:val="auto"/>
          <w:sz w:val="22"/>
          <w:szCs w:val="22"/>
          <w:lang w:eastAsia="en-ZA"/>
        </w:rPr>
        <w:tab/>
      </w:r>
      <w:r w:rsidRPr="00D84931">
        <w:rPr>
          <w:rFonts w:ascii="Calibri" w:hAnsi="Calibri"/>
          <w:noProof/>
          <w:color w:val="1B5068"/>
        </w:rPr>
        <w:t>Existing research on the regulatory burden in South Africa</w:t>
      </w:r>
      <w:r>
        <w:rPr>
          <w:noProof/>
        </w:rPr>
        <w:tab/>
      </w:r>
      <w:r>
        <w:rPr>
          <w:noProof/>
        </w:rPr>
        <w:fldChar w:fldCharType="begin"/>
      </w:r>
      <w:r>
        <w:rPr>
          <w:noProof/>
        </w:rPr>
        <w:instrText xml:space="preserve"> PAGEREF _Toc479940843 \h </w:instrText>
      </w:r>
      <w:r>
        <w:rPr>
          <w:noProof/>
        </w:rPr>
      </w:r>
      <w:r>
        <w:rPr>
          <w:noProof/>
        </w:rPr>
        <w:fldChar w:fldCharType="separate"/>
      </w:r>
      <w:r w:rsidR="005062E7">
        <w:rPr>
          <w:noProof/>
        </w:rPr>
        <w:t>22</w:t>
      </w:r>
      <w:r>
        <w:rPr>
          <w:noProof/>
        </w:rPr>
        <w:fldChar w:fldCharType="end"/>
      </w:r>
    </w:p>
    <w:p w14:paraId="6AC4DBB9" w14:textId="1D8DF4A0"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3.1.</w:t>
      </w:r>
      <w:r>
        <w:rPr>
          <w:rFonts w:eastAsiaTheme="minorEastAsia"/>
          <w:smallCaps w:val="0"/>
          <w:noProof/>
          <w:sz w:val="22"/>
          <w:szCs w:val="22"/>
          <w:lang w:eastAsia="en-ZA"/>
        </w:rPr>
        <w:tab/>
      </w:r>
      <w:r>
        <w:rPr>
          <w:noProof/>
        </w:rPr>
        <w:t>Overall surveys of constraints on small business</w:t>
      </w:r>
      <w:r>
        <w:rPr>
          <w:noProof/>
        </w:rPr>
        <w:tab/>
      </w:r>
      <w:r>
        <w:rPr>
          <w:noProof/>
        </w:rPr>
        <w:fldChar w:fldCharType="begin"/>
      </w:r>
      <w:r>
        <w:rPr>
          <w:noProof/>
        </w:rPr>
        <w:instrText xml:space="preserve"> PAGEREF _Toc479940844 \h </w:instrText>
      </w:r>
      <w:r>
        <w:rPr>
          <w:noProof/>
        </w:rPr>
      </w:r>
      <w:r>
        <w:rPr>
          <w:noProof/>
        </w:rPr>
        <w:fldChar w:fldCharType="separate"/>
      </w:r>
      <w:r w:rsidR="005062E7">
        <w:rPr>
          <w:noProof/>
        </w:rPr>
        <w:t>22</w:t>
      </w:r>
      <w:r>
        <w:rPr>
          <w:noProof/>
        </w:rPr>
        <w:fldChar w:fldCharType="end"/>
      </w:r>
    </w:p>
    <w:p w14:paraId="1D2E421E" w14:textId="7A386A86"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3.2.</w:t>
      </w:r>
      <w:r>
        <w:rPr>
          <w:rFonts w:eastAsiaTheme="minorEastAsia"/>
          <w:smallCaps w:val="0"/>
          <w:noProof/>
          <w:sz w:val="22"/>
          <w:szCs w:val="22"/>
          <w:lang w:eastAsia="en-ZA"/>
        </w:rPr>
        <w:tab/>
      </w:r>
      <w:r>
        <w:rPr>
          <w:noProof/>
        </w:rPr>
        <w:t>Quantifying the regulatory burden</w:t>
      </w:r>
      <w:r>
        <w:rPr>
          <w:noProof/>
        </w:rPr>
        <w:tab/>
      </w:r>
      <w:r>
        <w:rPr>
          <w:noProof/>
        </w:rPr>
        <w:fldChar w:fldCharType="begin"/>
      </w:r>
      <w:r>
        <w:rPr>
          <w:noProof/>
        </w:rPr>
        <w:instrText xml:space="preserve"> PAGEREF _Toc479940845 \h </w:instrText>
      </w:r>
      <w:r>
        <w:rPr>
          <w:noProof/>
        </w:rPr>
      </w:r>
      <w:r>
        <w:rPr>
          <w:noProof/>
        </w:rPr>
        <w:fldChar w:fldCharType="separate"/>
      </w:r>
      <w:r w:rsidR="005062E7">
        <w:rPr>
          <w:noProof/>
        </w:rPr>
        <w:t>26</w:t>
      </w:r>
      <w:r>
        <w:rPr>
          <w:noProof/>
        </w:rPr>
        <w:fldChar w:fldCharType="end"/>
      </w:r>
    </w:p>
    <w:p w14:paraId="12AB40C2" w14:textId="0FEC428B"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3.3.</w:t>
      </w:r>
      <w:r>
        <w:rPr>
          <w:rFonts w:eastAsiaTheme="minorEastAsia"/>
          <w:smallCaps w:val="0"/>
          <w:noProof/>
          <w:sz w:val="22"/>
          <w:szCs w:val="22"/>
          <w:lang w:eastAsia="en-ZA"/>
        </w:rPr>
        <w:tab/>
      </w:r>
      <w:r>
        <w:rPr>
          <w:noProof/>
        </w:rPr>
        <w:t>Proposed reforms</w:t>
      </w:r>
      <w:r>
        <w:rPr>
          <w:noProof/>
        </w:rPr>
        <w:tab/>
      </w:r>
      <w:r>
        <w:rPr>
          <w:noProof/>
        </w:rPr>
        <w:fldChar w:fldCharType="begin"/>
      </w:r>
      <w:r>
        <w:rPr>
          <w:noProof/>
        </w:rPr>
        <w:instrText xml:space="preserve"> PAGEREF _Toc479940846 \h </w:instrText>
      </w:r>
      <w:r>
        <w:rPr>
          <w:noProof/>
        </w:rPr>
      </w:r>
      <w:r>
        <w:rPr>
          <w:noProof/>
        </w:rPr>
        <w:fldChar w:fldCharType="separate"/>
      </w:r>
      <w:r w:rsidR="005062E7">
        <w:rPr>
          <w:noProof/>
        </w:rPr>
        <w:t>26</w:t>
      </w:r>
      <w:r>
        <w:rPr>
          <w:noProof/>
        </w:rPr>
        <w:fldChar w:fldCharType="end"/>
      </w:r>
    </w:p>
    <w:p w14:paraId="4EE00D5F" w14:textId="1DB20777"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3.3.1.</w:t>
      </w:r>
      <w:r>
        <w:rPr>
          <w:rFonts w:eastAsiaTheme="minorEastAsia"/>
          <w:i w:val="0"/>
          <w:iCs w:val="0"/>
          <w:noProof/>
          <w:sz w:val="22"/>
          <w:szCs w:val="22"/>
          <w:lang w:eastAsia="en-ZA"/>
        </w:rPr>
        <w:tab/>
      </w:r>
      <w:r>
        <w:rPr>
          <w:noProof/>
        </w:rPr>
        <w:t>Permits, registrations and reporting</w:t>
      </w:r>
      <w:r>
        <w:rPr>
          <w:noProof/>
        </w:rPr>
        <w:tab/>
      </w:r>
      <w:r>
        <w:rPr>
          <w:noProof/>
        </w:rPr>
        <w:fldChar w:fldCharType="begin"/>
      </w:r>
      <w:r>
        <w:rPr>
          <w:noProof/>
        </w:rPr>
        <w:instrText xml:space="preserve"> PAGEREF _Toc479940850 \h </w:instrText>
      </w:r>
      <w:r>
        <w:rPr>
          <w:noProof/>
        </w:rPr>
      </w:r>
      <w:r>
        <w:rPr>
          <w:noProof/>
        </w:rPr>
        <w:fldChar w:fldCharType="separate"/>
      </w:r>
      <w:r w:rsidR="005062E7">
        <w:rPr>
          <w:noProof/>
        </w:rPr>
        <w:t>26</w:t>
      </w:r>
      <w:r>
        <w:rPr>
          <w:noProof/>
        </w:rPr>
        <w:fldChar w:fldCharType="end"/>
      </w:r>
    </w:p>
    <w:p w14:paraId="046DC683" w14:textId="784A8270"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3.3.2.</w:t>
      </w:r>
      <w:r>
        <w:rPr>
          <w:rFonts w:eastAsiaTheme="minorEastAsia"/>
          <w:i w:val="0"/>
          <w:iCs w:val="0"/>
          <w:noProof/>
          <w:sz w:val="22"/>
          <w:szCs w:val="22"/>
          <w:lang w:eastAsia="en-ZA"/>
        </w:rPr>
        <w:tab/>
      </w:r>
      <w:r>
        <w:rPr>
          <w:noProof/>
        </w:rPr>
        <w:t>Labour laws</w:t>
      </w:r>
      <w:r>
        <w:rPr>
          <w:noProof/>
        </w:rPr>
        <w:tab/>
      </w:r>
      <w:r>
        <w:rPr>
          <w:noProof/>
        </w:rPr>
        <w:fldChar w:fldCharType="begin"/>
      </w:r>
      <w:r>
        <w:rPr>
          <w:noProof/>
        </w:rPr>
        <w:instrText xml:space="preserve"> PAGEREF _Toc479940851 \h </w:instrText>
      </w:r>
      <w:r>
        <w:rPr>
          <w:noProof/>
        </w:rPr>
      </w:r>
      <w:r>
        <w:rPr>
          <w:noProof/>
        </w:rPr>
        <w:fldChar w:fldCharType="separate"/>
      </w:r>
      <w:r w:rsidR="005062E7">
        <w:rPr>
          <w:noProof/>
        </w:rPr>
        <w:t>27</w:t>
      </w:r>
      <w:r>
        <w:rPr>
          <w:noProof/>
        </w:rPr>
        <w:fldChar w:fldCharType="end"/>
      </w:r>
    </w:p>
    <w:p w14:paraId="026550A2" w14:textId="519848AE"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3.3.3.</w:t>
      </w:r>
      <w:r>
        <w:rPr>
          <w:rFonts w:eastAsiaTheme="minorEastAsia"/>
          <w:i w:val="0"/>
          <w:iCs w:val="0"/>
          <w:noProof/>
          <w:sz w:val="22"/>
          <w:szCs w:val="22"/>
          <w:lang w:eastAsia="en-ZA"/>
        </w:rPr>
        <w:tab/>
      </w:r>
      <w:r>
        <w:rPr>
          <w:noProof/>
        </w:rPr>
        <w:t>Taxation</w:t>
      </w:r>
      <w:r>
        <w:rPr>
          <w:noProof/>
        </w:rPr>
        <w:tab/>
      </w:r>
      <w:r>
        <w:rPr>
          <w:noProof/>
        </w:rPr>
        <w:fldChar w:fldCharType="begin"/>
      </w:r>
      <w:r>
        <w:rPr>
          <w:noProof/>
        </w:rPr>
        <w:instrText xml:space="preserve"> PAGEREF _Toc479940852 \h </w:instrText>
      </w:r>
      <w:r>
        <w:rPr>
          <w:noProof/>
        </w:rPr>
      </w:r>
      <w:r>
        <w:rPr>
          <w:noProof/>
        </w:rPr>
        <w:fldChar w:fldCharType="separate"/>
      </w:r>
      <w:r w:rsidR="005062E7">
        <w:rPr>
          <w:noProof/>
        </w:rPr>
        <w:t>28</w:t>
      </w:r>
      <w:r>
        <w:rPr>
          <w:noProof/>
        </w:rPr>
        <w:fldChar w:fldCharType="end"/>
      </w:r>
    </w:p>
    <w:p w14:paraId="03D2FD72" w14:textId="764CF78E"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3.4.</w:t>
      </w:r>
      <w:r>
        <w:rPr>
          <w:rFonts w:eastAsiaTheme="minorEastAsia"/>
          <w:smallCaps w:val="0"/>
          <w:noProof/>
          <w:sz w:val="22"/>
          <w:szCs w:val="22"/>
          <w:lang w:eastAsia="en-ZA"/>
        </w:rPr>
        <w:tab/>
      </w:r>
      <w:r>
        <w:rPr>
          <w:noProof/>
        </w:rPr>
        <w:t>Conclusions and implications for research</w:t>
      </w:r>
      <w:r>
        <w:rPr>
          <w:noProof/>
        </w:rPr>
        <w:tab/>
      </w:r>
      <w:r>
        <w:rPr>
          <w:noProof/>
        </w:rPr>
        <w:fldChar w:fldCharType="begin"/>
      </w:r>
      <w:r>
        <w:rPr>
          <w:noProof/>
        </w:rPr>
        <w:instrText xml:space="preserve"> PAGEREF _Toc479940853 \h </w:instrText>
      </w:r>
      <w:r>
        <w:rPr>
          <w:noProof/>
        </w:rPr>
      </w:r>
      <w:r>
        <w:rPr>
          <w:noProof/>
        </w:rPr>
        <w:fldChar w:fldCharType="separate"/>
      </w:r>
      <w:r w:rsidR="005062E7">
        <w:rPr>
          <w:noProof/>
        </w:rPr>
        <w:t>29</w:t>
      </w:r>
      <w:r>
        <w:rPr>
          <w:noProof/>
        </w:rPr>
        <w:fldChar w:fldCharType="end"/>
      </w:r>
    </w:p>
    <w:p w14:paraId="5051A06F" w14:textId="0809528E"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4.</w:t>
      </w:r>
      <w:r>
        <w:rPr>
          <w:rFonts w:eastAsiaTheme="minorEastAsia"/>
          <w:b w:val="0"/>
          <w:bCs w:val="0"/>
          <w:caps w:val="0"/>
          <w:noProof/>
          <w:color w:val="auto"/>
          <w:sz w:val="22"/>
          <w:szCs w:val="22"/>
          <w:lang w:eastAsia="en-ZA"/>
        </w:rPr>
        <w:tab/>
      </w:r>
      <w:r w:rsidRPr="00D84931">
        <w:rPr>
          <w:rFonts w:ascii="Calibri" w:hAnsi="Calibri"/>
          <w:noProof/>
          <w:color w:val="1B5068"/>
        </w:rPr>
        <w:t>Methodology</w:t>
      </w:r>
      <w:r>
        <w:rPr>
          <w:noProof/>
        </w:rPr>
        <w:tab/>
      </w:r>
      <w:r>
        <w:rPr>
          <w:noProof/>
        </w:rPr>
        <w:fldChar w:fldCharType="begin"/>
      </w:r>
      <w:r>
        <w:rPr>
          <w:noProof/>
        </w:rPr>
        <w:instrText xml:space="preserve"> PAGEREF _Toc479940854 \h </w:instrText>
      </w:r>
      <w:r>
        <w:rPr>
          <w:noProof/>
        </w:rPr>
      </w:r>
      <w:r>
        <w:rPr>
          <w:noProof/>
        </w:rPr>
        <w:fldChar w:fldCharType="separate"/>
      </w:r>
      <w:r w:rsidR="005062E7">
        <w:rPr>
          <w:noProof/>
        </w:rPr>
        <w:t>30</w:t>
      </w:r>
      <w:r>
        <w:rPr>
          <w:noProof/>
        </w:rPr>
        <w:fldChar w:fldCharType="end"/>
      </w:r>
    </w:p>
    <w:p w14:paraId="66849EA0" w14:textId="5F6E0C05"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4.1.</w:t>
      </w:r>
      <w:r>
        <w:rPr>
          <w:rFonts w:eastAsiaTheme="minorEastAsia"/>
          <w:smallCaps w:val="0"/>
          <w:noProof/>
          <w:sz w:val="22"/>
          <w:szCs w:val="22"/>
          <w:lang w:eastAsia="en-ZA"/>
        </w:rPr>
        <w:tab/>
      </w:r>
      <w:r>
        <w:rPr>
          <w:noProof/>
        </w:rPr>
        <w:t>Outline of the methodology</w:t>
      </w:r>
      <w:r>
        <w:rPr>
          <w:noProof/>
        </w:rPr>
        <w:tab/>
      </w:r>
      <w:r>
        <w:rPr>
          <w:noProof/>
        </w:rPr>
        <w:fldChar w:fldCharType="begin"/>
      </w:r>
      <w:r>
        <w:rPr>
          <w:noProof/>
        </w:rPr>
        <w:instrText xml:space="preserve"> PAGEREF _Toc479940855 \h </w:instrText>
      </w:r>
      <w:r>
        <w:rPr>
          <w:noProof/>
        </w:rPr>
      </w:r>
      <w:r>
        <w:rPr>
          <w:noProof/>
        </w:rPr>
        <w:fldChar w:fldCharType="separate"/>
      </w:r>
      <w:r w:rsidR="005062E7">
        <w:rPr>
          <w:noProof/>
        </w:rPr>
        <w:t>31</w:t>
      </w:r>
      <w:r>
        <w:rPr>
          <w:noProof/>
        </w:rPr>
        <w:fldChar w:fldCharType="end"/>
      </w:r>
    </w:p>
    <w:p w14:paraId="08C648A7" w14:textId="18824C7E"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4.1.1.</w:t>
      </w:r>
      <w:r>
        <w:rPr>
          <w:rFonts w:eastAsiaTheme="minorEastAsia"/>
          <w:i w:val="0"/>
          <w:iCs w:val="0"/>
          <w:noProof/>
          <w:sz w:val="22"/>
          <w:szCs w:val="22"/>
          <w:lang w:eastAsia="en-ZA"/>
        </w:rPr>
        <w:tab/>
      </w:r>
      <w:r>
        <w:rPr>
          <w:noProof/>
        </w:rPr>
        <w:t>Textual analysis</w:t>
      </w:r>
      <w:r>
        <w:rPr>
          <w:noProof/>
        </w:rPr>
        <w:tab/>
      </w:r>
      <w:r>
        <w:rPr>
          <w:noProof/>
        </w:rPr>
        <w:fldChar w:fldCharType="begin"/>
      </w:r>
      <w:r>
        <w:rPr>
          <w:noProof/>
        </w:rPr>
        <w:instrText xml:space="preserve"> PAGEREF _Toc479940856 \h </w:instrText>
      </w:r>
      <w:r>
        <w:rPr>
          <w:noProof/>
        </w:rPr>
      </w:r>
      <w:r>
        <w:rPr>
          <w:noProof/>
        </w:rPr>
        <w:fldChar w:fldCharType="separate"/>
      </w:r>
      <w:r w:rsidR="005062E7">
        <w:rPr>
          <w:noProof/>
        </w:rPr>
        <w:t>31</w:t>
      </w:r>
      <w:r>
        <w:rPr>
          <w:noProof/>
        </w:rPr>
        <w:fldChar w:fldCharType="end"/>
      </w:r>
    </w:p>
    <w:p w14:paraId="39DDF10E" w14:textId="4CAC582D"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4.1.2.</w:t>
      </w:r>
      <w:r>
        <w:rPr>
          <w:rFonts w:eastAsiaTheme="minorEastAsia"/>
          <w:i w:val="0"/>
          <w:iCs w:val="0"/>
          <w:noProof/>
          <w:sz w:val="22"/>
          <w:szCs w:val="22"/>
          <w:lang w:eastAsia="en-ZA"/>
        </w:rPr>
        <w:tab/>
      </w:r>
      <w:r>
        <w:rPr>
          <w:noProof/>
        </w:rPr>
        <w:t>Qualitative and quantitative research</w:t>
      </w:r>
      <w:r>
        <w:rPr>
          <w:noProof/>
        </w:rPr>
        <w:tab/>
      </w:r>
      <w:r>
        <w:rPr>
          <w:noProof/>
        </w:rPr>
        <w:fldChar w:fldCharType="begin"/>
      </w:r>
      <w:r>
        <w:rPr>
          <w:noProof/>
        </w:rPr>
        <w:instrText xml:space="preserve"> PAGEREF _Toc479940857 \h </w:instrText>
      </w:r>
      <w:r>
        <w:rPr>
          <w:noProof/>
        </w:rPr>
      </w:r>
      <w:r>
        <w:rPr>
          <w:noProof/>
        </w:rPr>
        <w:fldChar w:fldCharType="separate"/>
      </w:r>
      <w:r w:rsidR="005062E7">
        <w:rPr>
          <w:noProof/>
        </w:rPr>
        <w:t>31</w:t>
      </w:r>
      <w:r>
        <w:rPr>
          <w:noProof/>
        </w:rPr>
        <w:fldChar w:fldCharType="end"/>
      </w:r>
    </w:p>
    <w:p w14:paraId="12757D61" w14:textId="73A9407C"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4.1.3.</w:t>
      </w:r>
      <w:r>
        <w:rPr>
          <w:rFonts w:eastAsiaTheme="minorEastAsia"/>
          <w:i w:val="0"/>
          <w:iCs w:val="0"/>
          <w:noProof/>
          <w:sz w:val="22"/>
          <w:szCs w:val="22"/>
          <w:lang w:eastAsia="en-ZA"/>
        </w:rPr>
        <w:tab/>
      </w:r>
      <w:r>
        <w:rPr>
          <w:noProof/>
        </w:rPr>
        <w:t>Policy options</w:t>
      </w:r>
      <w:r>
        <w:rPr>
          <w:noProof/>
        </w:rPr>
        <w:tab/>
      </w:r>
      <w:r>
        <w:rPr>
          <w:noProof/>
        </w:rPr>
        <w:fldChar w:fldCharType="begin"/>
      </w:r>
      <w:r>
        <w:rPr>
          <w:noProof/>
        </w:rPr>
        <w:instrText xml:space="preserve"> PAGEREF _Toc479940858 \h </w:instrText>
      </w:r>
      <w:r>
        <w:rPr>
          <w:noProof/>
        </w:rPr>
      </w:r>
      <w:r>
        <w:rPr>
          <w:noProof/>
        </w:rPr>
        <w:fldChar w:fldCharType="separate"/>
      </w:r>
      <w:r w:rsidR="005062E7">
        <w:rPr>
          <w:noProof/>
        </w:rPr>
        <w:t>32</w:t>
      </w:r>
      <w:r>
        <w:rPr>
          <w:noProof/>
        </w:rPr>
        <w:fldChar w:fldCharType="end"/>
      </w:r>
    </w:p>
    <w:p w14:paraId="4057BD2B" w14:textId="270DA9D0"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4.2.</w:t>
      </w:r>
      <w:r>
        <w:rPr>
          <w:rFonts w:eastAsiaTheme="minorEastAsia"/>
          <w:smallCaps w:val="0"/>
          <w:noProof/>
          <w:sz w:val="22"/>
          <w:szCs w:val="22"/>
          <w:lang w:eastAsia="en-ZA"/>
        </w:rPr>
        <w:tab/>
      </w:r>
      <w:r>
        <w:rPr>
          <w:noProof/>
        </w:rPr>
        <w:t>The SEIAS approach</w:t>
      </w:r>
      <w:r>
        <w:rPr>
          <w:noProof/>
        </w:rPr>
        <w:tab/>
      </w:r>
      <w:r>
        <w:rPr>
          <w:noProof/>
        </w:rPr>
        <w:fldChar w:fldCharType="begin"/>
      </w:r>
      <w:r>
        <w:rPr>
          <w:noProof/>
        </w:rPr>
        <w:instrText xml:space="preserve"> PAGEREF _Toc479940859 \h </w:instrText>
      </w:r>
      <w:r>
        <w:rPr>
          <w:noProof/>
        </w:rPr>
      </w:r>
      <w:r>
        <w:rPr>
          <w:noProof/>
        </w:rPr>
        <w:fldChar w:fldCharType="separate"/>
      </w:r>
      <w:r w:rsidR="005062E7">
        <w:rPr>
          <w:noProof/>
        </w:rPr>
        <w:t>33</w:t>
      </w:r>
      <w:r>
        <w:rPr>
          <w:noProof/>
        </w:rPr>
        <w:fldChar w:fldCharType="end"/>
      </w:r>
    </w:p>
    <w:p w14:paraId="0100E6AD" w14:textId="5703BDDC"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4.3.</w:t>
      </w:r>
      <w:r>
        <w:rPr>
          <w:rFonts w:eastAsiaTheme="minorEastAsia"/>
          <w:smallCaps w:val="0"/>
          <w:noProof/>
          <w:sz w:val="22"/>
          <w:szCs w:val="22"/>
          <w:lang w:eastAsia="en-ZA"/>
        </w:rPr>
        <w:tab/>
      </w:r>
      <w:r>
        <w:rPr>
          <w:noProof/>
        </w:rPr>
        <w:t>Scope</w:t>
      </w:r>
      <w:r>
        <w:rPr>
          <w:noProof/>
        </w:rPr>
        <w:tab/>
      </w:r>
      <w:r>
        <w:rPr>
          <w:noProof/>
        </w:rPr>
        <w:fldChar w:fldCharType="begin"/>
      </w:r>
      <w:r>
        <w:rPr>
          <w:noProof/>
        </w:rPr>
        <w:instrText xml:space="preserve"> PAGEREF _Toc479940860 \h </w:instrText>
      </w:r>
      <w:r>
        <w:rPr>
          <w:noProof/>
        </w:rPr>
      </w:r>
      <w:r>
        <w:rPr>
          <w:noProof/>
        </w:rPr>
        <w:fldChar w:fldCharType="separate"/>
      </w:r>
      <w:r w:rsidR="005062E7">
        <w:rPr>
          <w:noProof/>
        </w:rPr>
        <w:t>34</w:t>
      </w:r>
      <w:r>
        <w:rPr>
          <w:noProof/>
        </w:rPr>
        <w:fldChar w:fldCharType="end"/>
      </w:r>
    </w:p>
    <w:p w14:paraId="1A9E3C56" w14:textId="6097EDA3"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5.</w:t>
      </w:r>
      <w:r>
        <w:rPr>
          <w:rFonts w:eastAsiaTheme="minorEastAsia"/>
          <w:b w:val="0"/>
          <w:bCs w:val="0"/>
          <w:caps w:val="0"/>
          <w:noProof/>
          <w:color w:val="auto"/>
          <w:sz w:val="22"/>
          <w:szCs w:val="22"/>
          <w:lang w:eastAsia="en-ZA"/>
        </w:rPr>
        <w:tab/>
      </w:r>
      <w:r w:rsidRPr="00D84931">
        <w:rPr>
          <w:rFonts w:ascii="Calibri" w:hAnsi="Calibri"/>
          <w:noProof/>
          <w:color w:val="1B5068"/>
        </w:rPr>
        <w:t>Registration and reporting</w:t>
      </w:r>
      <w:r>
        <w:rPr>
          <w:noProof/>
        </w:rPr>
        <w:tab/>
      </w:r>
      <w:r>
        <w:rPr>
          <w:noProof/>
        </w:rPr>
        <w:fldChar w:fldCharType="begin"/>
      </w:r>
      <w:r>
        <w:rPr>
          <w:noProof/>
        </w:rPr>
        <w:instrText xml:space="preserve"> PAGEREF _Toc479940861 \h </w:instrText>
      </w:r>
      <w:r>
        <w:rPr>
          <w:noProof/>
        </w:rPr>
      </w:r>
      <w:r>
        <w:rPr>
          <w:noProof/>
        </w:rPr>
        <w:fldChar w:fldCharType="separate"/>
      </w:r>
      <w:r w:rsidR="005062E7">
        <w:rPr>
          <w:noProof/>
        </w:rPr>
        <w:t>35</w:t>
      </w:r>
      <w:r>
        <w:rPr>
          <w:noProof/>
        </w:rPr>
        <w:fldChar w:fldCharType="end"/>
      </w:r>
    </w:p>
    <w:p w14:paraId="437D7FA4" w14:textId="580C00BA"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5.1.</w:t>
      </w:r>
      <w:r>
        <w:rPr>
          <w:rFonts w:eastAsiaTheme="minorEastAsia"/>
          <w:smallCaps w:val="0"/>
          <w:noProof/>
          <w:sz w:val="22"/>
          <w:szCs w:val="22"/>
          <w:lang w:eastAsia="en-ZA"/>
        </w:rPr>
        <w:tab/>
      </w:r>
      <w:r>
        <w:rPr>
          <w:noProof/>
        </w:rPr>
        <w:t>Importance for small business</w:t>
      </w:r>
      <w:r>
        <w:rPr>
          <w:noProof/>
        </w:rPr>
        <w:tab/>
      </w:r>
      <w:r>
        <w:rPr>
          <w:noProof/>
        </w:rPr>
        <w:fldChar w:fldCharType="begin"/>
      </w:r>
      <w:r>
        <w:rPr>
          <w:noProof/>
        </w:rPr>
        <w:instrText xml:space="preserve"> PAGEREF _Toc479940862 \h </w:instrText>
      </w:r>
      <w:r>
        <w:rPr>
          <w:noProof/>
        </w:rPr>
      </w:r>
      <w:r>
        <w:rPr>
          <w:noProof/>
        </w:rPr>
        <w:fldChar w:fldCharType="separate"/>
      </w:r>
      <w:r w:rsidR="005062E7">
        <w:rPr>
          <w:noProof/>
        </w:rPr>
        <w:t>35</w:t>
      </w:r>
      <w:r>
        <w:rPr>
          <w:noProof/>
        </w:rPr>
        <w:fldChar w:fldCharType="end"/>
      </w:r>
    </w:p>
    <w:p w14:paraId="40969819" w14:textId="0239DDC7"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5.2.</w:t>
      </w:r>
      <w:r>
        <w:rPr>
          <w:rFonts w:eastAsiaTheme="minorEastAsia"/>
          <w:smallCaps w:val="0"/>
          <w:noProof/>
          <w:sz w:val="22"/>
          <w:szCs w:val="22"/>
          <w:lang w:eastAsia="en-ZA"/>
        </w:rPr>
        <w:tab/>
      </w:r>
      <w:r>
        <w:rPr>
          <w:noProof/>
        </w:rPr>
        <w:t>CIPC registration and reporting</w:t>
      </w:r>
      <w:r>
        <w:rPr>
          <w:noProof/>
        </w:rPr>
        <w:tab/>
      </w:r>
      <w:r>
        <w:rPr>
          <w:noProof/>
        </w:rPr>
        <w:fldChar w:fldCharType="begin"/>
      </w:r>
      <w:r>
        <w:rPr>
          <w:noProof/>
        </w:rPr>
        <w:instrText xml:space="preserve"> PAGEREF _Toc479940863 \h </w:instrText>
      </w:r>
      <w:r>
        <w:rPr>
          <w:noProof/>
        </w:rPr>
      </w:r>
      <w:r>
        <w:rPr>
          <w:noProof/>
        </w:rPr>
        <w:fldChar w:fldCharType="separate"/>
      </w:r>
      <w:r w:rsidR="005062E7">
        <w:rPr>
          <w:noProof/>
        </w:rPr>
        <w:t>36</w:t>
      </w:r>
      <w:r>
        <w:rPr>
          <w:noProof/>
        </w:rPr>
        <w:fldChar w:fldCharType="end"/>
      </w:r>
    </w:p>
    <w:p w14:paraId="6C55CD3F" w14:textId="22CA1A90"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5.1.1.</w:t>
      </w:r>
      <w:r>
        <w:rPr>
          <w:rFonts w:eastAsiaTheme="minorEastAsia"/>
          <w:i w:val="0"/>
          <w:iCs w:val="0"/>
          <w:noProof/>
          <w:sz w:val="22"/>
          <w:szCs w:val="22"/>
          <w:lang w:eastAsia="en-ZA"/>
        </w:rPr>
        <w:tab/>
      </w:r>
      <w:r>
        <w:rPr>
          <w:noProof/>
        </w:rPr>
        <w:t>The legal framework</w:t>
      </w:r>
      <w:r>
        <w:rPr>
          <w:noProof/>
        </w:rPr>
        <w:tab/>
      </w:r>
      <w:r>
        <w:rPr>
          <w:noProof/>
        </w:rPr>
        <w:fldChar w:fldCharType="begin"/>
      </w:r>
      <w:r>
        <w:rPr>
          <w:noProof/>
        </w:rPr>
        <w:instrText xml:space="preserve"> PAGEREF _Toc479940864 \h </w:instrText>
      </w:r>
      <w:r>
        <w:rPr>
          <w:noProof/>
        </w:rPr>
      </w:r>
      <w:r>
        <w:rPr>
          <w:noProof/>
        </w:rPr>
        <w:fldChar w:fldCharType="separate"/>
      </w:r>
      <w:r w:rsidR="005062E7">
        <w:rPr>
          <w:noProof/>
        </w:rPr>
        <w:t>37</w:t>
      </w:r>
      <w:r>
        <w:rPr>
          <w:noProof/>
        </w:rPr>
        <w:fldChar w:fldCharType="end"/>
      </w:r>
    </w:p>
    <w:p w14:paraId="32AFE5BF" w14:textId="7CC92759"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5.1.2.</w:t>
      </w:r>
      <w:r>
        <w:rPr>
          <w:rFonts w:eastAsiaTheme="minorEastAsia"/>
          <w:i w:val="0"/>
          <w:iCs w:val="0"/>
          <w:noProof/>
          <w:sz w:val="22"/>
          <w:szCs w:val="22"/>
          <w:lang w:eastAsia="en-ZA"/>
        </w:rPr>
        <w:tab/>
      </w:r>
      <w:r>
        <w:rPr>
          <w:noProof/>
        </w:rPr>
        <w:t>Aims and theory of change</w:t>
      </w:r>
      <w:r>
        <w:rPr>
          <w:noProof/>
        </w:rPr>
        <w:tab/>
      </w:r>
      <w:r>
        <w:rPr>
          <w:noProof/>
        </w:rPr>
        <w:fldChar w:fldCharType="begin"/>
      </w:r>
      <w:r>
        <w:rPr>
          <w:noProof/>
        </w:rPr>
        <w:instrText xml:space="preserve"> PAGEREF _Toc479940865 \h </w:instrText>
      </w:r>
      <w:r>
        <w:rPr>
          <w:noProof/>
        </w:rPr>
      </w:r>
      <w:r>
        <w:rPr>
          <w:noProof/>
        </w:rPr>
        <w:fldChar w:fldCharType="separate"/>
      </w:r>
      <w:r w:rsidR="005062E7">
        <w:rPr>
          <w:noProof/>
        </w:rPr>
        <w:t>37</w:t>
      </w:r>
      <w:r>
        <w:rPr>
          <w:noProof/>
        </w:rPr>
        <w:fldChar w:fldCharType="end"/>
      </w:r>
    </w:p>
    <w:p w14:paraId="210D8D9B" w14:textId="72594945"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lastRenderedPageBreak/>
        <w:t>5.1.3.</w:t>
      </w:r>
      <w:r>
        <w:rPr>
          <w:rFonts w:eastAsiaTheme="minorEastAsia"/>
          <w:i w:val="0"/>
          <w:iCs w:val="0"/>
          <w:noProof/>
          <w:sz w:val="22"/>
          <w:szCs w:val="22"/>
          <w:lang w:eastAsia="en-ZA"/>
        </w:rPr>
        <w:tab/>
      </w:r>
      <w:r>
        <w:rPr>
          <w:noProof/>
        </w:rPr>
        <w:t>The costs of registration and reporting</w:t>
      </w:r>
      <w:r>
        <w:rPr>
          <w:noProof/>
        </w:rPr>
        <w:tab/>
      </w:r>
      <w:r>
        <w:rPr>
          <w:noProof/>
        </w:rPr>
        <w:fldChar w:fldCharType="begin"/>
      </w:r>
      <w:r>
        <w:rPr>
          <w:noProof/>
        </w:rPr>
        <w:instrText xml:space="preserve"> PAGEREF _Toc479940866 \h </w:instrText>
      </w:r>
      <w:r>
        <w:rPr>
          <w:noProof/>
        </w:rPr>
      </w:r>
      <w:r>
        <w:rPr>
          <w:noProof/>
        </w:rPr>
        <w:fldChar w:fldCharType="separate"/>
      </w:r>
      <w:r w:rsidR="005062E7">
        <w:rPr>
          <w:noProof/>
        </w:rPr>
        <w:t>39</w:t>
      </w:r>
      <w:r>
        <w:rPr>
          <w:noProof/>
        </w:rPr>
        <w:fldChar w:fldCharType="end"/>
      </w:r>
    </w:p>
    <w:p w14:paraId="1FFE3626" w14:textId="0F61E418"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5.1.4.</w:t>
      </w:r>
      <w:r>
        <w:rPr>
          <w:rFonts w:eastAsiaTheme="minorEastAsia"/>
          <w:i w:val="0"/>
          <w:iCs w:val="0"/>
          <w:noProof/>
          <w:sz w:val="22"/>
          <w:szCs w:val="22"/>
          <w:lang w:eastAsia="en-ZA"/>
        </w:rPr>
        <w:tab/>
      </w:r>
      <w:r>
        <w:rPr>
          <w:noProof/>
        </w:rPr>
        <w:t>Assessment of costs and benefits for small enterprises</w:t>
      </w:r>
      <w:r>
        <w:rPr>
          <w:noProof/>
        </w:rPr>
        <w:tab/>
      </w:r>
      <w:r>
        <w:rPr>
          <w:noProof/>
        </w:rPr>
        <w:fldChar w:fldCharType="begin"/>
      </w:r>
      <w:r>
        <w:rPr>
          <w:noProof/>
        </w:rPr>
        <w:instrText xml:space="preserve"> PAGEREF _Toc479940867 \h </w:instrText>
      </w:r>
      <w:r>
        <w:rPr>
          <w:noProof/>
        </w:rPr>
      </w:r>
      <w:r>
        <w:rPr>
          <w:noProof/>
        </w:rPr>
        <w:fldChar w:fldCharType="separate"/>
      </w:r>
      <w:r w:rsidR="005062E7">
        <w:rPr>
          <w:noProof/>
        </w:rPr>
        <w:t>42</w:t>
      </w:r>
      <w:r>
        <w:rPr>
          <w:noProof/>
        </w:rPr>
        <w:fldChar w:fldCharType="end"/>
      </w:r>
    </w:p>
    <w:p w14:paraId="7670042D" w14:textId="53B0EAB8"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5.1.5.</w:t>
      </w:r>
      <w:r>
        <w:rPr>
          <w:rFonts w:eastAsiaTheme="minorEastAsia"/>
          <w:i w:val="0"/>
          <w:iCs w:val="0"/>
          <w:noProof/>
          <w:sz w:val="22"/>
          <w:szCs w:val="22"/>
          <w:lang w:eastAsia="en-ZA"/>
        </w:rPr>
        <w:tab/>
      </w:r>
      <w:r>
        <w:rPr>
          <w:noProof/>
        </w:rPr>
        <w:t>Options</w:t>
      </w:r>
      <w:r>
        <w:rPr>
          <w:noProof/>
        </w:rPr>
        <w:tab/>
      </w:r>
      <w:r>
        <w:rPr>
          <w:noProof/>
        </w:rPr>
        <w:fldChar w:fldCharType="begin"/>
      </w:r>
      <w:r>
        <w:rPr>
          <w:noProof/>
        </w:rPr>
        <w:instrText xml:space="preserve"> PAGEREF _Toc479940868 \h </w:instrText>
      </w:r>
      <w:r>
        <w:rPr>
          <w:noProof/>
        </w:rPr>
      </w:r>
      <w:r>
        <w:rPr>
          <w:noProof/>
        </w:rPr>
        <w:fldChar w:fldCharType="separate"/>
      </w:r>
      <w:r w:rsidR="005062E7">
        <w:rPr>
          <w:noProof/>
        </w:rPr>
        <w:t>46</w:t>
      </w:r>
      <w:r>
        <w:rPr>
          <w:noProof/>
        </w:rPr>
        <w:fldChar w:fldCharType="end"/>
      </w:r>
    </w:p>
    <w:p w14:paraId="425D3147" w14:textId="6270D6C5"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5.3.</w:t>
      </w:r>
      <w:r>
        <w:rPr>
          <w:rFonts w:eastAsiaTheme="minorEastAsia"/>
          <w:smallCaps w:val="0"/>
          <w:noProof/>
          <w:sz w:val="22"/>
          <w:szCs w:val="22"/>
          <w:lang w:eastAsia="en-ZA"/>
        </w:rPr>
        <w:tab/>
      </w:r>
      <w:r>
        <w:rPr>
          <w:noProof/>
        </w:rPr>
        <w:t>Taxation</w:t>
      </w:r>
      <w:r>
        <w:rPr>
          <w:noProof/>
        </w:rPr>
        <w:tab/>
      </w:r>
      <w:r>
        <w:rPr>
          <w:noProof/>
        </w:rPr>
        <w:fldChar w:fldCharType="begin"/>
      </w:r>
      <w:r>
        <w:rPr>
          <w:noProof/>
        </w:rPr>
        <w:instrText xml:space="preserve"> PAGEREF _Toc479940869 \h </w:instrText>
      </w:r>
      <w:r>
        <w:rPr>
          <w:noProof/>
        </w:rPr>
      </w:r>
      <w:r>
        <w:rPr>
          <w:noProof/>
        </w:rPr>
        <w:fldChar w:fldCharType="separate"/>
      </w:r>
      <w:r w:rsidR="005062E7">
        <w:rPr>
          <w:noProof/>
        </w:rPr>
        <w:t>49</w:t>
      </w:r>
      <w:r>
        <w:rPr>
          <w:noProof/>
        </w:rPr>
        <w:fldChar w:fldCharType="end"/>
      </w:r>
    </w:p>
    <w:p w14:paraId="0C383F3F" w14:textId="07D77D72"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5.3.1.</w:t>
      </w:r>
      <w:r>
        <w:rPr>
          <w:rFonts w:eastAsiaTheme="minorEastAsia"/>
          <w:i w:val="0"/>
          <w:iCs w:val="0"/>
          <w:noProof/>
          <w:sz w:val="22"/>
          <w:szCs w:val="22"/>
          <w:lang w:eastAsia="en-ZA"/>
        </w:rPr>
        <w:tab/>
      </w:r>
      <w:r>
        <w:rPr>
          <w:noProof/>
        </w:rPr>
        <w:t>The legal framework</w:t>
      </w:r>
      <w:r>
        <w:rPr>
          <w:noProof/>
        </w:rPr>
        <w:tab/>
      </w:r>
      <w:r>
        <w:rPr>
          <w:noProof/>
        </w:rPr>
        <w:fldChar w:fldCharType="begin"/>
      </w:r>
      <w:r>
        <w:rPr>
          <w:noProof/>
        </w:rPr>
        <w:instrText xml:space="preserve"> PAGEREF _Toc479940870 \h </w:instrText>
      </w:r>
      <w:r>
        <w:rPr>
          <w:noProof/>
        </w:rPr>
      </w:r>
      <w:r>
        <w:rPr>
          <w:noProof/>
        </w:rPr>
        <w:fldChar w:fldCharType="separate"/>
      </w:r>
      <w:r w:rsidR="005062E7">
        <w:rPr>
          <w:noProof/>
        </w:rPr>
        <w:t>49</w:t>
      </w:r>
      <w:r>
        <w:rPr>
          <w:noProof/>
        </w:rPr>
        <w:fldChar w:fldCharType="end"/>
      </w:r>
    </w:p>
    <w:p w14:paraId="64DF0E2E" w14:textId="644D1C70"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5.3.2.</w:t>
      </w:r>
      <w:r>
        <w:rPr>
          <w:rFonts w:eastAsiaTheme="minorEastAsia"/>
          <w:i w:val="0"/>
          <w:iCs w:val="0"/>
          <w:noProof/>
          <w:sz w:val="22"/>
          <w:szCs w:val="22"/>
          <w:lang w:eastAsia="en-ZA"/>
        </w:rPr>
        <w:tab/>
      </w:r>
      <w:r>
        <w:rPr>
          <w:noProof/>
        </w:rPr>
        <w:t>Aims and theory of change</w:t>
      </w:r>
      <w:r>
        <w:rPr>
          <w:noProof/>
        </w:rPr>
        <w:tab/>
      </w:r>
      <w:r>
        <w:rPr>
          <w:noProof/>
        </w:rPr>
        <w:fldChar w:fldCharType="begin"/>
      </w:r>
      <w:r>
        <w:rPr>
          <w:noProof/>
        </w:rPr>
        <w:instrText xml:space="preserve"> PAGEREF _Toc479940871 \h </w:instrText>
      </w:r>
      <w:r>
        <w:rPr>
          <w:noProof/>
        </w:rPr>
      </w:r>
      <w:r>
        <w:rPr>
          <w:noProof/>
        </w:rPr>
        <w:fldChar w:fldCharType="separate"/>
      </w:r>
      <w:r w:rsidR="005062E7">
        <w:rPr>
          <w:noProof/>
        </w:rPr>
        <w:t>50</w:t>
      </w:r>
      <w:r>
        <w:rPr>
          <w:noProof/>
        </w:rPr>
        <w:fldChar w:fldCharType="end"/>
      </w:r>
    </w:p>
    <w:p w14:paraId="5C2FE0B0" w14:textId="6DF6D967"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5.3.3.</w:t>
      </w:r>
      <w:r>
        <w:rPr>
          <w:rFonts w:eastAsiaTheme="minorEastAsia"/>
          <w:i w:val="0"/>
          <w:iCs w:val="0"/>
          <w:noProof/>
          <w:sz w:val="22"/>
          <w:szCs w:val="22"/>
          <w:lang w:eastAsia="en-ZA"/>
        </w:rPr>
        <w:tab/>
      </w:r>
      <w:r>
        <w:rPr>
          <w:noProof/>
        </w:rPr>
        <w:t>The costs of registration and reporting</w:t>
      </w:r>
      <w:r>
        <w:rPr>
          <w:noProof/>
        </w:rPr>
        <w:tab/>
      </w:r>
      <w:r>
        <w:rPr>
          <w:noProof/>
        </w:rPr>
        <w:fldChar w:fldCharType="begin"/>
      </w:r>
      <w:r>
        <w:rPr>
          <w:noProof/>
        </w:rPr>
        <w:instrText xml:space="preserve"> PAGEREF _Toc479940872 \h </w:instrText>
      </w:r>
      <w:r>
        <w:rPr>
          <w:noProof/>
        </w:rPr>
      </w:r>
      <w:r>
        <w:rPr>
          <w:noProof/>
        </w:rPr>
        <w:fldChar w:fldCharType="separate"/>
      </w:r>
      <w:r w:rsidR="005062E7">
        <w:rPr>
          <w:noProof/>
        </w:rPr>
        <w:t>51</w:t>
      </w:r>
      <w:r>
        <w:rPr>
          <w:noProof/>
        </w:rPr>
        <w:fldChar w:fldCharType="end"/>
      </w:r>
    </w:p>
    <w:p w14:paraId="33CBA1F2" w14:textId="24B40AA8"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5.3.4.</w:t>
      </w:r>
      <w:r>
        <w:rPr>
          <w:rFonts w:eastAsiaTheme="minorEastAsia"/>
          <w:i w:val="0"/>
          <w:iCs w:val="0"/>
          <w:noProof/>
          <w:sz w:val="22"/>
          <w:szCs w:val="22"/>
          <w:lang w:eastAsia="en-ZA"/>
        </w:rPr>
        <w:tab/>
      </w:r>
      <w:r>
        <w:rPr>
          <w:noProof/>
        </w:rPr>
        <w:t>Assessment of costs and benefits for small enterprises</w:t>
      </w:r>
      <w:r>
        <w:rPr>
          <w:noProof/>
        </w:rPr>
        <w:tab/>
      </w:r>
      <w:r>
        <w:rPr>
          <w:noProof/>
        </w:rPr>
        <w:fldChar w:fldCharType="begin"/>
      </w:r>
      <w:r>
        <w:rPr>
          <w:noProof/>
        </w:rPr>
        <w:instrText xml:space="preserve"> PAGEREF _Toc479940876 \h </w:instrText>
      </w:r>
      <w:r>
        <w:rPr>
          <w:noProof/>
        </w:rPr>
      </w:r>
      <w:r>
        <w:rPr>
          <w:noProof/>
        </w:rPr>
        <w:fldChar w:fldCharType="separate"/>
      </w:r>
      <w:r w:rsidR="005062E7">
        <w:rPr>
          <w:noProof/>
        </w:rPr>
        <w:t>53</w:t>
      </w:r>
      <w:r>
        <w:rPr>
          <w:noProof/>
        </w:rPr>
        <w:fldChar w:fldCharType="end"/>
      </w:r>
    </w:p>
    <w:p w14:paraId="26108ADF" w14:textId="49D2278B"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5.3.5.</w:t>
      </w:r>
      <w:r>
        <w:rPr>
          <w:rFonts w:eastAsiaTheme="minorEastAsia"/>
          <w:i w:val="0"/>
          <w:iCs w:val="0"/>
          <w:noProof/>
          <w:sz w:val="22"/>
          <w:szCs w:val="22"/>
          <w:lang w:eastAsia="en-ZA"/>
        </w:rPr>
        <w:tab/>
      </w:r>
      <w:r>
        <w:rPr>
          <w:noProof/>
        </w:rPr>
        <w:t>Options</w:t>
      </w:r>
      <w:r>
        <w:rPr>
          <w:noProof/>
        </w:rPr>
        <w:tab/>
      </w:r>
      <w:r>
        <w:rPr>
          <w:noProof/>
        </w:rPr>
        <w:fldChar w:fldCharType="begin"/>
      </w:r>
      <w:r>
        <w:rPr>
          <w:noProof/>
        </w:rPr>
        <w:instrText xml:space="preserve"> PAGEREF _Toc479940877 \h </w:instrText>
      </w:r>
      <w:r>
        <w:rPr>
          <w:noProof/>
        </w:rPr>
      </w:r>
      <w:r>
        <w:rPr>
          <w:noProof/>
        </w:rPr>
        <w:fldChar w:fldCharType="separate"/>
      </w:r>
      <w:r w:rsidR="005062E7">
        <w:rPr>
          <w:noProof/>
        </w:rPr>
        <w:t>56</w:t>
      </w:r>
      <w:r>
        <w:rPr>
          <w:noProof/>
        </w:rPr>
        <w:fldChar w:fldCharType="end"/>
      </w:r>
    </w:p>
    <w:p w14:paraId="63AC4B33" w14:textId="2EFAC720"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5.4.</w:t>
      </w:r>
      <w:r>
        <w:rPr>
          <w:rFonts w:eastAsiaTheme="minorEastAsia"/>
          <w:smallCaps w:val="0"/>
          <w:noProof/>
          <w:sz w:val="22"/>
          <w:szCs w:val="22"/>
          <w:lang w:eastAsia="en-ZA"/>
        </w:rPr>
        <w:tab/>
      </w:r>
      <w:r>
        <w:rPr>
          <w:noProof/>
        </w:rPr>
        <w:t>Labour registration: UIF, the Compensation Fund and the skills levy</w:t>
      </w:r>
      <w:r>
        <w:rPr>
          <w:noProof/>
        </w:rPr>
        <w:tab/>
      </w:r>
      <w:r>
        <w:rPr>
          <w:noProof/>
        </w:rPr>
        <w:fldChar w:fldCharType="begin"/>
      </w:r>
      <w:r>
        <w:rPr>
          <w:noProof/>
        </w:rPr>
        <w:instrText xml:space="preserve"> PAGEREF _Toc479940878 \h </w:instrText>
      </w:r>
      <w:r>
        <w:rPr>
          <w:noProof/>
        </w:rPr>
      </w:r>
      <w:r>
        <w:rPr>
          <w:noProof/>
        </w:rPr>
        <w:fldChar w:fldCharType="separate"/>
      </w:r>
      <w:r w:rsidR="005062E7">
        <w:rPr>
          <w:noProof/>
        </w:rPr>
        <w:t>59</w:t>
      </w:r>
      <w:r>
        <w:rPr>
          <w:noProof/>
        </w:rPr>
        <w:fldChar w:fldCharType="end"/>
      </w:r>
    </w:p>
    <w:p w14:paraId="63CDDA96" w14:textId="105DF0D4"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5.4.1.</w:t>
      </w:r>
      <w:r>
        <w:rPr>
          <w:rFonts w:eastAsiaTheme="minorEastAsia"/>
          <w:i w:val="0"/>
          <w:iCs w:val="0"/>
          <w:noProof/>
          <w:sz w:val="22"/>
          <w:szCs w:val="22"/>
          <w:lang w:eastAsia="en-ZA"/>
        </w:rPr>
        <w:tab/>
      </w:r>
      <w:r>
        <w:rPr>
          <w:noProof/>
        </w:rPr>
        <w:t>The legislation</w:t>
      </w:r>
      <w:r>
        <w:rPr>
          <w:noProof/>
        </w:rPr>
        <w:tab/>
      </w:r>
      <w:r>
        <w:rPr>
          <w:noProof/>
        </w:rPr>
        <w:fldChar w:fldCharType="begin"/>
      </w:r>
      <w:r>
        <w:rPr>
          <w:noProof/>
        </w:rPr>
        <w:instrText xml:space="preserve"> PAGEREF _Toc479940879 \h </w:instrText>
      </w:r>
      <w:r>
        <w:rPr>
          <w:noProof/>
        </w:rPr>
      </w:r>
      <w:r>
        <w:rPr>
          <w:noProof/>
        </w:rPr>
        <w:fldChar w:fldCharType="separate"/>
      </w:r>
      <w:r w:rsidR="005062E7">
        <w:rPr>
          <w:noProof/>
        </w:rPr>
        <w:t>59</w:t>
      </w:r>
      <w:r>
        <w:rPr>
          <w:noProof/>
        </w:rPr>
        <w:fldChar w:fldCharType="end"/>
      </w:r>
    </w:p>
    <w:p w14:paraId="6B479E62" w14:textId="57AF9F74"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5.4.2.</w:t>
      </w:r>
      <w:r>
        <w:rPr>
          <w:rFonts w:eastAsiaTheme="minorEastAsia"/>
          <w:i w:val="0"/>
          <w:iCs w:val="0"/>
          <w:noProof/>
          <w:sz w:val="22"/>
          <w:szCs w:val="22"/>
          <w:lang w:eastAsia="en-ZA"/>
        </w:rPr>
        <w:tab/>
      </w:r>
      <w:r>
        <w:rPr>
          <w:noProof/>
        </w:rPr>
        <w:t>Aims and theory of change</w:t>
      </w:r>
      <w:r>
        <w:rPr>
          <w:noProof/>
        </w:rPr>
        <w:tab/>
      </w:r>
      <w:r>
        <w:rPr>
          <w:noProof/>
        </w:rPr>
        <w:fldChar w:fldCharType="begin"/>
      </w:r>
      <w:r>
        <w:rPr>
          <w:noProof/>
        </w:rPr>
        <w:instrText xml:space="preserve"> PAGEREF _Toc479940880 \h </w:instrText>
      </w:r>
      <w:r>
        <w:rPr>
          <w:noProof/>
        </w:rPr>
      </w:r>
      <w:r>
        <w:rPr>
          <w:noProof/>
        </w:rPr>
        <w:fldChar w:fldCharType="separate"/>
      </w:r>
      <w:r w:rsidR="005062E7">
        <w:rPr>
          <w:noProof/>
        </w:rPr>
        <w:t>60</w:t>
      </w:r>
      <w:r>
        <w:rPr>
          <w:noProof/>
        </w:rPr>
        <w:fldChar w:fldCharType="end"/>
      </w:r>
    </w:p>
    <w:p w14:paraId="3593F30A" w14:textId="160E1FA6"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5.4.3.</w:t>
      </w:r>
      <w:r>
        <w:rPr>
          <w:rFonts w:eastAsiaTheme="minorEastAsia"/>
          <w:i w:val="0"/>
          <w:iCs w:val="0"/>
          <w:noProof/>
          <w:sz w:val="22"/>
          <w:szCs w:val="22"/>
          <w:lang w:eastAsia="en-ZA"/>
        </w:rPr>
        <w:tab/>
      </w:r>
      <w:r>
        <w:rPr>
          <w:noProof/>
        </w:rPr>
        <w:t>The impact on smaller enterprises</w:t>
      </w:r>
      <w:r>
        <w:rPr>
          <w:noProof/>
        </w:rPr>
        <w:tab/>
      </w:r>
      <w:r>
        <w:rPr>
          <w:noProof/>
        </w:rPr>
        <w:fldChar w:fldCharType="begin"/>
      </w:r>
      <w:r>
        <w:rPr>
          <w:noProof/>
        </w:rPr>
        <w:instrText xml:space="preserve"> PAGEREF _Toc479940881 \h </w:instrText>
      </w:r>
      <w:r>
        <w:rPr>
          <w:noProof/>
        </w:rPr>
      </w:r>
      <w:r>
        <w:rPr>
          <w:noProof/>
        </w:rPr>
        <w:fldChar w:fldCharType="separate"/>
      </w:r>
      <w:r w:rsidR="005062E7">
        <w:rPr>
          <w:noProof/>
        </w:rPr>
        <w:t>62</w:t>
      </w:r>
      <w:r>
        <w:rPr>
          <w:noProof/>
        </w:rPr>
        <w:fldChar w:fldCharType="end"/>
      </w:r>
    </w:p>
    <w:p w14:paraId="07DF8D98" w14:textId="6CBEAFC1"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5.4.4.</w:t>
      </w:r>
      <w:r>
        <w:rPr>
          <w:rFonts w:eastAsiaTheme="minorEastAsia"/>
          <w:i w:val="0"/>
          <w:iCs w:val="0"/>
          <w:noProof/>
          <w:sz w:val="22"/>
          <w:szCs w:val="22"/>
          <w:lang w:eastAsia="en-ZA"/>
        </w:rPr>
        <w:tab/>
      </w:r>
      <w:r>
        <w:rPr>
          <w:noProof/>
        </w:rPr>
        <w:t>Assessment of costs on small enterprises</w:t>
      </w:r>
      <w:r>
        <w:rPr>
          <w:noProof/>
        </w:rPr>
        <w:tab/>
      </w:r>
      <w:r>
        <w:rPr>
          <w:noProof/>
        </w:rPr>
        <w:fldChar w:fldCharType="begin"/>
      </w:r>
      <w:r>
        <w:rPr>
          <w:noProof/>
        </w:rPr>
        <w:instrText xml:space="preserve"> PAGEREF _Toc479940882 \h </w:instrText>
      </w:r>
      <w:r>
        <w:rPr>
          <w:noProof/>
        </w:rPr>
      </w:r>
      <w:r>
        <w:rPr>
          <w:noProof/>
        </w:rPr>
        <w:fldChar w:fldCharType="separate"/>
      </w:r>
      <w:r w:rsidR="005062E7">
        <w:rPr>
          <w:noProof/>
        </w:rPr>
        <w:t>64</w:t>
      </w:r>
      <w:r>
        <w:rPr>
          <w:noProof/>
        </w:rPr>
        <w:fldChar w:fldCharType="end"/>
      </w:r>
    </w:p>
    <w:p w14:paraId="2647B439" w14:textId="69D9341B"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5.4.5.</w:t>
      </w:r>
      <w:r>
        <w:rPr>
          <w:rFonts w:eastAsiaTheme="minorEastAsia"/>
          <w:i w:val="0"/>
          <w:iCs w:val="0"/>
          <w:noProof/>
          <w:sz w:val="22"/>
          <w:szCs w:val="22"/>
          <w:lang w:eastAsia="en-ZA"/>
        </w:rPr>
        <w:tab/>
      </w:r>
      <w:r>
        <w:rPr>
          <w:noProof/>
        </w:rPr>
        <w:t>Options</w:t>
      </w:r>
      <w:r>
        <w:rPr>
          <w:noProof/>
        </w:rPr>
        <w:tab/>
      </w:r>
      <w:r>
        <w:rPr>
          <w:noProof/>
        </w:rPr>
        <w:fldChar w:fldCharType="begin"/>
      </w:r>
      <w:r>
        <w:rPr>
          <w:noProof/>
        </w:rPr>
        <w:instrText xml:space="preserve"> PAGEREF _Toc479940883 \h </w:instrText>
      </w:r>
      <w:r>
        <w:rPr>
          <w:noProof/>
        </w:rPr>
      </w:r>
      <w:r>
        <w:rPr>
          <w:noProof/>
        </w:rPr>
        <w:fldChar w:fldCharType="separate"/>
      </w:r>
      <w:r w:rsidR="005062E7">
        <w:rPr>
          <w:noProof/>
        </w:rPr>
        <w:t>66</w:t>
      </w:r>
      <w:r>
        <w:rPr>
          <w:noProof/>
        </w:rPr>
        <w:fldChar w:fldCharType="end"/>
      </w:r>
    </w:p>
    <w:p w14:paraId="27D9A46F" w14:textId="3759BE47"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6.</w:t>
      </w:r>
      <w:r>
        <w:rPr>
          <w:rFonts w:eastAsiaTheme="minorEastAsia"/>
          <w:b w:val="0"/>
          <w:bCs w:val="0"/>
          <w:caps w:val="0"/>
          <w:noProof/>
          <w:color w:val="auto"/>
          <w:sz w:val="22"/>
          <w:szCs w:val="22"/>
          <w:lang w:eastAsia="en-ZA"/>
        </w:rPr>
        <w:tab/>
      </w:r>
      <w:r w:rsidRPr="00D84931">
        <w:rPr>
          <w:rFonts w:ascii="Calibri" w:hAnsi="Calibri"/>
          <w:noProof/>
          <w:color w:val="1B5068"/>
        </w:rPr>
        <w:t>Procurement</w:t>
      </w:r>
      <w:r>
        <w:rPr>
          <w:noProof/>
        </w:rPr>
        <w:tab/>
      </w:r>
      <w:r>
        <w:rPr>
          <w:noProof/>
        </w:rPr>
        <w:fldChar w:fldCharType="begin"/>
      </w:r>
      <w:r>
        <w:rPr>
          <w:noProof/>
        </w:rPr>
        <w:instrText xml:space="preserve"> PAGEREF _Toc479940884 \h </w:instrText>
      </w:r>
      <w:r>
        <w:rPr>
          <w:noProof/>
        </w:rPr>
      </w:r>
      <w:r>
        <w:rPr>
          <w:noProof/>
        </w:rPr>
        <w:fldChar w:fldCharType="separate"/>
      </w:r>
      <w:r w:rsidR="005062E7">
        <w:rPr>
          <w:noProof/>
        </w:rPr>
        <w:t>70</w:t>
      </w:r>
      <w:r>
        <w:rPr>
          <w:noProof/>
        </w:rPr>
        <w:fldChar w:fldCharType="end"/>
      </w:r>
    </w:p>
    <w:p w14:paraId="6385F2DD" w14:textId="64ECB292"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6.1.</w:t>
      </w:r>
      <w:r>
        <w:rPr>
          <w:rFonts w:eastAsiaTheme="minorEastAsia"/>
          <w:smallCaps w:val="0"/>
          <w:noProof/>
          <w:sz w:val="22"/>
          <w:szCs w:val="22"/>
          <w:lang w:eastAsia="en-ZA"/>
        </w:rPr>
        <w:tab/>
      </w:r>
      <w:r>
        <w:rPr>
          <w:noProof/>
        </w:rPr>
        <w:t>The legal framework</w:t>
      </w:r>
      <w:r>
        <w:rPr>
          <w:noProof/>
        </w:rPr>
        <w:tab/>
      </w:r>
      <w:r>
        <w:rPr>
          <w:noProof/>
        </w:rPr>
        <w:fldChar w:fldCharType="begin"/>
      </w:r>
      <w:r>
        <w:rPr>
          <w:noProof/>
        </w:rPr>
        <w:instrText xml:space="preserve"> PAGEREF _Toc479940885 \h </w:instrText>
      </w:r>
      <w:r>
        <w:rPr>
          <w:noProof/>
        </w:rPr>
      </w:r>
      <w:r>
        <w:rPr>
          <w:noProof/>
        </w:rPr>
        <w:fldChar w:fldCharType="separate"/>
      </w:r>
      <w:r w:rsidR="005062E7">
        <w:rPr>
          <w:noProof/>
        </w:rPr>
        <w:t>71</w:t>
      </w:r>
      <w:r>
        <w:rPr>
          <w:noProof/>
        </w:rPr>
        <w:fldChar w:fldCharType="end"/>
      </w:r>
    </w:p>
    <w:p w14:paraId="24C2FF80" w14:textId="6A3C76D0"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6.2.</w:t>
      </w:r>
      <w:r>
        <w:rPr>
          <w:rFonts w:eastAsiaTheme="minorEastAsia"/>
          <w:smallCaps w:val="0"/>
          <w:noProof/>
          <w:sz w:val="22"/>
          <w:szCs w:val="22"/>
          <w:lang w:eastAsia="en-ZA"/>
        </w:rPr>
        <w:tab/>
      </w:r>
      <w:r>
        <w:rPr>
          <w:noProof/>
        </w:rPr>
        <w:t>Aims and theory of change</w:t>
      </w:r>
      <w:r>
        <w:rPr>
          <w:noProof/>
        </w:rPr>
        <w:tab/>
      </w:r>
      <w:r>
        <w:rPr>
          <w:noProof/>
        </w:rPr>
        <w:fldChar w:fldCharType="begin"/>
      </w:r>
      <w:r>
        <w:rPr>
          <w:noProof/>
        </w:rPr>
        <w:instrText xml:space="preserve"> PAGEREF _Toc479940886 \h </w:instrText>
      </w:r>
      <w:r>
        <w:rPr>
          <w:noProof/>
        </w:rPr>
      </w:r>
      <w:r>
        <w:rPr>
          <w:noProof/>
        </w:rPr>
        <w:fldChar w:fldCharType="separate"/>
      </w:r>
      <w:r w:rsidR="005062E7">
        <w:rPr>
          <w:noProof/>
        </w:rPr>
        <w:t>72</w:t>
      </w:r>
      <w:r>
        <w:rPr>
          <w:noProof/>
        </w:rPr>
        <w:fldChar w:fldCharType="end"/>
      </w:r>
    </w:p>
    <w:p w14:paraId="67D08499" w14:textId="1C5CF657"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6.3.</w:t>
      </w:r>
      <w:r>
        <w:rPr>
          <w:rFonts w:eastAsiaTheme="minorEastAsia"/>
          <w:smallCaps w:val="0"/>
          <w:noProof/>
          <w:sz w:val="22"/>
          <w:szCs w:val="22"/>
          <w:lang w:eastAsia="en-ZA"/>
        </w:rPr>
        <w:tab/>
      </w:r>
      <w:r>
        <w:rPr>
          <w:noProof/>
        </w:rPr>
        <w:t>Assessment of the costs to small businesses</w:t>
      </w:r>
      <w:r>
        <w:rPr>
          <w:noProof/>
        </w:rPr>
        <w:tab/>
      </w:r>
      <w:r>
        <w:rPr>
          <w:noProof/>
        </w:rPr>
        <w:fldChar w:fldCharType="begin"/>
      </w:r>
      <w:r>
        <w:rPr>
          <w:noProof/>
        </w:rPr>
        <w:instrText xml:space="preserve"> PAGEREF _Toc479940887 \h </w:instrText>
      </w:r>
      <w:r>
        <w:rPr>
          <w:noProof/>
        </w:rPr>
      </w:r>
      <w:r>
        <w:rPr>
          <w:noProof/>
        </w:rPr>
        <w:fldChar w:fldCharType="separate"/>
      </w:r>
      <w:r w:rsidR="005062E7">
        <w:rPr>
          <w:noProof/>
        </w:rPr>
        <w:t>75</w:t>
      </w:r>
      <w:r>
        <w:rPr>
          <w:noProof/>
        </w:rPr>
        <w:fldChar w:fldCharType="end"/>
      </w:r>
    </w:p>
    <w:p w14:paraId="457BDD24" w14:textId="35CAE989"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6.3.1.</w:t>
      </w:r>
      <w:r>
        <w:rPr>
          <w:rFonts w:eastAsiaTheme="minorEastAsia"/>
          <w:i w:val="0"/>
          <w:iCs w:val="0"/>
          <w:noProof/>
          <w:sz w:val="22"/>
          <w:szCs w:val="22"/>
          <w:lang w:eastAsia="en-ZA"/>
        </w:rPr>
        <w:tab/>
      </w:r>
      <w:r>
        <w:rPr>
          <w:noProof/>
        </w:rPr>
        <w:t>The cost of implementation</w:t>
      </w:r>
      <w:r>
        <w:rPr>
          <w:noProof/>
        </w:rPr>
        <w:tab/>
      </w:r>
      <w:r>
        <w:rPr>
          <w:noProof/>
        </w:rPr>
        <w:fldChar w:fldCharType="begin"/>
      </w:r>
      <w:r>
        <w:rPr>
          <w:noProof/>
        </w:rPr>
        <w:instrText xml:space="preserve"> PAGEREF _Toc479940888 \h </w:instrText>
      </w:r>
      <w:r>
        <w:rPr>
          <w:noProof/>
        </w:rPr>
      </w:r>
      <w:r>
        <w:rPr>
          <w:noProof/>
        </w:rPr>
        <w:fldChar w:fldCharType="separate"/>
      </w:r>
      <w:r w:rsidR="005062E7">
        <w:rPr>
          <w:noProof/>
        </w:rPr>
        <w:t>75</w:t>
      </w:r>
      <w:r>
        <w:rPr>
          <w:noProof/>
        </w:rPr>
        <w:fldChar w:fldCharType="end"/>
      </w:r>
    </w:p>
    <w:p w14:paraId="3BDF75B6" w14:textId="4A2055F1"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6.3.2.</w:t>
      </w:r>
      <w:r>
        <w:rPr>
          <w:rFonts w:eastAsiaTheme="minorEastAsia"/>
          <w:i w:val="0"/>
          <w:iCs w:val="0"/>
          <w:noProof/>
          <w:sz w:val="22"/>
          <w:szCs w:val="22"/>
          <w:lang w:eastAsia="en-ZA"/>
        </w:rPr>
        <w:tab/>
      </w:r>
      <w:r>
        <w:rPr>
          <w:noProof/>
        </w:rPr>
        <w:t>Administrative costs</w:t>
      </w:r>
      <w:r>
        <w:rPr>
          <w:noProof/>
        </w:rPr>
        <w:tab/>
      </w:r>
      <w:r>
        <w:rPr>
          <w:noProof/>
        </w:rPr>
        <w:fldChar w:fldCharType="begin"/>
      </w:r>
      <w:r>
        <w:rPr>
          <w:noProof/>
        </w:rPr>
        <w:instrText xml:space="preserve"> PAGEREF _Toc479940889 \h </w:instrText>
      </w:r>
      <w:r>
        <w:rPr>
          <w:noProof/>
        </w:rPr>
      </w:r>
      <w:r>
        <w:rPr>
          <w:noProof/>
        </w:rPr>
        <w:fldChar w:fldCharType="separate"/>
      </w:r>
      <w:r w:rsidR="005062E7">
        <w:rPr>
          <w:noProof/>
        </w:rPr>
        <w:t>75</w:t>
      </w:r>
      <w:r>
        <w:rPr>
          <w:noProof/>
        </w:rPr>
        <w:fldChar w:fldCharType="end"/>
      </w:r>
    </w:p>
    <w:p w14:paraId="06B39379" w14:textId="3D48EAC9"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6.3.3.</w:t>
      </w:r>
      <w:r>
        <w:rPr>
          <w:rFonts w:eastAsiaTheme="minorEastAsia"/>
          <w:i w:val="0"/>
          <w:iCs w:val="0"/>
          <w:noProof/>
          <w:sz w:val="22"/>
          <w:szCs w:val="22"/>
          <w:lang w:eastAsia="en-ZA"/>
        </w:rPr>
        <w:tab/>
      </w:r>
      <w:r>
        <w:rPr>
          <w:noProof/>
        </w:rPr>
        <w:t>Costs and benefits that are integral to the desired outcome</w:t>
      </w:r>
      <w:r>
        <w:rPr>
          <w:noProof/>
        </w:rPr>
        <w:tab/>
      </w:r>
      <w:r>
        <w:rPr>
          <w:noProof/>
        </w:rPr>
        <w:fldChar w:fldCharType="begin"/>
      </w:r>
      <w:r>
        <w:rPr>
          <w:noProof/>
        </w:rPr>
        <w:instrText xml:space="preserve"> PAGEREF _Toc479940890 \h </w:instrText>
      </w:r>
      <w:r>
        <w:rPr>
          <w:noProof/>
        </w:rPr>
      </w:r>
      <w:r>
        <w:rPr>
          <w:noProof/>
        </w:rPr>
        <w:fldChar w:fldCharType="separate"/>
      </w:r>
      <w:r w:rsidR="005062E7">
        <w:rPr>
          <w:noProof/>
        </w:rPr>
        <w:t>76</w:t>
      </w:r>
      <w:r>
        <w:rPr>
          <w:noProof/>
        </w:rPr>
        <w:fldChar w:fldCharType="end"/>
      </w:r>
    </w:p>
    <w:p w14:paraId="322D3FF5" w14:textId="6364FE0D"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6.4.</w:t>
      </w:r>
      <w:r>
        <w:rPr>
          <w:rFonts w:eastAsiaTheme="minorEastAsia"/>
          <w:smallCaps w:val="0"/>
          <w:noProof/>
          <w:sz w:val="22"/>
          <w:szCs w:val="22"/>
          <w:lang w:eastAsia="en-ZA"/>
        </w:rPr>
        <w:tab/>
      </w:r>
      <w:r>
        <w:rPr>
          <w:noProof/>
        </w:rPr>
        <w:t>Options</w:t>
      </w:r>
      <w:r>
        <w:rPr>
          <w:noProof/>
        </w:rPr>
        <w:tab/>
      </w:r>
      <w:r>
        <w:rPr>
          <w:noProof/>
        </w:rPr>
        <w:fldChar w:fldCharType="begin"/>
      </w:r>
      <w:r>
        <w:rPr>
          <w:noProof/>
        </w:rPr>
        <w:instrText xml:space="preserve"> PAGEREF _Toc479940891 \h </w:instrText>
      </w:r>
      <w:r>
        <w:rPr>
          <w:noProof/>
        </w:rPr>
      </w:r>
      <w:r>
        <w:rPr>
          <w:noProof/>
        </w:rPr>
        <w:fldChar w:fldCharType="separate"/>
      </w:r>
      <w:r w:rsidR="005062E7">
        <w:rPr>
          <w:noProof/>
        </w:rPr>
        <w:t>77</w:t>
      </w:r>
      <w:r>
        <w:rPr>
          <w:noProof/>
        </w:rPr>
        <w:fldChar w:fldCharType="end"/>
      </w:r>
    </w:p>
    <w:p w14:paraId="0CFB59EC" w14:textId="3DC70E0B"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6.4.1.</w:t>
      </w:r>
      <w:r>
        <w:rPr>
          <w:rFonts w:eastAsiaTheme="minorEastAsia"/>
          <w:i w:val="0"/>
          <w:iCs w:val="0"/>
          <w:noProof/>
          <w:sz w:val="22"/>
          <w:szCs w:val="22"/>
          <w:lang w:eastAsia="en-ZA"/>
        </w:rPr>
        <w:tab/>
      </w:r>
      <w:r>
        <w:rPr>
          <w:noProof/>
        </w:rPr>
        <w:t>Payment delays</w:t>
      </w:r>
      <w:r>
        <w:rPr>
          <w:noProof/>
        </w:rPr>
        <w:tab/>
      </w:r>
      <w:r>
        <w:rPr>
          <w:noProof/>
        </w:rPr>
        <w:fldChar w:fldCharType="begin"/>
      </w:r>
      <w:r>
        <w:rPr>
          <w:noProof/>
        </w:rPr>
        <w:instrText xml:space="preserve"> PAGEREF _Toc479940892 \h </w:instrText>
      </w:r>
      <w:r>
        <w:rPr>
          <w:noProof/>
        </w:rPr>
      </w:r>
      <w:r>
        <w:rPr>
          <w:noProof/>
        </w:rPr>
        <w:fldChar w:fldCharType="separate"/>
      </w:r>
      <w:r w:rsidR="005062E7">
        <w:rPr>
          <w:noProof/>
        </w:rPr>
        <w:t>78</w:t>
      </w:r>
      <w:r>
        <w:rPr>
          <w:noProof/>
        </w:rPr>
        <w:fldChar w:fldCharType="end"/>
      </w:r>
    </w:p>
    <w:p w14:paraId="21B563E4" w14:textId="0115CB75"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6.4.2.</w:t>
      </w:r>
      <w:r>
        <w:rPr>
          <w:rFonts w:eastAsiaTheme="minorEastAsia"/>
          <w:i w:val="0"/>
          <w:iCs w:val="0"/>
          <w:noProof/>
          <w:sz w:val="22"/>
          <w:szCs w:val="22"/>
          <w:lang w:eastAsia="en-ZA"/>
        </w:rPr>
        <w:tab/>
      </w:r>
      <w:r>
        <w:rPr>
          <w:noProof/>
        </w:rPr>
        <w:t>Up-front payments</w:t>
      </w:r>
      <w:r>
        <w:rPr>
          <w:noProof/>
        </w:rPr>
        <w:tab/>
      </w:r>
      <w:r>
        <w:rPr>
          <w:noProof/>
        </w:rPr>
        <w:fldChar w:fldCharType="begin"/>
      </w:r>
      <w:r>
        <w:rPr>
          <w:noProof/>
        </w:rPr>
        <w:instrText xml:space="preserve"> PAGEREF _Toc479940893 \h </w:instrText>
      </w:r>
      <w:r>
        <w:rPr>
          <w:noProof/>
        </w:rPr>
      </w:r>
      <w:r>
        <w:rPr>
          <w:noProof/>
        </w:rPr>
        <w:fldChar w:fldCharType="separate"/>
      </w:r>
      <w:r w:rsidR="005062E7">
        <w:rPr>
          <w:noProof/>
        </w:rPr>
        <w:t>79</w:t>
      </w:r>
      <w:r>
        <w:rPr>
          <w:noProof/>
        </w:rPr>
        <w:fldChar w:fldCharType="end"/>
      </w:r>
    </w:p>
    <w:p w14:paraId="46C5DB4C" w14:textId="5963CFEA"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6.4.3.</w:t>
      </w:r>
      <w:r>
        <w:rPr>
          <w:rFonts w:eastAsiaTheme="minorEastAsia"/>
          <w:i w:val="0"/>
          <w:iCs w:val="0"/>
          <w:noProof/>
          <w:sz w:val="22"/>
          <w:szCs w:val="22"/>
          <w:lang w:eastAsia="en-ZA"/>
        </w:rPr>
        <w:tab/>
      </w:r>
      <w:r>
        <w:rPr>
          <w:noProof/>
        </w:rPr>
        <w:t>Regulation of subcontracting</w:t>
      </w:r>
      <w:r>
        <w:rPr>
          <w:noProof/>
        </w:rPr>
        <w:tab/>
      </w:r>
      <w:r>
        <w:rPr>
          <w:noProof/>
        </w:rPr>
        <w:fldChar w:fldCharType="begin"/>
      </w:r>
      <w:r>
        <w:rPr>
          <w:noProof/>
        </w:rPr>
        <w:instrText xml:space="preserve"> PAGEREF _Toc479940894 \h </w:instrText>
      </w:r>
      <w:r>
        <w:rPr>
          <w:noProof/>
        </w:rPr>
      </w:r>
      <w:r>
        <w:rPr>
          <w:noProof/>
        </w:rPr>
        <w:fldChar w:fldCharType="separate"/>
      </w:r>
      <w:r w:rsidR="005062E7">
        <w:rPr>
          <w:noProof/>
        </w:rPr>
        <w:t>80</w:t>
      </w:r>
      <w:r>
        <w:rPr>
          <w:noProof/>
        </w:rPr>
        <w:fldChar w:fldCharType="end"/>
      </w:r>
    </w:p>
    <w:p w14:paraId="2F7AD8AA" w14:textId="69BE1147"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6.4.4.</w:t>
      </w:r>
      <w:r>
        <w:rPr>
          <w:rFonts w:eastAsiaTheme="minorEastAsia"/>
          <w:i w:val="0"/>
          <w:iCs w:val="0"/>
          <w:noProof/>
          <w:sz w:val="22"/>
          <w:szCs w:val="22"/>
          <w:lang w:eastAsia="en-ZA"/>
        </w:rPr>
        <w:tab/>
      </w:r>
      <w:r>
        <w:rPr>
          <w:noProof/>
        </w:rPr>
        <w:t>Stakeholder responses</w:t>
      </w:r>
      <w:r>
        <w:rPr>
          <w:noProof/>
        </w:rPr>
        <w:tab/>
      </w:r>
      <w:r>
        <w:rPr>
          <w:noProof/>
        </w:rPr>
        <w:fldChar w:fldCharType="begin"/>
      </w:r>
      <w:r>
        <w:rPr>
          <w:noProof/>
        </w:rPr>
        <w:instrText xml:space="preserve"> PAGEREF _Toc479940895 \h </w:instrText>
      </w:r>
      <w:r>
        <w:rPr>
          <w:noProof/>
        </w:rPr>
      </w:r>
      <w:r>
        <w:rPr>
          <w:noProof/>
        </w:rPr>
        <w:fldChar w:fldCharType="separate"/>
      </w:r>
      <w:r w:rsidR="005062E7">
        <w:rPr>
          <w:noProof/>
        </w:rPr>
        <w:t>82</w:t>
      </w:r>
      <w:r>
        <w:rPr>
          <w:noProof/>
        </w:rPr>
        <w:fldChar w:fldCharType="end"/>
      </w:r>
    </w:p>
    <w:p w14:paraId="16D6B45F" w14:textId="7800CF24"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7.</w:t>
      </w:r>
      <w:r>
        <w:rPr>
          <w:rFonts w:eastAsiaTheme="minorEastAsia"/>
          <w:b w:val="0"/>
          <w:bCs w:val="0"/>
          <w:caps w:val="0"/>
          <w:noProof/>
          <w:color w:val="auto"/>
          <w:sz w:val="22"/>
          <w:szCs w:val="22"/>
          <w:lang w:eastAsia="en-ZA"/>
        </w:rPr>
        <w:tab/>
      </w:r>
      <w:r w:rsidRPr="00D84931">
        <w:rPr>
          <w:rFonts w:ascii="Calibri" w:hAnsi="Calibri"/>
          <w:noProof/>
          <w:color w:val="1B5068"/>
        </w:rPr>
        <w:t>The construction industry</w:t>
      </w:r>
      <w:r>
        <w:rPr>
          <w:noProof/>
        </w:rPr>
        <w:tab/>
      </w:r>
      <w:r>
        <w:rPr>
          <w:noProof/>
        </w:rPr>
        <w:fldChar w:fldCharType="begin"/>
      </w:r>
      <w:r>
        <w:rPr>
          <w:noProof/>
        </w:rPr>
        <w:instrText xml:space="preserve"> PAGEREF _Toc479940896 \h </w:instrText>
      </w:r>
      <w:r>
        <w:rPr>
          <w:noProof/>
        </w:rPr>
      </w:r>
      <w:r>
        <w:rPr>
          <w:noProof/>
        </w:rPr>
        <w:fldChar w:fldCharType="separate"/>
      </w:r>
      <w:r w:rsidR="005062E7">
        <w:rPr>
          <w:noProof/>
        </w:rPr>
        <w:t>82</w:t>
      </w:r>
      <w:r>
        <w:rPr>
          <w:noProof/>
        </w:rPr>
        <w:fldChar w:fldCharType="end"/>
      </w:r>
    </w:p>
    <w:p w14:paraId="45D26658" w14:textId="6B8DB2AE"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7.1.</w:t>
      </w:r>
      <w:r>
        <w:rPr>
          <w:rFonts w:eastAsiaTheme="minorEastAsia"/>
          <w:smallCaps w:val="0"/>
          <w:noProof/>
          <w:sz w:val="22"/>
          <w:szCs w:val="22"/>
          <w:lang w:eastAsia="en-ZA"/>
        </w:rPr>
        <w:tab/>
      </w:r>
      <w:r>
        <w:rPr>
          <w:noProof/>
        </w:rPr>
        <w:t>The legal framework</w:t>
      </w:r>
      <w:r>
        <w:rPr>
          <w:noProof/>
        </w:rPr>
        <w:tab/>
      </w:r>
      <w:r>
        <w:rPr>
          <w:noProof/>
        </w:rPr>
        <w:fldChar w:fldCharType="begin"/>
      </w:r>
      <w:r>
        <w:rPr>
          <w:noProof/>
        </w:rPr>
        <w:instrText xml:space="preserve"> PAGEREF _Toc479940897 \h </w:instrText>
      </w:r>
      <w:r>
        <w:rPr>
          <w:noProof/>
        </w:rPr>
      </w:r>
      <w:r>
        <w:rPr>
          <w:noProof/>
        </w:rPr>
        <w:fldChar w:fldCharType="separate"/>
      </w:r>
      <w:r w:rsidR="005062E7">
        <w:rPr>
          <w:noProof/>
        </w:rPr>
        <w:t>83</w:t>
      </w:r>
      <w:r>
        <w:rPr>
          <w:noProof/>
        </w:rPr>
        <w:fldChar w:fldCharType="end"/>
      </w:r>
    </w:p>
    <w:p w14:paraId="33AD22E6" w14:textId="20474EA4"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7.2.</w:t>
      </w:r>
      <w:r>
        <w:rPr>
          <w:rFonts w:eastAsiaTheme="minorEastAsia"/>
          <w:smallCaps w:val="0"/>
          <w:noProof/>
          <w:sz w:val="22"/>
          <w:szCs w:val="22"/>
          <w:lang w:eastAsia="en-ZA"/>
        </w:rPr>
        <w:tab/>
      </w:r>
      <w:r>
        <w:rPr>
          <w:noProof/>
        </w:rPr>
        <w:t>Aims and theory of change</w:t>
      </w:r>
      <w:r>
        <w:rPr>
          <w:noProof/>
        </w:rPr>
        <w:tab/>
      </w:r>
      <w:r>
        <w:rPr>
          <w:noProof/>
        </w:rPr>
        <w:fldChar w:fldCharType="begin"/>
      </w:r>
      <w:r>
        <w:rPr>
          <w:noProof/>
        </w:rPr>
        <w:instrText xml:space="preserve"> PAGEREF _Toc479940898 \h </w:instrText>
      </w:r>
      <w:r>
        <w:rPr>
          <w:noProof/>
        </w:rPr>
      </w:r>
      <w:r>
        <w:rPr>
          <w:noProof/>
        </w:rPr>
        <w:fldChar w:fldCharType="separate"/>
      </w:r>
      <w:r w:rsidR="005062E7">
        <w:rPr>
          <w:noProof/>
        </w:rPr>
        <w:t>83</w:t>
      </w:r>
      <w:r>
        <w:rPr>
          <w:noProof/>
        </w:rPr>
        <w:fldChar w:fldCharType="end"/>
      </w:r>
    </w:p>
    <w:p w14:paraId="14209EBC" w14:textId="3187734C"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7.3.</w:t>
      </w:r>
      <w:r>
        <w:rPr>
          <w:rFonts w:eastAsiaTheme="minorEastAsia"/>
          <w:smallCaps w:val="0"/>
          <w:noProof/>
          <w:sz w:val="22"/>
          <w:szCs w:val="22"/>
          <w:lang w:eastAsia="en-ZA"/>
        </w:rPr>
        <w:tab/>
      </w:r>
      <w:r>
        <w:rPr>
          <w:noProof/>
        </w:rPr>
        <w:t>The regulatory requirements</w:t>
      </w:r>
      <w:r>
        <w:rPr>
          <w:noProof/>
        </w:rPr>
        <w:tab/>
      </w:r>
      <w:r>
        <w:rPr>
          <w:noProof/>
        </w:rPr>
        <w:fldChar w:fldCharType="begin"/>
      </w:r>
      <w:r>
        <w:rPr>
          <w:noProof/>
        </w:rPr>
        <w:instrText xml:space="preserve"> PAGEREF _Toc479940899 \h </w:instrText>
      </w:r>
      <w:r>
        <w:rPr>
          <w:noProof/>
        </w:rPr>
      </w:r>
      <w:r>
        <w:rPr>
          <w:noProof/>
        </w:rPr>
        <w:fldChar w:fldCharType="separate"/>
      </w:r>
      <w:r w:rsidR="005062E7">
        <w:rPr>
          <w:noProof/>
        </w:rPr>
        <w:t>84</w:t>
      </w:r>
      <w:r>
        <w:rPr>
          <w:noProof/>
        </w:rPr>
        <w:fldChar w:fldCharType="end"/>
      </w:r>
    </w:p>
    <w:p w14:paraId="42764938" w14:textId="3C5FDFC5"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7.4.</w:t>
      </w:r>
      <w:r>
        <w:rPr>
          <w:rFonts w:eastAsiaTheme="minorEastAsia"/>
          <w:smallCaps w:val="0"/>
          <w:noProof/>
          <w:sz w:val="22"/>
          <w:szCs w:val="22"/>
          <w:lang w:eastAsia="en-ZA"/>
        </w:rPr>
        <w:tab/>
      </w:r>
      <w:r>
        <w:rPr>
          <w:noProof/>
        </w:rPr>
        <w:t>The impact on smaller enterprises</w:t>
      </w:r>
      <w:r>
        <w:rPr>
          <w:noProof/>
        </w:rPr>
        <w:tab/>
      </w:r>
      <w:r>
        <w:rPr>
          <w:noProof/>
        </w:rPr>
        <w:fldChar w:fldCharType="begin"/>
      </w:r>
      <w:r>
        <w:rPr>
          <w:noProof/>
        </w:rPr>
        <w:instrText xml:space="preserve"> PAGEREF _Toc479940900 \h </w:instrText>
      </w:r>
      <w:r>
        <w:rPr>
          <w:noProof/>
        </w:rPr>
      </w:r>
      <w:r>
        <w:rPr>
          <w:noProof/>
        </w:rPr>
        <w:fldChar w:fldCharType="separate"/>
      </w:r>
      <w:r w:rsidR="005062E7">
        <w:rPr>
          <w:noProof/>
        </w:rPr>
        <w:t>86</w:t>
      </w:r>
      <w:r>
        <w:rPr>
          <w:noProof/>
        </w:rPr>
        <w:fldChar w:fldCharType="end"/>
      </w:r>
    </w:p>
    <w:p w14:paraId="4EE3C8A7" w14:textId="512B3C7B"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7.4.1.</w:t>
      </w:r>
      <w:r>
        <w:rPr>
          <w:rFonts w:eastAsiaTheme="minorEastAsia"/>
          <w:i w:val="0"/>
          <w:iCs w:val="0"/>
          <w:noProof/>
          <w:sz w:val="22"/>
          <w:szCs w:val="22"/>
          <w:lang w:eastAsia="en-ZA"/>
        </w:rPr>
        <w:tab/>
      </w:r>
      <w:r>
        <w:rPr>
          <w:noProof/>
        </w:rPr>
        <w:t>Administrative costs</w:t>
      </w:r>
      <w:r>
        <w:rPr>
          <w:noProof/>
        </w:rPr>
        <w:tab/>
      </w:r>
      <w:r>
        <w:rPr>
          <w:noProof/>
        </w:rPr>
        <w:fldChar w:fldCharType="begin"/>
      </w:r>
      <w:r>
        <w:rPr>
          <w:noProof/>
        </w:rPr>
        <w:instrText xml:space="preserve"> PAGEREF _Toc479940901 \h </w:instrText>
      </w:r>
      <w:r>
        <w:rPr>
          <w:noProof/>
        </w:rPr>
      </w:r>
      <w:r>
        <w:rPr>
          <w:noProof/>
        </w:rPr>
        <w:fldChar w:fldCharType="separate"/>
      </w:r>
      <w:r w:rsidR="005062E7">
        <w:rPr>
          <w:noProof/>
        </w:rPr>
        <w:t>86</w:t>
      </w:r>
      <w:r>
        <w:rPr>
          <w:noProof/>
        </w:rPr>
        <w:fldChar w:fldCharType="end"/>
      </w:r>
    </w:p>
    <w:p w14:paraId="13958A4F" w14:textId="06F2ED42"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7.4.2.</w:t>
      </w:r>
      <w:r>
        <w:rPr>
          <w:rFonts w:eastAsiaTheme="minorEastAsia"/>
          <w:i w:val="0"/>
          <w:iCs w:val="0"/>
          <w:noProof/>
          <w:sz w:val="22"/>
          <w:szCs w:val="22"/>
          <w:lang w:eastAsia="en-ZA"/>
        </w:rPr>
        <w:tab/>
      </w:r>
      <w:r>
        <w:rPr>
          <w:noProof/>
        </w:rPr>
        <w:t>Costs and benefits that are integral to the desired outcome</w:t>
      </w:r>
      <w:r>
        <w:rPr>
          <w:noProof/>
        </w:rPr>
        <w:tab/>
      </w:r>
      <w:r>
        <w:rPr>
          <w:noProof/>
        </w:rPr>
        <w:fldChar w:fldCharType="begin"/>
      </w:r>
      <w:r>
        <w:rPr>
          <w:noProof/>
        </w:rPr>
        <w:instrText xml:space="preserve"> PAGEREF _Toc479940902 \h </w:instrText>
      </w:r>
      <w:r>
        <w:rPr>
          <w:noProof/>
        </w:rPr>
      </w:r>
      <w:r>
        <w:rPr>
          <w:noProof/>
        </w:rPr>
        <w:fldChar w:fldCharType="separate"/>
      </w:r>
      <w:r w:rsidR="005062E7">
        <w:rPr>
          <w:noProof/>
        </w:rPr>
        <w:t>87</w:t>
      </w:r>
      <w:r>
        <w:rPr>
          <w:noProof/>
        </w:rPr>
        <w:fldChar w:fldCharType="end"/>
      </w:r>
    </w:p>
    <w:p w14:paraId="6AE7B1CB" w14:textId="6C66E6D5"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7.5.</w:t>
      </w:r>
      <w:r>
        <w:rPr>
          <w:rFonts w:eastAsiaTheme="minorEastAsia"/>
          <w:smallCaps w:val="0"/>
          <w:noProof/>
          <w:sz w:val="22"/>
          <w:szCs w:val="22"/>
          <w:lang w:eastAsia="en-ZA"/>
        </w:rPr>
        <w:tab/>
      </w:r>
      <w:r>
        <w:rPr>
          <w:noProof/>
        </w:rPr>
        <w:t>Assessment of costs and benefits for small business</w:t>
      </w:r>
      <w:r>
        <w:rPr>
          <w:noProof/>
        </w:rPr>
        <w:tab/>
      </w:r>
      <w:r>
        <w:rPr>
          <w:noProof/>
        </w:rPr>
        <w:fldChar w:fldCharType="begin"/>
      </w:r>
      <w:r>
        <w:rPr>
          <w:noProof/>
        </w:rPr>
        <w:instrText xml:space="preserve"> PAGEREF _Toc479940903 \h </w:instrText>
      </w:r>
      <w:r>
        <w:rPr>
          <w:noProof/>
        </w:rPr>
      </w:r>
      <w:r>
        <w:rPr>
          <w:noProof/>
        </w:rPr>
        <w:fldChar w:fldCharType="separate"/>
      </w:r>
      <w:r w:rsidR="005062E7">
        <w:rPr>
          <w:noProof/>
        </w:rPr>
        <w:t>87</w:t>
      </w:r>
      <w:r>
        <w:rPr>
          <w:noProof/>
        </w:rPr>
        <w:fldChar w:fldCharType="end"/>
      </w:r>
    </w:p>
    <w:p w14:paraId="559CA252" w14:textId="502AB63A"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7.6.</w:t>
      </w:r>
      <w:r>
        <w:rPr>
          <w:rFonts w:eastAsiaTheme="minorEastAsia"/>
          <w:smallCaps w:val="0"/>
          <w:noProof/>
          <w:sz w:val="22"/>
          <w:szCs w:val="22"/>
          <w:lang w:eastAsia="en-ZA"/>
        </w:rPr>
        <w:tab/>
      </w:r>
      <w:r>
        <w:rPr>
          <w:noProof/>
        </w:rPr>
        <w:t>Options</w:t>
      </w:r>
      <w:r>
        <w:rPr>
          <w:noProof/>
        </w:rPr>
        <w:tab/>
      </w:r>
      <w:r>
        <w:rPr>
          <w:noProof/>
        </w:rPr>
        <w:fldChar w:fldCharType="begin"/>
      </w:r>
      <w:r>
        <w:rPr>
          <w:noProof/>
        </w:rPr>
        <w:instrText xml:space="preserve"> PAGEREF _Toc479940904 \h </w:instrText>
      </w:r>
      <w:r>
        <w:rPr>
          <w:noProof/>
        </w:rPr>
      </w:r>
      <w:r>
        <w:rPr>
          <w:noProof/>
        </w:rPr>
        <w:fldChar w:fldCharType="separate"/>
      </w:r>
      <w:r w:rsidR="005062E7">
        <w:rPr>
          <w:noProof/>
        </w:rPr>
        <w:t>88</w:t>
      </w:r>
      <w:r>
        <w:rPr>
          <w:noProof/>
        </w:rPr>
        <w:fldChar w:fldCharType="end"/>
      </w:r>
    </w:p>
    <w:p w14:paraId="750BFB14" w14:textId="69151C6D"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7.6.1.</w:t>
      </w:r>
      <w:r>
        <w:rPr>
          <w:rFonts w:eastAsiaTheme="minorEastAsia"/>
          <w:i w:val="0"/>
          <w:iCs w:val="0"/>
          <w:noProof/>
          <w:sz w:val="22"/>
          <w:szCs w:val="22"/>
          <w:lang w:eastAsia="en-ZA"/>
        </w:rPr>
        <w:tab/>
      </w:r>
      <w:r>
        <w:rPr>
          <w:noProof/>
        </w:rPr>
        <w:t>Assessment of options</w:t>
      </w:r>
      <w:r>
        <w:rPr>
          <w:noProof/>
        </w:rPr>
        <w:tab/>
      </w:r>
      <w:r>
        <w:rPr>
          <w:noProof/>
        </w:rPr>
        <w:fldChar w:fldCharType="begin"/>
      </w:r>
      <w:r>
        <w:rPr>
          <w:noProof/>
        </w:rPr>
        <w:instrText xml:space="preserve"> PAGEREF _Toc479940907 \h </w:instrText>
      </w:r>
      <w:r>
        <w:rPr>
          <w:noProof/>
        </w:rPr>
      </w:r>
      <w:r>
        <w:rPr>
          <w:noProof/>
        </w:rPr>
        <w:fldChar w:fldCharType="separate"/>
      </w:r>
      <w:r w:rsidR="005062E7">
        <w:rPr>
          <w:noProof/>
        </w:rPr>
        <w:t>88</w:t>
      </w:r>
      <w:r>
        <w:rPr>
          <w:noProof/>
        </w:rPr>
        <w:fldChar w:fldCharType="end"/>
      </w:r>
    </w:p>
    <w:p w14:paraId="67AC1F8E" w14:textId="4771AC85"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7.6.2.</w:t>
      </w:r>
      <w:r>
        <w:rPr>
          <w:rFonts w:eastAsiaTheme="minorEastAsia"/>
          <w:i w:val="0"/>
          <w:iCs w:val="0"/>
          <w:noProof/>
          <w:sz w:val="22"/>
          <w:szCs w:val="22"/>
          <w:lang w:eastAsia="en-ZA"/>
        </w:rPr>
        <w:tab/>
      </w:r>
      <w:r>
        <w:rPr>
          <w:noProof/>
        </w:rPr>
        <w:t>Stakeholder responses</w:t>
      </w:r>
      <w:r>
        <w:rPr>
          <w:noProof/>
        </w:rPr>
        <w:tab/>
      </w:r>
      <w:r>
        <w:rPr>
          <w:noProof/>
        </w:rPr>
        <w:fldChar w:fldCharType="begin"/>
      </w:r>
      <w:r>
        <w:rPr>
          <w:noProof/>
        </w:rPr>
        <w:instrText xml:space="preserve"> PAGEREF _Toc479940908 \h </w:instrText>
      </w:r>
      <w:r>
        <w:rPr>
          <w:noProof/>
        </w:rPr>
      </w:r>
      <w:r>
        <w:rPr>
          <w:noProof/>
        </w:rPr>
        <w:fldChar w:fldCharType="separate"/>
      </w:r>
      <w:r w:rsidR="005062E7">
        <w:rPr>
          <w:noProof/>
        </w:rPr>
        <w:t>90</w:t>
      </w:r>
      <w:r>
        <w:rPr>
          <w:noProof/>
        </w:rPr>
        <w:fldChar w:fldCharType="end"/>
      </w:r>
    </w:p>
    <w:p w14:paraId="51437D00" w14:textId="2C186202"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8.</w:t>
      </w:r>
      <w:r>
        <w:rPr>
          <w:rFonts w:eastAsiaTheme="minorEastAsia"/>
          <w:b w:val="0"/>
          <w:bCs w:val="0"/>
          <w:caps w:val="0"/>
          <w:noProof/>
          <w:color w:val="auto"/>
          <w:sz w:val="22"/>
          <w:szCs w:val="22"/>
          <w:lang w:eastAsia="en-ZA"/>
        </w:rPr>
        <w:tab/>
      </w:r>
      <w:r w:rsidRPr="00D84931">
        <w:rPr>
          <w:rFonts w:ascii="Calibri" w:hAnsi="Calibri"/>
          <w:noProof/>
          <w:color w:val="1B5068"/>
        </w:rPr>
        <w:t>Broad-Based Black Economic Empowerment (BBBEE)</w:t>
      </w:r>
      <w:r>
        <w:rPr>
          <w:noProof/>
        </w:rPr>
        <w:tab/>
      </w:r>
      <w:r>
        <w:rPr>
          <w:noProof/>
        </w:rPr>
        <w:fldChar w:fldCharType="begin"/>
      </w:r>
      <w:r>
        <w:rPr>
          <w:noProof/>
        </w:rPr>
        <w:instrText xml:space="preserve"> PAGEREF _Toc479940909 \h </w:instrText>
      </w:r>
      <w:r>
        <w:rPr>
          <w:noProof/>
        </w:rPr>
      </w:r>
      <w:r>
        <w:rPr>
          <w:noProof/>
        </w:rPr>
        <w:fldChar w:fldCharType="separate"/>
      </w:r>
      <w:r w:rsidR="005062E7">
        <w:rPr>
          <w:noProof/>
        </w:rPr>
        <w:t>90</w:t>
      </w:r>
      <w:r>
        <w:rPr>
          <w:noProof/>
        </w:rPr>
        <w:fldChar w:fldCharType="end"/>
      </w:r>
    </w:p>
    <w:p w14:paraId="251F50DA" w14:textId="1B3E03B4"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8.1.</w:t>
      </w:r>
      <w:r>
        <w:rPr>
          <w:rFonts w:eastAsiaTheme="minorEastAsia"/>
          <w:smallCaps w:val="0"/>
          <w:noProof/>
          <w:sz w:val="22"/>
          <w:szCs w:val="22"/>
          <w:lang w:eastAsia="en-ZA"/>
        </w:rPr>
        <w:tab/>
      </w:r>
      <w:r>
        <w:rPr>
          <w:noProof/>
        </w:rPr>
        <w:t>The justification for Broad-Based Black Economic Empowerment legislation</w:t>
      </w:r>
      <w:r>
        <w:rPr>
          <w:noProof/>
        </w:rPr>
        <w:tab/>
      </w:r>
      <w:r>
        <w:rPr>
          <w:noProof/>
        </w:rPr>
        <w:fldChar w:fldCharType="begin"/>
      </w:r>
      <w:r>
        <w:rPr>
          <w:noProof/>
        </w:rPr>
        <w:instrText xml:space="preserve"> PAGEREF _Toc479940910 \h </w:instrText>
      </w:r>
      <w:r>
        <w:rPr>
          <w:noProof/>
        </w:rPr>
      </w:r>
      <w:r>
        <w:rPr>
          <w:noProof/>
        </w:rPr>
        <w:fldChar w:fldCharType="separate"/>
      </w:r>
      <w:r w:rsidR="005062E7">
        <w:rPr>
          <w:noProof/>
        </w:rPr>
        <w:t>90</w:t>
      </w:r>
      <w:r>
        <w:rPr>
          <w:noProof/>
        </w:rPr>
        <w:fldChar w:fldCharType="end"/>
      </w:r>
    </w:p>
    <w:p w14:paraId="3D6D8B98" w14:textId="44D32FA6"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8.2.</w:t>
      </w:r>
      <w:r>
        <w:rPr>
          <w:rFonts w:eastAsiaTheme="minorEastAsia"/>
          <w:smallCaps w:val="0"/>
          <w:noProof/>
          <w:sz w:val="22"/>
          <w:szCs w:val="22"/>
          <w:lang w:eastAsia="en-ZA"/>
        </w:rPr>
        <w:tab/>
      </w:r>
      <w:r>
        <w:rPr>
          <w:noProof/>
        </w:rPr>
        <w:t>What the BBBEE Codes require</w:t>
      </w:r>
      <w:r>
        <w:rPr>
          <w:noProof/>
        </w:rPr>
        <w:tab/>
      </w:r>
      <w:r>
        <w:rPr>
          <w:noProof/>
        </w:rPr>
        <w:fldChar w:fldCharType="begin"/>
      </w:r>
      <w:r>
        <w:rPr>
          <w:noProof/>
        </w:rPr>
        <w:instrText xml:space="preserve"> PAGEREF _Toc479940911 \h </w:instrText>
      </w:r>
      <w:r>
        <w:rPr>
          <w:noProof/>
        </w:rPr>
      </w:r>
      <w:r>
        <w:rPr>
          <w:noProof/>
        </w:rPr>
        <w:fldChar w:fldCharType="separate"/>
      </w:r>
      <w:r w:rsidR="005062E7">
        <w:rPr>
          <w:noProof/>
        </w:rPr>
        <w:t>91</w:t>
      </w:r>
      <w:r>
        <w:rPr>
          <w:noProof/>
        </w:rPr>
        <w:fldChar w:fldCharType="end"/>
      </w:r>
    </w:p>
    <w:p w14:paraId="2E911C3D" w14:textId="1572DB4A"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8.3.</w:t>
      </w:r>
      <w:r>
        <w:rPr>
          <w:rFonts w:eastAsiaTheme="minorEastAsia"/>
          <w:smallCaps w:val="0"/>
          <w:noProof/>
          <w:sz w:val="22"/>
          <w:szCs w:val="22"/>
          <w:lang w:eastAsia="en-ZA"/>
        </w:rPr>
        <w:tab/>
      </w:r>
      <w:r>
        <w:rPr>
          <w:noProof/>
        </w:rPr>
        <w:t>The theory of change in the BBBEE Codes</w:t>
      </w:r>
      <w:r>
        <w:rPr>
          <w:noProof/>
        </w:rPr>
        <w:tab/>
      </w:r>
      <w:r>
        <w:rPr>
          <w:noProof/>
        </w:rPr>
        <w:fldChar w:fldCharType="begin"/>
      </w:r>
      <w:r>
        <w:rPr>
          <w:noProof/>
        </w:rPr>
        <w:instrText xml:space="preserve"> PAGEREF _Toc479940912 \h </w:instrText>
      </w:r>
      <w:r>
        <w:rPr>
          <w:noProof/>
        </w:rPr>
      </w:r>
      <w:r>
        <w:rPr>
          <w:noProof/>
        </w:rPr>
        <w:fldChar w:fldCharType="separate"/>
      </w:r>
      <w:r w:rsidR="005062E7">
        <w:rPr>
          <w:noProof/>
        </w:rPr>
        <w:t>93</w:t>
      </w:r>
      <w:r>
        <w:rPr>
          <w:noProof/>
        </w:rPr>
        <w:fldChar w:fldCharType="end"/>
      </w:r>
    </w:p>
    <w:p w14:paraId="0FF517B8" w14:textId="04415CF5"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8.4.</w:t>
      </w:r>
      <w:r>
        <w:rPr>
          <w:rFonts w:eastAsiaTheme="minorEastAsia"/>
          <w:smallCaps w:val="0"/>
          <w:noProof/>
          <w:sz w:val="22"/>
          <w:szCs w:val="22"/>
          <w:lang w:eastAsia="en-ZA"/>
        </w:rPr>
        <w:tab/>
      </w:r>
      <w:r>
        <w:rPr>
          <w:noProof/>
        </w:rPr>
        <w:t>The impact on smaller enterprises</w:t>
      </w:r>
      <w:r>
        <w:rPr>
          <w:noProof/>
        </w:rPr>
        <w:tab/>
      </w:r>
      <w:r>
        <w:rPr>
          <w:noProof/>
        </w:rPr>
        <w:fldChar w:fldCharType="begin"/>
      </w:r>
      <w:r>
        <w:rPr>
          <w:noProof/>
        </w:rPr>
        <w:instrText xml:space="preserve"> PAGEREF _Toc479940913 \h </w:instrText>
      </w:r>
      <w:r>
        <w:rPr>
          <w:noProof/>
        </w:rPr>
      </w:r>
      <w:r>
        <w:rPr>
          <w:noProof/>
        </w:rPr>
        <w:fldChar w:fldCharType="separate"/>
      </w:r>
      <w:r w:rsidR="005062E7">
        <w:rPr>
          <w:noProof/>
        </w:rPr>
        <w:t>94</w:t>
      </w:r>
      <w:r>
        <w:rPr>
          <w:noProof/>
        </w:rPr>
        <w:fldChar w:fldCharType="end"/>
      </w:r>
    </w:p>
    <w:p w14:paraId="489BB33A" w14:textId="0E95F827"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8.4.1.</w:t>
      </w:r>
      <w:r>
        <w:rPr>
          <w:rFonts w:eastAsiaTheme="minorEastAsia"/>
          <w:i w:val="0"/>
          <w:iCs w:val="0"/>
          <w:noProof/>
          <w:sz w:val="22"/>
          <w:szCs w:val="22"/>
          <w:lang w:eastAsia="en-ZA"/>
        </w:rPr>
        <w:tab/>
      </w:r>
      <w:r>
        <w:rPr>
          <w:noProof/>
        </w:rPr>
        <w:t>The cost of implementation</w:t>
      </w:r>
      <w:r>
        <w:rPr>
          <w:noProof/>
        </w:rPr>
        <w:tab/>
      </w:r>
      <w:r>
        <w:rPr>
          <w:noProof/>
        </w:rPr>
        <w:fldChar w:fldCharType="begin"/>
      </w:r>
      <w:r>
        <w:rPr>
          <w:noProof/>
        </w:rPr>
        <w:instrText xml:space="preserve"> PAGEREF _Toc479940920 \h </w:instrText>
      </w:r>
      <w:r>
        <w:rPr>
          <w:noProof/>
        </w:rPr>
      </w:r>
      <w:r>
        <w:rPr>
          <w:noProof/>
        </w:rPr>
        <w:fldChar w:fldCharType="separate"/>
      </w:r>
      <w:r w:rsidR="005062E7">
        <w:rPr>
          <w:noProof/>
        </w:rPr>
        <w:t>94</w:t>
      </w:r>
      <w:r>
        <w:rPr>
          <w:noProof/>
        </w:rPr>
        <w:fldChar w:fldCharType="end"/>
      </w:r>
    </w:p>
    <w:p w14:paraId="1837998E" w14:textId="64648DBC"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8.4.2.</w:t>
      </w:r>
      <w:r>
        <w:rPr>
          <w:rFonts w:eastAsiaTheme="minorEastAsia"/>
          <w:i w:val="0"/>
          <w:iCs w:val="0"/>
          <w:noProof/>
          <w:sz w:val="22"/>
          <w:szCs w:val="22"/>
          <w:lang w:eastAsia="en-ZA"/>
        </w:rPr>
        <w:tab/>
      </w:r>
      <w:r>
        <w:rPr>
          <w:noProof/>
        </w:rPr>
        <w:t>Administrative costs</w:t>
      </w:r>
      <w:r>
        <w:rPr>
          <w:noProof/>
        </w:rPr>
        <w:tab/>
      </w:r>
      <w:r>
        <w:rPr>
          <w:noProof/>
        </w:rPr>
        <w:fldChar w:fldCharType="begin"/>
      </w:r>
      <w:r>
        <w:rPr>
          <w:noProof/>
        </w:rPr>
        <w:instrText xml:space="preserve"> PAGEREF _Toc479940921 \h </w:instrText>
      </w:r>
      <w:r>
        <w:rPr>
          <w:noProof/>
        </w:rPr>
      </w:r>
      <w:r>
        <w:rPr>
          <w:noProof/>
        </w:rPr>
        <w:fldChar w:fldCharType="separate"/>
      </w:r>
      <w:r w:rsidR="005062E7">
        <w:rPr>
          <w:noProof/>
        </w:rPr>
        <w:t>94</w:t>
      </w:r>
      <w:r>
        <w:rPr>
          <w:noProof/>
        </w:rPr>
        <w:fldChar w:fldCharType="end"/>
      </w:r>
    </w:p>
    <w:p w14:paraId="280A9C20" w14:textId="53366462"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8.4.3.</w:t>
      </w:r>
      <w:r>
        <w:rPr>
          <w:rFonts w:eastAsiaTheme="minorEastAsia"/>
          <w:i w:val="0"/>
          <w:iCs w:val="0"/>
          <w:noProof/>
          <w:sz w:val="22"/>
          <w:szCs w:val="22"/>
          <w:lang w:eastAsia="en-ZA"/>
        </w:rPr>
        <w:tab/>
      </w:r>
      <w:r>
        <w:rPr>
          <w:noProof/>
        </w:rPr>
        <w:t>Costs and benefits that are integral to the desired outcome</w:t>
      </w:r>
      <w:r>
        <w:rPr>
          <w:noProof/>
        </w:rPr>
        <w:tab/>
      </w:r>
      <w:r>
        <w:rPr>
          <w:noProof/>
        </w:rPr>
        <w:fldChar w:fldCharType="begin"/>
      </w:r>
      <w:r>
        <w:rPr>
          <w:noProof/>
        </w:rPr>
        <w:instrText xml:space="preserve"> PAGEREF _Toc479940922 \h </w:instrText>
      </w:r>
      <w:r>
        <w:rPr>
          <w:noProof/>
        </w:rPr>
      </w:r>
      <w:r>
        <w:rPr>
          <w:noProof/>
        </w:rPr>
        <w:fldChar w:fldCharType="separate"/>
      </w:r>
      <w:r w:rsidR="005062E7">
        <w:rPr>
          <w:noProof/>
        </w:rPr>
        <w:t>95</w:t>
      </w:r>
      <w:r>
        <w:rPr>
          <w:noProof/>
        </w:rPr>
        <w:fldChar w:fldCharType="end"/>
      </w:r>
    </w:p>
    <w:p w14:paraId="3A1452AA" w14:textId="27053245"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8.5.</w:t>
      </w:r>
      <w:r>
        <w:rPr>
          <w:rFonts w:eastAsiaTheme="minorEastAsia"/>
          <w:smallCaps w:val="0"/>
          <w:noProof/>
          <w:sz w:val="22"/>
          <w:szCs w:val="22"/>
          <w:lang w:eastAsia="en-ZA"/>
        </w:rPr>
        <w:tab/>
      </w:r>
      <w:r>
        <w:rPr>
          <w:noProof/>
        </w:rPr>
        <w:t>Options</w:t>
      </w:r>
      <w:r>
        <w:rPr>
          <w:noProof/>
        </w:rPr>
        <w:tab/>
      </w:r>
      <w:r>
        <w:rPr>
          <w:noProof/>
        </w:rPr>
        <w:fldChar w:fldCharType="begin"/>
      </w:r>
      <w:r>
        <w:rPr>
          <w:noProof/>
        </w:rPr>
        <w:instrText xml:space="preserve"> PAGEREF _Toc479940923 \h </w:instrText>
      </w:r>
      <w:r>
        <w:rPr>
          <w:noProof/>
        </w:rPr>
      </w:r>
      <w:r>
        <w:rPr>
          <w:noProof/>
        </w:rPr>
        <w:fldChar w:fldCharType="separate"/>
      </w:r>
      <w:r w:rsidR="005062E7">
        <w:rPr>
          <w:noProof/>
        </w:rPr>
        <w:t>95</w:t>
      </w:r>
      <w:r>
        <w:rPr>
          <w:noProof/>
        </w:rPr>
        <w:fldChar w:fldCharType="end"/>
      </w:r>
    </w:p>
    <w:p w14:paraId="38B411D5" w14:textId="296FB6D4"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8.5.1.</w:t>
      </w:r>
      <w:r>
        <w:rPr>
          <w:rFonts w:eastAsiaTheme="minorEastAsia"/>
          <w:i w:val="0"/>
          <w:iCs w:val="0"/>
          <w:noProof/>
          <w:sz w:val="22"/>
          <w:szCs w:val="22"/>
          <w:lang w:eastAsia="en-ZA"/>
        </w:rPr>
        <w:tab/>
      </w:r>
      <w:r>
        <w:rPr>
          <w:noProof/>
        </w:rPr>
        <w:t>Assessment of options</w:t>
      </w:r>
      <w:r>
        <w:rPr>
          <w:noProof/>
        </w:rPr>
        <w:tab/>
      </w:r>
      <w:r>
        <w:rPr>
          <w:noProof/>
        </w:rPr>
        <w:fldChar w:fldCharType="begin"/>
      </w:r>
      <w:r>
        <w:rPr>
          <w:noProof/>
        </w:rPr>
        <w:instrText xml:space="preserve"> PAGEREF _Toc479940928 \h </w:instrText>
      </w:r>
      <w:r>
        <w:rPr>
          <w:noProof/>
        </w:rPr>
      </w:r>
      <w:r>
        <w:rPr>
          <w:noProof/>
        </w:rPr>
        <w:fldChar w:fldCharType="separate"/>
      </w:r>
      <w:r w:rsidR="005062E7">
        <w:rPr>
          <w:noProof/>
        </w:rPr>
        <w:t>95</w:t>
      </w:r>
      <w:r>
        <w:rPr>
          <w:noProof/>
        </w:rPr>
        <w:fldChar w:fldCharType="end"/>
      </w:r>
    </w:p>
    <w:p w14:paraId="6F1CFC8E" w14:textId="62223AD0" w:rsidR="0077260B" w:rsidRDefault="0077260B" w:rsidP="00D66738">
      <w:pPr>
        <w:pStyle w:val="TOC3"/>
        <w:tabs>
          <w:tab w:val="left" w:pos="1200"/>
          <w:tab w:val="right" w:leader="dot" w:pos="9038"/>
        </w:tabs>
        <w:jc w:val="both"/>
        <w:rPr>
          <w:rFonts w:eastAsiaTheme="minorEastAsia"/>
          <w:i w:val="0"/>
          <w:iCs w:val="0"/>
          <w:noProof/>
          <w:sz w:val="22"/>
          <w:szCs w:val="22"/>
          <w:lang w:eastAsia="en-ZA"/>
        </w:rPr>
      </w:pPr>
      <w:r>
        <w:rPr>
          <w:noProof/>
        </w:rPr>
        <w:t>8.5.2.</w:t>
      </w:r>
      <w:r>
        <w:rPr>
          <w:rFonts w:eastAsiaTheme="minorEastAsia"/>
          <w:i w:val="0"/>
          <w:iCs w:val="0"/>
          <w:noProof/>
          <w:sz w:val="22"/>
          <w:szCs w:val="22"/>
          <w:lang w:eastAsia="en-ZA"/>
        </w:rPr>
        <w:tab/>
      </w:r>
      <w:r>
        <w:rPr>
          <w:noProof/>
        </w:rPr>
        <w:t>Stakeholder responses</w:t>
      </w:r>
      <w:r>
        <w:rPr>
          <w:noProof/>
        </w:rPr>
        <w:tab/>
      </w:r>
      <w:r>
        <w:rPr>
          <w:noProof/>
        </w:rPr>
        <w:fldChar w:fldCharType="begin"/>
      </w:r>
      <w:r>
        <w:rPr>
          <w:noProof/>
        </w:rPr>
        <w:instrText xml:space="preserve"> PAGEREF _Toc479940929 \h </w:instrText>
      </w:r>
      <w:r>
        <w:rPr>
          <w:noProof/>
        </w:rPr>
      </w:r>
      <w:r>
        <w:rPr>
          <w:noProof/>
        </w:rPr>
        <w:fldChar w:fldCharType="separate"/>
      </w:r>
      <w:r w:rsidR="005062E7">
        <w:rPr>
          <w:noProof/>
        </w:rPr>
        <w:t>96</w:t>
      </w:r>
      <w:r>
        <w:rPr>
          <w:noProof/>
        </w:rPr>
        <w:fldChar w:fldCharType="end"/>
      </w:r>
    </w:p>
    <w:p w14:paraId="4611CE2B" w14:textId="1BA06F8C" w:rsidR="0077260B" w:rsidRDefault="0077260B" w:rsidP="00D66738">
      <w:pPr>
        <w:pStyle w:val="TOC1"/>
        <w:tabs>
          <w:tab w:val="left" w:pos="480"/>
          <w:tab w:val="right" w:leader="dot" w:pos="9038"/>
        </w:tabs>
        <w:jc w:val="both"/>
        <w:rPr>
          <w:rFonts w:eastAsiaTheme="minorEastAsia"/>
          <w:b w:val="0"/>
          <w:bCs w:val="0"/>
          <w:caps w:val="0"/>
          <w:noProof/>
          <w:color w:val="auto"/>
          <w:sz w:val="22"/>
          <w:szCs w:val="22"/>
          <w:lang w:eastAsia="en-ZA"/>
        </w:rPr>
      </w:pPr>
      <w:r w:rsidRPr="00D84931">
        <w:rPr>
          <w:rFonts w:ascii="Calibri" w:hAnsi="Calibri"/>
          <w:noProof/>
          <w:color w:val="1B5068"/>
        </w:rPr>
        <w:t>9.</w:t>
      </w:r>
      <w:r>
        <w:rPr>
          <w:rFonts w:eastAsiaTheme="minorEastAsia"/>
          <w:b w:val="0"/>
          <w:bCs w:val="0"/>
          <w:caps w:val="0"/>
          <w:noProof/>
          <w:color w:val="auto"/>
          <w:sz w:val="22"/>
          <w:szCs w:val="22"/>
          <w:lang w:eastAsia="en-ZA"/>
        </w:rPr>
        <w:tab/>
      </w:r>
      <w:r w:rsidRPr="00D84931">
        <w:rPr>
          <w:rFonts w:ascii="Calibri" w:hAnsi="Calibri"/>
          <w:noProof/>
          <w:color w:val="1B5068"/>
        </w:rPr>
        <w:t>Summary of options and stakeholder analysis</w:t>
      </w:r>
      <w:r>
        <w:rPr>
          <w:noProof/>
        </w:rPr>
        <w:tab/>
      </w:r>
      <w:r>
        <w:rPr>
          <w:noProof/>
        </w:rPr>
        <w:fldChar w:fldCharType="begin"/>
      </w:r>
      <w:r>
        <w:rPr>
          <w:noProof/>
        </w:rPr>
        <w:instrText xml:space="preserve"> PAGEREF _Toc479940930 \h </w:instrText>
      </w:r>
      <w:r>
        <w:rPr>
          <w:noProof/>
        </w:rPr>
      </w:r>
      <w:r>
        <w:rPr>
          <w:noProof/>
        </w:rPr>
        <w:fldChar w:fldCharType="separate"/>
      </w:r>
      <w:r w:rsidR="005062E7">
        <w:rPr>
          <w:noProof/>
        </w:rPr>
        <w:t>97</w:t>
      </w:r>
      <w:r>
        <w:rPr>
          <w:noProof/>
        </w:rPr>
        <w:fldChar w:fldCharType="end"/>
      </w:r>
    </w:p>
    <w:p w14:paraId="341F27C1" w14:textId="6D588C47"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9.1.</w:t>
      </w:r>
      <w:r>
        <w:rPr>
          <w:rFonts w:eastAsiaTheme="minorEastAsia"/>
          <w:smallCaps w:val="0"/>
          <w:noProof/>
          <w:sz w:val="22"/>
          <w:szCs w:val="22"/>
          <w:lang w:eastAsia="en-ZA"/>
        </w:rPr>
        <w:tab/>
      </w:r>
      <w:r>
        <w:rPr>
          <w:noProof/>
        </w:rPr>
        <w:t>Company and co-operative registration</w:t>
      </w:r>
      <w:r>
        <w:rPr>
          <w:noProof/>
        </w:rPr>
        <w:tab/>
      </w:r>
      <w:r>
        <w:rPr>
          <w:noProof/>
        </w:rPr>
        <w:fldChar w:fldCharType="begin"/>
      </w:r>
      <w:r>
        <w:rPr>
          <w:noProof/>
        </w:rPr>
        <w:instrText xml:space="preserve"> PAGEREF _Toc479940931 \h </w:instrText>
      </w:r>
      <w:r>
        <w:rPr>
          <w:noProof/>
        </w:rPr>
      </w:r>
      <w:r>
        <w:rPr>
          <w:noProof/>
        </w:rPr>
        <w:fldChar w:fldCharType="separate"/>
      </w:r>
      <w:r w:rsidR="005062E7">
        <w:rPr>
          <w:noProof/>
        </w:rPr>
        <w:t>97</w:t>
      </w:r>
      <w:r>
        <w:rPr>
          <w:noProof/>
        </w:rPr>
        <w:fldChar w:fldCharType="end"/>
      </w:r>
    </w:p>
    <w:p w14:paraId="2A44F2AD" w14:textId="21507D3C"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9.2.</w:t>
      </w:r>
      <w:r>
        <w:rPr>
          <w:rFonts w:eastAsiaTheme="minorEastAsia"/>
          <w:smallCaps w:val="0"/>
          <w:noProof/>
          <w:sz w:val="22"/>
          <w:szCs w:val="22"/>
          <w:lang w:eastAsia="en-ZA"/>
        </w:rPr>
        <w:tab/>
      </w:r>
      <w:r>
        <w:rPr>
          <w:noProof/>
        </w:rPr>
        <w:t>Taxation</w:t>
      </w:r>
      <w:r>
        <w:rPr>
          <w:noProof/>
        </w:rPr>
        <w:tab/>
      </w:r>
      <w:r>
        <w:rPr>
          <w:noProof/>
        </w:rPr>
        <w:fldChar w:fldCharType="begin"/>
      </w:r>
      <w:r>
        <w:rPr>
          <w:noProof/>
        </w:rPr>
        <w:instrText xml:space="preserve"> PAGEREF _Toc479940932 \h </w:instrText>
      </w:r>
      <w:r>
        <w:rPr>
          <w:noProof/>
        </w:rPr>
      </w:r>
      <w:r>
        <w:rPr>
          <w:noProof/>
        </w:rPr>
        <w:fldChar w:fldCharType="separate"/>
      </w:r>
      <w:r w:rsidR="005062E7">
        <w:rPr>
          <w:noProof/>
        </w:rPr>
        <w:t>97</w:t>
      </w:r>
      <w:r>
        <w:rPr>
          <w:noProof/>
        </w:rPr>
        <w:fldChar w:fldCharType="end"/>
      </w:r>
    </w:p>
    <w:p w14:paraId="321EAF57" w14:textId="01B4015D"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9.3.</w:t>
      </w:r>
      <w:r>
        <w:rPr>
          <w:rFonts w:eastAsiaTheme="minorEastAsia"/>
          <w:smallCaps w:val="0"/>
          <w:noProof/>
          <w:sz w:val="22"/>
          <w:szCs w:val="22"/>
          <w:lang w:eastAsia="en-ZA"/>
        </w:rPr>
        <w:tab/>
      </w:r>
      <w:r>
        <w:rPr>
          <w:noProof/>
        </w:rPr>
        <w:t>Labour laws</w:t>
      </w:r>
      <w:r>
        <w:rPr>
          <w:noProof/>
        </w:rPr>
        <w:tab/>
      </w:r>
      <w:r>
        <w:rPr>
          <w:noProof/>
        </w:rPr>
        <w:fldChar w:fldCharType="begin"/>
      </w:r>
      <w:r>
        <w:rPr>
          <w:noProof/>
        </w:rPr>
        <w:instrText xml:space="preserve"> PAGEREF _Toc479940933 \h </w:instrText>
      </w:r>
      <w:r>
        <w:rPr>
          <w:noProof/>
        </w:rPr>
      </w:r>
      <w:r>
        <w:rPr>
          <w:noProof/>
        </w:rPr>
        <w:fldChar w:fldCharType="separate"/>
      </w:r>
      <w:r w:rsidR="005062E7">
        <w:rPr>
          <w:noProof/>
        </w:rPr>
        <w:t>98</w:t>
      </w:r>
      <w:r>
        <w:rPr>
          <w:noProof/>
        </w:rPr>
        <w:fldChar w:fldCharType="end"/>
      </w:r>
    </w:p>
    <w:p w14:paraId="5E3963F0" w14:textId="6332CE90"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lastRenderedPageBreak/>
        <w:t>9.4.</w:t>
      </w:r>
      <w:r>
        <w:rPr>
          <w:rFonts w:eastAsiaTheme="minorEastAsia"/>
          <w:smallCaps w:val="0"/>
          <w:noProof/>
          <w:sz w:val="22"/>
          <w:szCs w:val="22"/>
          <w:lang w:eastAsia="en-ZA"/>
        </w:rPr>
        <w:tab/>
      </w:r>
      <w:r>
        <w:rPr>
          <w:noProof/>
        </w:rPr>
        <w:t>Procurement</w:t>
      </w:r>
      <w:r>
        <w:rPr>
          <w:noProof/>
        </w:rPr>
        <w:tab/>
      </w:r>
      <w:r>
        <w:rPr>
          <w:noProof/>
        </w:rPr>
        <w:fldChar w:fldCharType="begin"/>
      </w:r>
      <w:r>
        <w:rPr>
          <w:noProof/>
        </w:rPr>
        <w:instrText xml:space="preserve"> PAGEREF _Toc479940934 \h </w:instrText>
      </w:r>
      <w:r>
        <w:rPr>
          <w:noProof/>
        </w:rPr>
      </w:r>
      <w:r>
        <w:rPr>
          <w:noProof/>
        </w:rPr>
        <w:fldChar w:fldCharType="separate"/>
      </w:r>
      <w:r w:rsidR="005062E7">
        <w:rPr>
          <w:noProof/>
        </w:rPr>
        <w:t>98</w:t>
      </w:r>
      <w:r>
        <w:rPr>
          <w:noProof/>
        </w:rPr>
        <w:fldChar w:fldCharType="end"/>
      </w:r>
    </w:p>
    <w:p w14:paraId="5ABBC507" w14:textId="2C49822A"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9.5.</w:t>
      </w:r>
      <w:r>
        <w:rPr>
          <w:rFonts w:eastAsiaTheme="minorEastAsia"/>
          <w:smallCaps w:val="0"/>
          <w:noProof/>
          <w:sz w:val="22"/>
          <w:szCs w:val="22"/>
          <w:lang w:eastAsia="en-ZA"/>
        </w:rPr>
        <w:tab/>
      </w:r>
      <w:r>
        <w:rPr>
          <w:noProof/>
        </w:rPr>
        <w:t>Construction</w:t>
      </w:r>
      <w:r>
        <w:rPr>
          <w:noProof/>
        </w:rPr>
        <w:tab/>
      </w:r>
      <w:r>
        <w:rPr>
          <w:noProof/>
        </w:rPr>
        <w:fldChar w:fldCharType="begin"/>
      </w:r>
      <w:r>
        <w:rPr>
          <w:noProof/>
        </w:rPr>
        <w:instrText xml:space="preserve"> PAGEREF _Toc479940935 \h </w:instrText>
      </w:r>
      <w:r>
        <w:rPr>
          <w:noProof/>
        </w:rPr>
      </w:r>
      <w:r>
        <w:rPr>
          <w:noProof/>
        </w:rPr>
        <w:fldChar w:fldCharType="separate"/>
      </w:r>
      <w:r w:rsidR="005062E7">
        <w:rPr>
          <w:noProof/>
        </w:rPr>
        <w:t>99</w:t>
      </w:r>
      <w:r>
        <w:rPr>
          <w:noProof/>
        </w:rPr>
        <w:fldChar w:fldCharType="end"/>
      </w:r>
    </w:p>
    <w:p w14:paraId="70828B63" w14:textId="513413C1" w:rsidR="0077260B" w:rsidRDefault="0077260B" w:rsidP="00D66738">
      <w:pPr>
        <w:pStyle w:val="TOC2"/>
        <w:tabs>
          <w:tab w:val="left" w:pos="960"/>
          <w:tab w:val="right" w:leader="dot" w:pos="9038"/>
        </w:tabs>
        <w:jc w:val="both"/>
        <w:rPr>
          <w:rFonts w:eastAsiaTheme="minorEastAsia"/>
          <w:smallCaps w:val="0"/>
          <w:noProof/>
          <w:sz w:val="22"/>
          <w:szCs w:val="22"/>
          <w:lang w:eastAsia="en-ZA"/>
        </w:rPr>
      </w:pPr>
      <w:r>
        <w:rPr>
          <w:noProof/>
        </w:rPr>
        <w:t>9.6.</w:t>
      </w:r>
      <w:r>
        <w:rPr>
          <w:rFonts w:eastAsiaTheme="minorEastAsia"/>
          <w:smallCaps w:val="0"/>
          <w:noProof/>
          <w:sz w:val="22"/>
          <w:szCs w:val="22"/>
          <w:lang w:eastAsia="en-ZA"/>
        </w:rPr>
        <w:tab/>
      </w:r>
      <w:r>
        <w:rPr>
          <w:noProof/>
        </w:rPr>
        <w:t>BBBEEE</w:t>
      </w:r>
      <w:r>
        <w:rPr>
          <w:noProof/>
        </w:rPr>
        <w:tab/>
      </w:r>
      <w:r>
        <w:rPr>
          <w:noProof/>
        </w:rPr>
        <w:fldChar w:fldCharType="begin"/>
      </w:r>
      <w:r>
        <w:rPr>
          <w:noProof/>
        </w:rPr>
        <w:instrText xml:space="preserve"> PAGEREF _Toc479940936 \h </w:instrText>
      </w:r>
      <w:r>
        <w:rPr>
          <w:noProof/>
        </w:rPr>
      </w:r>
      <w:r>
        <w:rPr>
          <w:noProof/>
        </w:rPr>
        <w:fldChar w:fldCharType="separate"/>
      </w:r>
      <w:r w:rsidR="005062E7">
        <w:rPr>
          <w:noProof/>
        </w:rPr>
        <w:t>99</w:t>
      </w:r>
      <w:r>
        <w:rPr>
          <w:noProof/>
        </w:rPr>
        <w:fldChar w:fldCharType="end"/>
      </w:r>
    </w:p>
    <w:p w14:paraId="5B2A39BE" w14:textId="0D749F18" w:rsidR="0077260B" w:rsidRDefault="0077260B" w:rsidP="00D66738">
      <w:pPr>
        <w:pStyle w:val="TOC1"/>
        <w:tabs>
          <w:tab w:val="right" w:leader="dot" w:pos="9038"/>
        </w:tabs>
        <w:jc w:val="both"/>
        <w:rPr>
          <w:rFonts w:eastAsiaTheme="minorEastAsia"/>
          <w:b w:val="0"/>
          <w:bCs w:val="0"/>
          <w:caps w:val="0"/>
          <w:noProof/>
          <w:color w:val="auto"/>
          <w:sz w:val="22"/>
          <w:szCs w:val="22"/>
          <w:lang w:eastAsia="en-ZA"/>
        </w:rPr>
      </w:pPr>
      <w:r>
        <w:rPr>
          <w:noProof/>
        </w:rPr>
        <w:t>References</w:t>
      </w:r>
      <w:r>
        <w:rPr>
          <w:noProof/>
        </w:rPr>
        <w:tab/>
      </w:r>
      <w:r>
        <w:rPr>
          <w:noProof/>
        </w:rPr>
        <w:fldChar w:fldCharType="begin"/>
      </w:r>
      <w:r>
        <w:rPr>
          <w:noProof/>
        </w:rPr>
        <w:instrText xml:space="preserve"> PAGEREF _Toc479940937 \h </w:instrText>
      </w:r>
      <w:r>
        <w:rPr>
          <w:noProof/>
        </w:rPr>
      </w:r>
      <w:r>
        <w:rPr>
          <w:noProof/>
        </w:rPr>
        <w:fldChar w:fldCharType="separate"/>
      </w:r>
      <w:r w:rsidR="005062E7">
        <w:rPr>
          <w:noProof/>
        </w:rPr>
        <w:t>100</w:t>
      </w:r>
      <w:r>
        <w:rPr>
          <w:noProof/>
        </w:rPr>
        <w:fldChar w:fldCharType="end"/>
      </w:r>
    </w:p>
    <w:p w14:paraId="7DF613B3" w14:textId="241F5B27" w:rsidR="0077260B" w:rsidRDefault="0077260B" w:rsidP="00D66738">
      <w:pPr>
        <w:pStyle w:val="TOC1"/>
        <w:tabs>
          <w:tab w:val="right" w:leader="dot" w:pos="9038"/>
        </w:tabs>
        <w:jc w:val="both"/>
        <w:rPr>
          <w:rFonts w:eastAsiaTheme="minorEastAsia"/>
          <w:b w:val="0"/>
          <w:bCs w:val="0"/>
          <w:caps w:val="0"/>
          <w:noProof/>
          <w:color w:val="auto"/>
          <w:sz w:val="22"/>
          <w:szCs w:val="22"/>
          <w:lang w:eastAsia="en-ZA"/>
        </w:rPr>
      </w:pPr>
      <w:r>
        <w:rPr>
          <w:noProof/>
        </w:rPr>
        <w:t>Appendices</w:t>
      </w:r>
      <w:r>
        <w:rPr>
          <w:noProof/>
        </w:rPr>
        <w:tab/>
      </w:r>
      <w:r>
        <w:rPr>
          <w:noProof/>
        </w:rPr>
        <w:fldChar w:fldCharType="begin"/>
      </w:r>
      <w:r>
        <w:rPr>
          <w:noProof/>
        </w:rPr>
        <w:instrText xml:space="preserve"> PAGEREF _Toc479940938 \h </w:instrText>
      </w:r>
      <w:r>
        <w:rPr>
          <w:noProof/>
        </w:rPr>
      </w:r>
      <w:r>
        <w:rPr>
          <w:noProof/>
        </w:rPr>
        <w:fldChar w:fldCharType="separate"/>
      </w:r>
      <w:r w:rsidR="005062E7">
        <w:rPr>
          <w:noProof/>
        </w:rPr>
        <w:t>102</w:t>
      </w:r>
      <w:r>
        <w:rPr>
          <w:noProof/>
        </w:rPr>
        <w:fldChar w:fldCharType="end"/>
      </w:r>
    </w:p>
    <w:p w14:paraId="645EA686" w14:textId="1A5FB176" w:rsidR="0077260B" w:rsidRDefault="0077260B" w:rsidP="00D66738">
      <w:pPr>
        <w:pStyle w:val="TOC1"/>
        <w:tabs>
          <w:tab w:val="right" w:leader="dot" w:pos="9038"/>
        </w:tabs>
        <w:jc w:val="both"/>
        <w:rPr>
          <w:rFonts w:eastAsiaTheme="minorEastAsia"/>
          <w:b w:val="0"/>
          <w:bCs w:val="0"/>
          <w:caps w:val="0"/>
          <w:noProof/>
          <w:color w:val="auto"/>
          <w:sz w:val="22"/>
          <w:szCs w:val="22"/>
          <w:lang w:eastAsia="en-ZA"/>
        </w:rPr>
      </w:pPr>
      <w:r>
        <w:rPr>
          <w:noProof/>
        </w:rPr>
        <w:t>Appendix 1: TIPS profile</w:t>
      </w:r>
      <w:r>
        <w:rPr>
          <w:noProof/>
        </w:rPr>
        <w:tab/>
      </w:r>
      <w:r>
        <w:rPr>
          <w:noProof/>
        </w:rPr>
        <w:fldChar w:fldCharType="begin"/>
      </w:r>
      <w:r>
        <w:rPr>
          <w:noProof/>
        </w:rPr>
        <w:instrText xml:space="preserve"> PAGEREF _Toc479940939 \h </w:instrText>
      </w:r>
      <w:r>
        <w:rPr>
          <w:noProof/>
        </w:rPr>
      </w:r>
      <w:r>
        <w:rPr>
          <w:noProof/>
        </w:rPr>
        <w:fldChar w:fldCharType="separate"/>
      </w:r>
      <w:r w:rsidR="005062E7">
        <w:rPr>
          <w:noProof/>
        </w:rPr>
        <w:t>102</w:t>
      </w:r>
      <w:r>
        <w:rPr>
          <w:noProof/>
        </w:rPr>
        <w:fldChar w:fldCharType="end"/>
      </w:r>
    </w:p>
    <w:p w14:paraId="1E273D1F" w14:textId="60DD9BE2" w:rsidR="0077260B" w:rsidRDefault="0077260B" w:rsidP="00D66738">
      <w:pPr>
        <w:pStyle w:val="TOC1"/>
        <w:tabs>
          <w:tab w:val="right" w:leader="dot" w:pos="9038"/>
        </w:tabs>
        <w:jc w:val="both"/>
        <w:rPr>
          <w:rFonts w:eastAsiaTheme="minorEastAsia"/>
          <w:b w:val="0"/>
          <w:bCs w:val="0"/>
          <w:caps w:val="0"/>
          <w:noProof/>
          <w:color w:val="auto"/>
          <w:sz w:val="22"/>
          <w:szCs w:val="22"/>
          <w:lang w:eastAsia="en-ZA"/>
        </w:rPr>
      </w:pPr>
      <w:r>
        <w:rPr>
          <w:noProof/>
        </w:rPr>
        <w:t>Appendix 2: Consultation summary</w:t>
      </w:r>
      <w:r>
        <w:rPr>
          <w:noProof/>
        </w:rPr>
        <w:tab/>
      </w:r>
      <w:r>
        <w:rPr>
          <w:noProof/>
        </w:rPr>
        <w:fldChar w:fldCharType="begin"/>
      </w:r>
      <w:r>
        <w:rPr>
          <w:noProof/>
        </w:rPr>
        <w:instrText xml:space="preserve"> PAGEREF _Toc479940940 \h </w:instrText>
      </w:r>
      <w:r>
        <w:rPr>
          <w:noProof/>
        </w:rPr>
      </w:r>
      <w:r>
        <w:rPr>
          <w:noProof/>
        </w:rPr>
        <w:fldChar w:fldCharType="separate"/>
      </w:r>
      <w:r w:rsidR="005062E7">
        <w:rPr>
          <w:noProof/>
        </w:rPr>
        <w:t>103</w:t>
      </w:r>
      <w:r>
        <w:rPr>
          <w:noProof/>
        </w:rPr>
        <w:fldChar w:fldCharType="end"/>
      </w:r>
    </w:p>
    <w:p w14:paraId="62608AF4" w14:textId="38C6DCF7" w:rsidR="0077260B" w:rsidRDefault="0077260B" w:rsidP="00D66738">
      <w:pPr>
        <w:pStyle w:val="TOC1"/>
        <w:tabs>
          <w:tab w:val="right" w:leader="dot" w:pos="9038"/>
        </w:tabs>
        <w:jc w:val="both"/>
        <w:rPr>
          <w:rFonts w:eastAsiaTheme="minorEastAsia"/>
          <w:b w:val="0"/>
          <w:bCs w:val="0"/>
          <w:caps w:val="0"/>
          <w:noProof/>
          <w:color w:val="auto"/>
          <w:sz w:val="22"/>
          <w:szCs w:val="22"/>
          <w:lang w:eastAsia="en-ZA"/>
        </w:rPr>
      </w:pPr>
      <w:r>
        <w:rPr>
          <w:noProof/>
        </w:rPr>
        <w:t>Appendix 3: Calculation of the Public Interest Score</w:t>
      </w:r>
      <w:r>
        <w:rPr>
          <w:noProof/>
        </w:rPr>
        <w:tab/>
      </w:r>
      <w:r>
        <w:rPr>
          <w:noProof/>
        </w:rPr>
        <w:fldChar w:fldCharType="begin"/>
      </w:r>
      <w:r>
        <w:rPr>
          <w:noProof/>
        </w:rPr>
        <w:instrText xml:space="preserve"> PAGEREF _Toc479940941 \h </w:instrText>
      </w:r>
      <w:r>
        <w:rPr>
          <w:noProof/>
        </w:rPr>
      </w:r>
      <w:r>
        <w:rPr>
          <w:noProof/>
        </w:rPr>
        <w:fldChar w:fldCharType="separate"/>
      </w:r>
      <w:r w:rsidR="005062E7">
        <w:rPr>
          <w:noProof/>
        </w:rPr>
        <w:t>105</w:t>
      </w:r>
      <w:r>
        <w:rPr>
          <w:noProof/>
        </w:rPr>
        <w:fldChar w:fldCharType="end"/>
      </w:r>
    </w:p>
    <w:p w14:paraId="2CBF916D" w14:textId="6A4F46B6" w:rsidR="0077260B" w:rsidRDefault="0077260B" w:rsidP="00D66738">
      <w:pPr>
        <w:pStyle w:val="TOC1"/>
        <w:tabs>
          <w:tab w:val="right" w:leader="dot" w:pos="9038"/>
        </w:tabs>
        <w:jc w:val="both"/>
        <w:rPr>
          <w:rFonts w:eastAsiaTheme="minorEastAsia"/>
          <w:b w:val="0"/>
          <w:bCs w:val="0"/>
          <w:caps w:val="0"/>
          <w:noProof/>
          <w:color w:val="auto"/>
          <w:sz w:val="22"/>
          <w:szCs w:val="22"/>
          <w:lang w:eastAsia="en-ZA"/>
        </w:rPr>
      </w:pPr>
      <w:r>
        <w:rPr>
          <w:noProof/>
        </w:rPr>
        <w:t>Appendix 4: Schedule of the small business definition</w:t>
      </w:r>
      <w:r>
        <w:rPr>
          <w:noProof/>
        </w:rPr>
        <w:tab/>
      </w:r>
      <w:r>
        <w:rPr>
          <w:noProof/>
        </w:rPr>
        <w:fldChar w:fldCharType="begin"/>
      </w:r>
      <w:r>
        <w:rPr>
          <w:noProof/>
        </w:rPr>
        <w:instrText xml:space="preserve"> PAGEREF _Toc479940942 \h </w:instrText>
      </w:r>
      <w:r>
        <w:rPr>
          <w:noProof/>
        </w:rPr>
      </w:r>
      <w:r>
        <w:rPr>
          <w:noProof/>
        </w:rPr>
        <w:fldChar w:fldCharType="separate"/>
      </w:r>
      <w:r w:rsidR="005062E7">
        <w:rPr>
          <w:noProof/>
        </w:rPr>
        <w:t>106</w:t>
      </w:r>
      <w:r>
        <w:rPr>
          <w:noProof/>
        </w:rPr>
        <w:fldChar w:fldCharType="end"/>
      </w:r>
    </w:p>
    <w:p w14:paraId="568F7FBD" w14:textId="1ECC9FF2" w:rsidR="005167C0" w:rsidRDefault="009F2BC3" w:rsidP="00D66738">
      <w:pPr>
        <w:spacing w:after="240"/>
        <w:ind w:left="1440" w:hanging="1440"/>
        <w:jc w:val="both"/>
        <w:rPr>
          <w:b/>
          <w:noProof/>
          <w:sz w:val="28"/>
          <w:szCs w:val="28"/>
        </w:rPr>
      </w:pPr>
      <w:r>
        <w:rPr>
          <w:rFonts w:ascii="Calibri" w:eastAsia="Calibri" w:hAnsi="Calibri" w:cs="Times New Roman"/>
          <w:b/>
          <w:noProof/>
          <w:color w:val="000000" w:themeColor="text1"/>
          <w:sz w:val="28"/>
          <w:szCs w:val="28"/>
        </w:rPr>
        <w:fldChar w:fldCharType="end"/>
      </w:r>
    </w:p>
    <w:p w14:paraId="744626C5" w14:textId="1E2041F8" w:rsidR="0008095F" w:rsidRPr="0008095F" w:rsidRDefault="0008095F" w:rsidP="00D66738">
      <w:pPr>
        <w:spacing w:after="240"/>
        <w:ind w:left="1440" w:hanging="1440"/>
        <w:jc w:val="both"/>
        <w:rPr>
          <w:b/>
          <w:noProof/>
          <w:sz w:val="28"/>
          <w:szCs w:val="28"/>
        </w:rPr>
      </w:pPr>
      <w:r w:rsidRPr="0008095F">
        <w:rPr>
          <w:b/>
          <w:noProof/>
          <w:sz w:val="28"/>
          <w:szCs w:val="28"/>
        </w:rPr>
        <w:t>List of Figures</w:t>
      </w:r>
    </w:p>
    <w:p w14:paraId="6453F420" w14:textId="28DFE3EF" w:rsidR="0077260B" w:rsidRDefault="00A5173F" w:rsidP="00D66738">
      <w:pPr>
        <w:pStyle w:val="TableofFigures"/>
        <w:tabs>
          <w:tab w:val="right" w:leader="dot" w:pos="9038"/>
        </w:tabs>
        <w:jc w:val="both"/>
        <w:rPr>
          <w:rFonts w:eastAsiaTheme="minorEastAsia"/>
          <w:smallCaps w:val="0"/>
          <w:noProof/>
          <w:sz w:val="22"/>
          <w:szCs w:val="22"/>
          <w:lang w:eastAsia="en-ZA"/>
        </w:rPr>
      </w:pPr>
      <w:r>
        <w:rPr>
          <w:smallCaps w:val="0"/>
          <w:noProof/>
        </w:rPr>
        <w:fldChar w:fldCharType="begin"/>
      </w:r>
      <w:r>
        <w:rPr>
          <w:smallCaps w:val="0"/>
          <w:noProof/>
        </w:rPr>
        <w:instrText xml:space="preserve"> TOC \h \z \c "Figure" </w:instrText>
      </w:r>
      <w:r>
        <w:rPr>
          <w:smallCaps w:val="0"/>
          <w:noProof/>
        </w:rPr>
        <w:fldChar w:fldCharType="separate"/>
      </w:r>
      <w:hyperlink w:anchor="_Toc479940943" w:history="1">
        <w:r w:rsidR="0077260B" w:rsidRPr="00D75450">
          <w:rPr>
            <w:rStyle w:val="Hyperlink"/>
            <w:noProof/>
          </w:rPr>
          <w:t>Figure 1. Share of employees in employment, employment ratio (a) and linear trend for share of employees in employment (b)</w:t>
        </w:r>
        <w:r w:rsidR="0077260B">
          <w:rPr>
            <w:noProof/>
            <w:webHidden/>
          </w:rPr>
          <w:tab/>
        </w:r>
        <w:r w:rsidR="0077260B">
          <w:rPr>
            <w:noProof/>
            <w:webHidden/>
          </w:rPr>
          <w:fldChar w:fldCharType="begin"/>
        </w:r>
        <w:r w:rsidR="0077260B">
          <w:rPr>
            <w:noProof/>
            <w:webHidden/>
          </w:rPr>
          <w:instrText xml:space="preserve"> PAGEREF _Toc479940943 \h </w:instrText>
        </w:r>
        <w:r w:rsidR="0077260B">
          <w:rPr>
            <w:noProof/>
            <w:webHidden/>
          </w:rPr>
        </w:r>
        <w:r w:rsidR="0077260B">
          <w:rPr>
            <w:noProof/>
            <w:webHidden/>
          </w:rPr>
          <w:fldChar w:fldCharType="separate"/>
        </w:r>
        <w:r w:rsidR="005062E7">
          <w:rPr>
            <w:noProof/>
            <w:webHidden/>
          </w:rPr>
          <w:t>14</w:t>
        </w:r>
        <w:r w:rsidR="0077260B">
          <w:rPr>
            <w:noProof/>
            <w:webHidden/>
          </w:rPr>
          <w:fldChar w:fldCharType="end"/>
        </w:r>
      </w:hyperlink>
    </w:p>
    <w:p w14:paraId="03C9596E" w14:textId="704E7805"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44" w:history="1">
        <w:r w:rsidR="0077260B" w:rsidRPr="00D75450">
          <w:rPr>
            <w:rStyle w:val="Hyperlink"/>
            <w:noProof/>
          </w:rPr>
          <w:t>Figure 2. Share of employees in employment and employment ratio (a) for largest upper-middle-income economies (by population) with available figures (b)</w:t>
        </w:r>
        <w:r w:rsidR="0077260B">
          <w:rPr>
            <w:noProof/>
            <w:webHidden/>
          </w:rPr>
          <w:tab/>
        </w:r>
        <w:r w:rsidR="0077260B">
          <w:rPr>
            <w:noProof/>
            <w:webHidden/>
          </w:rPr>
          <w:fldChar w:fldCharType="begin"/>
        </w:r>
        <w:r w:rsidR="0077260B">
          <w:rPr>
            <w:noProof/>
            <w:webHidden/>
          </w:rPr>
          <w:instrText xml:space="preserve"> PAGEREF _Toc479940944 \h </w:instrText>
        </w:r>
        <w:r w:rsidR="0077260B">
          <w:rPr>
            <w:noProof/>
            <w:webHidden/>
          </w:rPr>
        </w:r>
        <w:r w:rsidR="0077260B">
          <w:rPr>
            <w:noProof/>
            <w:webHidden/>
          </w:rPr>
          <w:fldChar w:fldCharType="separate"/>
        </w:r>
        <w:r w:rsidR="005062E7">
          <w:rPr>
            <w:noProof/>
            <w:webHidden/>
          </w:rPr>
          <w:t>14</w:t>
        </w:r>
        <w:r w:rsidR="0077260B">
          <w:rPr>
            <w:noProof/>
            <w:webHidden/>
          </w:rPr>
          <w:fldChar w:fldCharType="end"/>
        </w:r>
      </w:hyperlink>
    </w:p>
    <w:p w14:paraId="5E78875B" w14:textId="1AFD6961"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45" w:history="1">
        <w:r w:rsidR="0077260B" w:rsidRPr="00D75450">
          <w:rPr>
            <w:rStyle w:val="Hyperlink"/>
            <w:noProof/>
          </w:rPr>
          <w:t>Figure 3. Employers by number of workers employed, 2015</w:t>
        </w:r>
        <w:r w:rsidR="0077260B">
          <w:rPr>
            <w:noProof/>
            <w:webHidden/>
          </w:rPr>
          <w:tab/>
        </w:r>
        <w:r w:rsidR="0077260B">
          <w:rPr>
            <w:noProof/>
            <w:webHidden/>
          </w:rPr>
          <w:fldChar w:fldCharType="begin"/>
        </w:r>
        <w:r w:rsidR="0077260B">
          <w:rPr>
            <w:noProof/>
            <w:webHidden/>
          </w:rPr>
          <w:instrText xml:space="preserve"> PAGEREF _Toc479940945 \h </w:instrText>
        </w:r>
        <w:r w:rsidR="0077260B">
          <w:rPr>
            <w:noProof/>
            <w:webHidden/>
          </w:rPr>
        </w:r>
        <w:r w:rsidR="0077260B">
          <w:rPr>
            <w:noProof/>
            <w:webHidden/>
          </w:rPr>
          <w:fldChar w:fldCharType="separate"/>
        </w:r>
        <w:r w:rsidR="005062E7">
          <w:rPr>
            <w:noProof/>
            <w:webHidden/>
          </w:rPr>
          <w:t>17</w:t>
        </w:r>
        <w:r w:rsidR="0077260B">
          <w:rPr>
            <w:noProof/>
            <w:webHidden/>
          </w:rPr>
          <w:fldChar w:fldCharType="end"/>
        </w:r>
      </w:hyperlink>
    </w:p>
    <w:p w14:paraId="50EDA951" w14:textId="20DE33B6"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46" w:history="1">
        <w:r w:rsidR="0077260B" w:rsidRPr="00D75450">
          <w:rPr>
            <w:rStyle w:val="Hyperlink"/>
            <w:noProof/>
          </w:rPr>
          <w:t>Figure 4. Formal and informal employers by number of workers employed, 2015</w:t>
        </w:r>
        <w:r w:rsidR="0077260B">
          <w:rPr>
            <w:noProof/>
            <w:webHidden/>
          </w:rPr>
          <w:tab/>
        </w:r>
        <w:r w:rsidR="0077260B">
          <w:rPr>
            <w:noProof/>
            <w:webHidden/>
          </w:rPr>
          <w:fldChar w:fldCharType="begin"/>
        </w:r>
        <w:r w:rsidR="0077260B">
          <w:rPr>
            <w:noProof/>
            <w:webHidden/>
          </w:rPr>
          <w:instrText xml:space="preserve"> PAGEREF _Toc479940946 \h </w:instrText>
        </w:r>
        <w:r w:rsidR="0077260B">
          <w:rPr>
            <w:noProof/>
            <w:webHidden/>
          </w:rPr>
        </w:r>
        <w:r w:rsidR="0077260B">
          <w:rPr>
            <w:noProof/>
            <w:webHidden/>
          </w:rPr>
          <w:fldChar w:fldCharType="separate"/>
        </w:r>
        <w:r w:rsidR="005062E7">
          <w:rPr>
            <w:noProof/>
            <w:webHidden/>
          </w:rPr>
          <w:t>18</w:t>
        </w:r>
        <w:r w:rsidR="0077260B">
          <w:rPr>
            <w:noProof/>
            <w:webHidden/>
          </w:rPr>
          <w:fldChar w:fldCharType="end"/>
        </w:r>
      </w:hyperlink>
    </w:p>
    <w:p w14:paraId="48855A8C" w14:textId="5006AA04"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47" w:history="1">
        <w:r w:rsidR="0077260B" w:rsidRPr="00D75450">
          <w:rPr>
            <w:rStyle w:val="Hyperlink"/>
            <w:noProof/>
          </w:rPr>
          <w:t>Figure 5. Median monthly earnings for the self-employed, employers and employees by sector and size, 2015</w:t>
        </w:r>
        <w:r w:rsidR="0077260B">
          <w:rPr>
            <w:noProof/>
            <w:webHidden/>
          </w:rPr>
          <w:tab/>
        </w:r>
        <w:r w:rsidR="0077260B">
          <w:rPr>
            <w:noProof/>
            <w:webHidden/>
          </w:rPr>
          <w:fldChar w:fldCharType="begin"/>
        </w:r>
        <w:r w:rsidR="0077260B">
          <w:rPr>
            <w:noProof/>
            <w:webHidden/>
          </w:rPr>
          <w:instrText xml:space="preserve"> PAGEREF _Toc479940947 \h </w:instrText>
        </w:r>
        <w:r w:rsidR="0077260B">
          <w:rPr>
            <w:noProof/>
            <w:webHidden/>
          </w:rPr>
        </w:r>
        <w:r w:rsidR="0077260B">
          <w:rPr>
            <w:noProof/>
            <w:webHidden/>
          </w:rPr>
          <w:fldChar w:fldCharType="separate"/>
        </w:r>
        <w:r w:rsidR="005062E7">
          <w:rPr>
            <w:noProof/>
            <w:webHidden/>
          </w:rPr>
          <w:t>20</w:t>
        </w:r>
        <w:r w:rsidR="0077260B">
          <w:rPr>
            <w:noProof/>
            <w:webHidden/>
          </w:rPr>
          <w:fldChar w:fldCharType="end"/>
        </w:r>
      </w:hyperlink>
    </w:p>
    <w:p w14:paraId="3EEF89B2" w14:textId="087085E4"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48" w:history="1">
        <w:r w:rsidR="0077260B" w:rsidRPr="00D75450">
          <w:rPr>
            <w:rStyle w:val="Hyperlink"/>
            <w:noProof/>
          </w:rPr>
          <w:t>Figure 6. Provincial distribution of small business, 2008 to 2015</w:t>
        </w:r>
        <w:r w:rsidR="0077260B">
          <w:rPr>
            <w:noProof/>
            <w:webHidden/>
          </w:rPr>
          <w:tab/>
        </w:r>
        <w:r w:rsidR="0077260B">
          <w:rPr>
            <w:noProof/>
            <w:webHidden/>
          </w:rPr>
          <w:fldChar w:fldCharType="begin"/>
        </w:r>
        <w:r w:rsidR="0077260B">
          <w:rPr>
            <w:noProof/>
            <w:webHidden/>
          </w:rPr>
          <w:instrText xml:space="preserve"> PAGEREF _Toc479940948 \h </w:instrText>
        </w:r>
        <w:r w:rsidR="0077260B">
          <w:rPr>
            <w:noProof/>
            <w:webHidden/>
          </w:rPr>
        </w:r>
        <w:r w:rsidR="0077260B">
          <w:rPr>
            <w:noProof/>
            <w:webHidden/>
          </w:rPr>
          <w:fldChar w:fldCharType="separate"/>
        </w:r>
        <w:r w:rsidR="005062E7">
          <w:rPr>
            <w:noProof/>
            <w:webHidden/>
          </w:rPr>
          <w:t>20</w:t>
        </w:r>
        <w:r w:rsidR="0077260B">
          <w:rPr>
            <w:noProof/>
            <w:webHidden/>
          </w:rPr>
          <w:fldChar w:fldCharType="end"/>
        </w:r>
      </w:hyperlink>
    </w:p>
    <w:p w14:paraId="06824D88" w14:textId="5E0CAFF6"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49" w:history="1">
        <w:r w:rsidR="0077260B" w:rsidRPr="00D75450">
          <w:rPr>
            <w:rStyle w:val="Hyperlink"/>
            <w:noProof/>
          </w:rPr>
          <w:t>Figure 7. Education status of employers, self-employed people and private-sector employees in formal and informal enterprise, 2014</w:t>
        </w:r>
        <w:r w:rsidR="0077260B">
          <w:rPr>
            <w:noProof/>
            <w:webHidden/>
          </w:rPr>
          <w:tab/>
        </w:r>
        <w:r w:rsidR="0077260B">
          <w:rPr>
            <w:noProof/>
            <w:webHidden/>
          </w:rPr>
          <w:fldChar w:fldCharType="begin"/>
        </w:r>
        <w:r w:rsidR="0077260B">
          <w:rPr>
            <w:noProof/>
            <w:webHidden/>
          </w:rPr>
          <w:instrText xml:space="preserve"> PAGEREF _Toc479940949 \h </w:instrText>
        </w:r>
        <w:r w:rsidR="0077260B">
          <w:rPr>
            <w:noProof/>
            <w:webHidden/>
          </w:rPr>
        </w:r>
        <w:r w:rsidR="0077260B">
          <w:rPr>
            <w:noProof/>
            <w:webHidden/>
          </w:rPr>
          <w:fldChar w:fldCharType="separate"/>
        </w:r>
        <w:r w:rsidR="005062E7">
          <w:rPr>
            <w:noProof/>
            <w:webHidden/>
          </w:rPr>
          <w:t>21</w:t>
        </w:r>
        <w:r w:rsidR="0077260B">
          <w:rPr>
            <w:noProof/>
            <w:webHidden/>
          </w:rPr>
          <w:fldChar w:fldCharType="end"/>
        </w:r>
      </w:hyperlink>
    </w:p>
    <w:p w14:paraId="4FE5020B" w14:textId="280E5009"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50" w:history="1">
        <w:r w:rsidR="0077260B" w:rsidRPr="00D75450">
          <w:rPr>
            <w:rStyle w:val="Hyperlink"/>
            <w:noProof/>
          </w:rPr>
          <w:t>Figure 8. WEF Global Competitiveness Index, 2006 and 2015</w:t>
        </w:r>
        <w:r w:rsidR="0077260B">
          <w:rPr>
            <w:noProof/>
            <w:webHidden/>
          </w:rPr>
          <w:tab/>
        </w:r>
        <w:r w:rsidR="0077260B">
          <w:rPr>
            <w:noProof/>
            <w:webHidden/>
          </w:rPr>
          <w:fldChar w:fldCharType="begin"/>
        </w:r>
        <w:r w:rsidR="0077260B">
          <w:rPr>
            <w:noProof/>
            <w:webHidden/>
          </w:rPr>
          <w:instrText xml:space="preserve"> PAGEREF _Toc479940950 \h </w:instrText>
        </w:r>
        <w:r w:rsidR="0077260B">
          <w:rPr>
            <w:noProof/>
            <w:webHidden/>
          </w:rPr>
        </w:r>
        <w:r w:rsidR="0077260B">
          <w:rPr>
            <w:noProof/>
            <w:webHidden/>
          </w:rPr>
          <w:fldChar w:fldCharType="separate"/>
        </w:r>
        <w:r w:rsidR="005062E7">
          <w:rPr>
            <w:noProof/>
            <w:webHidden/>
          </w:rPr>
          <w:t>23</w:t>
        </w:r>
        <w:r w:rsidR="0077260B">
          <w:rPr>
            <w:noProof/>
            <w:webHidden/>
          </w:rPr>
          <w:fldChar w:fldCharType="end"/>
        </w:r>
      </w:hyperlink>
    </w:p>
    <w:p w14:paraId="1F8C3D36" w14:textId="39A63991"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51" w:history="1">
        <w:r w:rsidR="0077260B" w:rsidRPr="00D75450">
          <w:rPr>
            <w:rStyle w:val="Hyperlink"/>
            <w:noProof/>
          </w:rPr>
          <w:t>Figure 9. GEM National Economic Survey, 2008 and 2015</w:t>
        </w:r>
        <w:r w:rsidR="0077260B">
          <w:rPr>
            <w:noProof/>
            <w:webHidden/>
          </w:rPr>
          <w:tab/>
        </w:r>
        <w:r w:rsidR="0077260B">
          <w:rPr>
            <w:noProof/>
            <w:webHidden/>
          </w:rPr>
          <w:fldChar w:fldCharType="begin"/>
        </w:r>
        <w:r w:rsidR="0077260B">
          <w:rPr>
            <w:noProof/>
            <w:webHidden/>
          </w:rPr>
          <w:instrText xml:space="preserve"> PAGEREF _Toc479940951 \h </w:instrText>
        </w:r>
        <w:r w:rsidR="0077260B">
          <w:rPr>
            <w:noProof/>
            <w:webHidden/>
          </w:rPr>
        </w:r>
        <w:r w:rsidR="0077260B">
          <w:rPr>
            <w:noProof/>
            <w:webHidden/>
          </w:rPr>
          <w:fldChar w:fldCharType="separate"/>
        </w:r>
        <w:r w:rsidR="005062E7">
          <w:rPr>
            <w:noProof/>
            <w:webHidden/>
          </w:rPr>
          <w:t>24</w:t>
        </w:r>
        <w:r w:rsidR="0077260B">
          <w:rPr>
            <w:noProof/>
            <w:webHidden/>
          </w:rPr>
          <w:fldChar w:fldCharType="end"/>
        </w:r>
      </w:hyperlink>
    </w:p>
    <w:p w14:paraId="6214F298" w14:textId="1BC178CF"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52" w:history="1">
        <w:r w:rsidR="0077260B" w:rsidRPr="00D75450">
          <w:rPr>
            <w:rStyle w:val="Hyperlink"/>
            <w:noProof/>
          </w:rPr>
          <w:t>Figure 10. Regulatory Impediments Index, 2012</w:t>
        </w:r>
        <w:r w:rsidR="0077260B">
          <w:rPr>
            <w:noProof/>
            <w:webHidden/>
          </w:rPr>
          <w:tab/>
        </w:r>
        <w:r w:rsidR="0077260B">
          <w:rPr>
            <w:noProof/>
            <w:webHidden/>
          </w:rPr>
          <w:fldChar w:fldCharType="begin"/>
        </w:r>
        <w:r w:rsidR="0077260B">
          <w:rPr>
            <w:noProof/>
            <w:webHidden/>
          </w:rPr>
          <w:instrText xml:space="preserve"> PAGEREF _Toc479940952 \h </w:instrText>
        </w:r>
        <w:r w:rsidR="0077260B">
          <w:rPr>
            <w:noProof/>
            <w:webHidden/>
          </w:rPr>
        </w:r>
        <w:r w:rsidR="0077260B">
          <w:rPr>
            <w:noProof/>
            <w:webHidden/>
          </w:rPr>
          <w:fldChar w:fldCharType="separate"/>
        </w:r>
        <w:r w:rsidR="005062E7">
          <w:rPr>
            <w:noProof/>
            <w:webHidden/>
          </w:rPr>
          <w:t>25</w:t>
        </w:r>
        <w:r w:rsidR="0077260B">
          <w:rPr>
            <w:noProof/>
            <w:webHidden/>
          </w:rPr>
          <w:fldChar w:fldCharType="end"/>
        </w:r>
      </w:hyperlink>
    </w:p>
    <w:p w14:paraId="58AB90FA" w14:textId="20BAE44E"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53" w:history="1">
        <w:r w:rsidR="0077260B" w:rsidRPr="00D75450">
          <w:rPr>
            <w:rStyle w:val="Hyperlink"/>
            <w:noProof/>
          </w:rPr>
          <w:t>Figure 11. Illustration of online company reporting process</w:t>
        </w:r>
        <w:r w:rsidR="0077260B">
          <w:rPr>
            <w:noProof/>
            <w:webHidden/>
          </w:rPr>
          <w:tab/>
        </w:r>
        <w:r w:rsidR="0077260B">
          <w:rPr>
            <w:noProof/>
            <w:webHidden/>
          </w:rPr>
          <w:fldChar w:fldCharType="begin"/>
        </w:r>
        <w:r w:rsidR="0077260B">
          <w:rPr>
            <w:noProof/>
            <w:webHidden/>
          </w:rPr>
          <w:instrText xml:space="preserve"> PAGEREF _Toc479940953 \h </w:instrText>
        </w:r>
        <w:r w:rsidR="0077260B">
          <w:rPr>
            <w:noProof/>
            <w:webHidden/>
          </w:rPr>
        </w:r>
        <w:r w:rsidR="0077260B">
          <w:rPr>
            <w:noProof/>
            <w:webHidden/>
          </w:rPr>
          <w:fldChar w:fldCharType="separate"/>
        </w:r>
        <w:r w:rsidR="005062E7">
          <w:rPr>
            <w:noProof/>
            <w:webHidden/>
          </w:rPr>
          <w:t>40</w:t>
        </w:r>
        <w:r w:rsidR="0077260B">
          <w:rPr>
            <w:noProof/>
            <w:webHidden/>
          </w:rPr>
          <w:fldChar w:fldCharType="end"/>
        </w:r>
      </w:hyperlink>
    </w:p>
    <w:p w14:paraId="48E5A5E7" w14:textId="5DADB6FF"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54" w:history="1">
        <w:r w:rsidR="0077260B" w:rsidRPr="00D75450">
          <w:rPr>
            <w:rStyle w:val="Hyperlink"/>
            <w:noProof/>
          </w:rPr>
          <w:t>Figure 12. CIPC registration statistics, 2008 to 2016</w:t>
        </w:r>
        <w:r w:rsidR="0077260B">
          <w:rPr>
            <w:noProof/>
            <w:webHidden/>
          </w:rPr>
          <w:tab/>
        </w:r>
        <w:r w:rsidR="0077260B">
          <w:rPr>
            <w:noProof/>
            <w:webHidden/>
          </w:rPr>
          <w:fldChar w:fldCharType="begin"/>
        </w:r>
        <w:r w:rsidR="0077260B">
          <w:rPr>
            <w:noProof/>
            <w:webHidden/>
          </w:rPr>
          <w:instrText xml:space="preserve"> PAGEREF _Toc479940954 \h </w:instrText>
        </w:r>
        <w:r w:rsidR="0077260B">
          <w:rPr>
            <w:noProof/>
            <w:webHidden/>
          </w:rPr>
        </w:r>
        <w:r w:rsidR="0077260B">
          <w:rPr>
            <w:noProof/>
            <w:webHidden/>
          </w:rPr>
          <w:fldChar w:fldCharType="separate"/>
        </w:r>
        <w:r w:rsidR="005062E7">
          <w:rPr>
            <w:noProof/>
            <w:webHidden/>
          </w:rPr>
          <w:t>44</w:t>
        </w:r>
        <w:r w:rsidR="0077260B">
          <w:rPr>
            <w:noProof/>
            <w:webHidden/>
          </w:rPr>
          <w:fldChar w:fldCharType="end"/>
        </w:r>
      </w:hyperlink>
    </w:p>
    <w:p w14:paraId="2D1A7C04" w14:textId="29FE56C6"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55" w:history="1">
        <w:r w:rsidR="0077260B" w:rsidRPr="00D75450">
          <w:rPr>
            <w:rStyle w:val="Hyperlink"/>
            <w:noProof/>
          </w:rPr>
          <w:t>Figure 13. Share in total tax assessed and number of tax-paying companies by value of taxable income, 2014</w:t>
        </w:r>
        <w:r w:rsidR="0077260B">
          <w:rPr>
            <w:noProof/>
            <w:webHidden/>
          </w:rPr>
          <w:tab/>
        </w:r>
        <w:r w:rsidR="0077260B">
          <w:rPr>
            <w:noProof/>
            <w:webHidden/>
          </w:rPr>
          <w:fldChar w:fldCharType="begin"/>
        </w:r>
        <w:r w:rsidR="0077260B">
          <w:rPr>
            <w:noProof/>
            <w:webHidden/>
          </w:rPr>
          <w:instrText xml:space="preserve"> PAGEREF _Toc479940955 \h </w:instrText>
        </w:r>
        <w:r w:rsidR="0077260B">
          <w:rPr>
            <w:noProof/>
            <w:webHidden/>
          </w:rPr>
        </w:r>
        <w:r w:rsidR="0077260B">
          <w:rPr>
            <w:noProof/>
            <w:webHidden/>
          </w:rPr>
          <w:fldChar w:fldCharType="separate"/>
        </w:r>
        <w:r w:rsidR="005062E7">
          <w:rPr>
            <w:noProof/>
            <w:webHidden/>
          </w:rPr>
          <w:t>56</w:t>
        </w:r>
        <w:r w:rsidR="0077260B">
          <w:rPr>
            <w:noProof/>
            <w:webHidden/>
          </w:rPr>
          <w:fldChar w:fldCharType="end"/>
        </w:r>
      </w:hyperlink>
    </w:p>
    <w:p w14:paraId="6C146AE9" w14:textId="31C96B65"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56" w:history="1">
        <w:r w:rsidR="0077260B" w:rsidRPr="00D75450">
          <w:rPr>
            <w:rStyle w:val="Hyperlink"/>
            <w:noProof/>
          </w:rPr>
          <w:t>Figure 14. Compensation Fund revenues and benefit payments</w:t>
        </w:r>
        <w:r w:rsidR="0077260B">
          <w:rPr>
            <w:noProof/>
            <w:webHidden/>
          </w:rPr>
          <w:tab/>
        </w:r>
        <w:r w:rsidR="0077260B">
          <w:rPr>
            <w:noProof/>
            <w:webHidden/>
          </w:rPr>
          <w:fldChar w:fldCharType="begin"/>
        </w:r>
        <w:r w:rsidR="0077260B">
          <w:rPr>
            <w:noProof/>
            <w:webHidden/>
          </w:rPr>
          <w:instrText xml:space="preserve"> PAGEREF _Toc479940956 \h </w:instrText>
        </w:r>
        <w:r w:rsidR="0077260B">
          <w:rPr>
            <w:noProof/>
            <w:webHidden/>
          </w:rPr>
        </w:r>
        <w:r w:rsidR="0077260B">
          <w:rPr>
            <w:noProof/>
            <w:webHidden/>
          </w:rPr>
          <w:fldChar w:fldCharType="separate"/>
        </w:r>
        <w:r w:rsidR="005062E7">
          <w:rPr>
            <w:noProof/>
            <w:webHidden/>
          </w:rPr>
          <w:t>65</w:t>
        </w:r>
        <w:r w:rsidR="0077260B">
          <w:rPr>
            <w:noProof/>
            <w:webHidden/>
          </w:rPr>
          <w:fldChar w:fldCharType="end"/>
        </w:r>
      </w:hyperlink>
    </w:p>
    <w:p w14:paraId="66565518" w14:textId="39AFDAE9"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57" w:history="1">
        <w:r w:rsidR="0077260B" w:rsidRPr="00D75450">
          <w:rPr>
            <w:rStyle w:val="Hyperlink"/>
            <w:noProof/>
          </w:rPr>
          <w:t>Figure 15. Number of contractors on CIDB grades 2 to 9, 2008 and 2016</w:t>
        </w:r>
        <w:r w:rsidR="0077260B">
          <w:rPr>
            <w:noProof/>
            <w:webHidden/>
          </w:rPr>
          <w:tab/>
        </w:r>
        <w:r w:rsidR="0077260B">
          <w:rPr>
            <w:noProof/>
            <w:webHidden/>
          </w:rPr>
          <w:fldChar w:fldCharType="begin"/>
        </w:r>
        <w:r w:rsidR="0077260B">
          <w:rPr>
            <w:noProof/>
            <w:webHidden/>
          </w:rPr>
          <w:instrText xml:space="preserve"> PAGEREF _Toc479940957 \h </w:instrText>
        </w:r>
        <w:r w:rsidR="0077260B">
          <w:rPr>
            <w:noProof/>
            <w:webHidden/>
          </w:rPr>
        </w:r>
        <w:r w:rsidR="0077260B">
          <w:rPr>
            <w:noProof/>
            <w:webHidden/>
          </w:rPr>
          <w:fldChar w:fldCharType="separate"/>
        </w:r>
        <w:r w:rsidR="005062E7">
          <w:rPr>
            <w:noProof/>
            <w:webHidden/>
          </w:rPr>
          <w:t>88</w:t>
        </w:r>
        <w:r w:rsidR="0077260B">
          <w:rPr>
            <w:noProof/>
            <w:webHidden/>
          </w:rPr>
          <w:fldChar w:fldCharType="end"/>
        </w:r>
      </w:hyperlink>
    </w:p>
    <w:p w14:paraId="34AB2A49" w14:textId="02A73975" w:rsidR="0008095F" w:rsidRPr="0008095F" w:rsidRDefault="00A5173F" w:rsidP="00D66738">
      <w:pPr>
        <w:spacing w:before="0"/>
        <w:ind w:left="794"/>
        <w:jc w:val="both"/>
        <w:rPr>
          <w:noProof/>
        </w:rPr>
      </w:pPr>
      <w:r>
        <w:rPr>
          <w:smallCaps/>
          <w:noProof/>
          <w:sz w:val="20"/>
          <w:szCs w:val="20"/>
        </w:rPr>
        <w:fldChar w:fldCharType="end"/>
      </w:r>
    </w:p>
    <w:p w14:paraId="25820099" w14:textId="77777777" w:rsidR="0008095F" w:rsidRPr="0008095F" w:rsidRDefault="0008095F" w:rsidP="00D66738">
      <w:pPr>
        <w:spacing w:after="240"/>
        <w:ind w:left="1440" w:hanging="1440"/>
        <w:jc w:val="both"/>
        <w:rPr>
          <w:b/>
          <w:noProof/>
          <w:sz w:val="28"/>
          <w:szCs w:val="28"/>
        </w:rPr>
      </w:pPr>
      <w:r w:rsidRPr="0008095F">
        <w:rPr>
          <w:b/>
          <w:noProof/>
          <w:sz w:val="28"/>
          <w:szCs w:val="28"/>
        </w:rPr>
        <w:t>List of Tables</w:t>
      </w:r>
    </w:p>
    <w:p w14:paraId="0E71F6DD" w14:textId="555C9E53" w:rsidR="0077260B" w:rsidRDefault="0008095F" w:rsidP="00D66738">
      <w:pPr>
        <w:pStyle w:val="TableofFigures"/>
        <w:tabs>
          <w:tab w:val="right" w:leader="dot" w:pos="9038"/>
        </w:tabs>
        <w:jc w:val="both"/>
        <w:rPr>
          <w:rFonts w:eastAsiaTheme="minorEastAsia"/>
          <w:smallCaps w:val="0"/>
          <w:noProof/>
          <w:sz w:val="22"/>
          <w:szCs w:val="22"/>
          <w:lang w:eastAsia="en-ZA"/>
        </w:rPr>
      </w:pPr>
      <w:r w:rsidRPr="00C92CCB">
        <w:rPr>
          <w:b/>
          <w:noProof/>
          <w:szCs w:val="24"/>
        </w:rPr>
        <w:fldChar w:fldCharType="begin"/>
      </w:r>
      <w:r w:rsidRPr="00C92CCB">
        <w:rPr>
          <w:b/>
          <w:noProof/>
          <w:szCs w:val="24"/>
        </w:rPr>
        <w:instrText xml:space="preserve"> TOC \h \z \c "Table" </w:instrText>
      </w:r>
      <w:r w:rsidRPr="00C92CCB">
        <w:rPr>
          <w:b/>
          <w:noProof/>
          <w:szCs w:val="24"/>
        </w:rPr>
        <w:fldChar w:fldCharType="separate"/>
      </w:r>
      <w:hyperlink w:anchor="_Toc479940958" w:history="1">
        <w:r w:rsidR="0077260B" w:rsidRPr="0050042A">
          <w:rPr>
            <w:rStyle w:val="Hyperlink"/>
            <w:noProof/>
          </w:rPr>
          <w:t>Table 1. Formal and informal employers/self-employed by industry and size, 2015</w:t>
        </w:r>
        <w:r w:rsidR="0077260B">
          <w:rPr>
            <w:noProof/>
            <w:webHidden/>
          </w:rPr>
          <w:tab/>
        </w:r>
        <w:r w:rsidR="0077260B">
          <w:rPr>
            <w:noProof/>
            <w:webHidden/>
          </w:rPr>
          <w:fldChar w:fldCharType="begin"/>
        </w:r>
        <w:r w:rsidR="0077260B">
          <w:rPr>
            <w:noProof/>
            <w:webHidden/>
          </w:rPr>
          <w:instrText xml:space="preserve"> PAGEREF _Toc479940958 \h </w:instrText>
        </w:r>
        <w:r w:rsidR="0077260B">
          <w:rPr>
            <w:noProof/>
            <w:webHidden/>
          </w:rPr>
        </w:r>
        <w:r w:rsidR="0077260B">
          <w:rPr>
            <w:noProof/>
            <w:webHidden/>
          </w:rPr>
          <w:fldChar w:fldCharType="separate"/>
        </w:r>
        <w:r w:rsidR="005062E7">
          <w:rPr>
            <w:noProof/>
            <w:webHidden/>
          </w:rPr>
          <w:t>19</w:t>
        </w:r>
        <w:r w:rsidR="0077260B">
          <w:rPr>
            <w:noProof/>
            <w:webHidden/>
          </w:rPr>
          <w:fldChar w:fldCharType="end"/>
        </w:r>
      </w:hyperlink>
    </w:p>
    <w:p w14:paraId="451829B1" w14:textId="7E11E3DF"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59" w:history="1">
        <w:r w:rsidR="0077260B" w:rsidRPr="0050042A">
          <w:rPr>
            <w:rStyle w:val="Hyperlink"/>
            <w:noProof/>
          </w:rPr>
          <w:t>Table 2. Definition of small business by class from the National Small Business Act (1996)</w:t>
        </w:r>
        <w:r w:rsidR="0077260B">
          <w:rPr>
            <w:noProof/>
            <w:webHidden/>
          </w:rPr>
          <w:tab/>
        </w:r>
        <w:r w:rsidR="0077260B">
          <w:rPr>
            <w:noProof/>
            <w:webHidden/>
          </w:rPr>
          <w:fldChar w:fldCharType="begin"/>
        </w:r>
        <w:r w:rsidR="0077260B">
          <w:rPr>
            <w:noProof/>
            <w:webHidden/>
          </w:rPr>
          <w:instrText xml:space="preserve"> PAGEREF _Toc479940959 \h </w:instrText>
        </w:r>
        <w:r w:rsidR="0077260B">
          <w:rPr>
            <w:noProof/>
            <w:webHidden/>
          </w:rPr>
        </w:r>
        <w:r w:rsidR="0077260B">
          <w:rPr>
            <w:noProof/>
            <w:webHidden/>
          </w:rPr>
          <w:fldChar w:fldCharType="separate"/>
        </w:r>
        <w:r w:rsidR="005062E7">
          <w:rPr>
            <w:noProof/>
            <w:webHidden/>
          </w:rPr>
          <w:t>34</w:t>
        </w:r>
        <w:r w:rsidR="0077260B">
          <w:rPr>
            <w:noProof/>
            <w:webHidden/>
          </w:rPr>
          <w:fldChar w:fldCharType="end"/>
        </w:r>
      </w:hyperlink>
    </w:p>
    <w:p w14:paraId="4B0447FD" w14:textId="6B5C7666"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0" w:history="1">
        <w:r w:rsidR="0077260B" w:rsidRPr="0050042A">
          <w:rPr>
            <w:rStyle w:val="Hyperlink"/>
            <w:noProof/>
          </w:rPr>
          <w:t>Table 3. Reporting and registration requirements for formal small business</w:t>
        </w:r>
        <w:r w:rsidR="0077260B">
          <w:rPr>
            <w:noProof/>
            <w:webHidden/>
          </w:rPr>
          <w:tab/>
        </w:r>
        <w:r w:rsidR="0077260B">
          <w:rPr>
            <w:noProof/>
            <w:webHidden/>
          </w:rPr>
          <w:fldChar w:fldCharType="begin"/>
        </w:r>
        <w:r w:rsidR="0077260B">
          <w:rPr>
            <w:noProof/>
            <w:webHidden/>
          </w:rPr>
          <w:instrText xml:space="preserve"> PAGEREF _Toc479940960 \h </w:instrText>
        </w:r>
        <w:r w:rsidR="0077260B">
          <w:rPr>
            <w:noProof/>
            <w:webHidden/>
          </w:rPr>
        </w:r>
        <w:r w:rsidR="0077260B">
          <w:rPr>
            <w:noProof/>
            <w:webHidden/>
          </w:rPr>
          <w:fldChar w:fldCharType="separate"/>
        </w:r>
        <w:r w:rsidR="005062E7">
          <w:rPr>
            <w:noProof/>
            <w:webHidden/>
          </w:rPr>
          <w:t>36</w:t>
        </w:r>
        <w:r w:rsidR="0077260B">
          <w:rPr>
            <w:noProof/>
            <w:webHidden/>
          </w:rPr>
          <w:fldChar w:fldCharType="end"/>
        </w:r>
      </w:hyperlink>
    </w:p>
    <w:p w14:paraId="7E4A82D5" w14:textId="3E2C54B2"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1" w:history="1">
        <w:r w:rsidR="0077260B" w:rsidRPr="0050042A">
          <w:rPr>
            <w:rStyle w:val="Hyperlink"/>
            <w:noProof/>
          </w:rPr>
          <w:t>Table 4. The logic of the Companies Act and the Co-operatives Act</w:t>
        </w:r>
        <w:r w:rsidR="0077260B">
          <w:rPr>
            <w:noProof/>
            <w:webHidden/>
          </w:rPr>
          <w:tab/>
        </w:r>
        <w:r w:rsidR="0077260B">
          <w:rPr>
            <w:noProof/>
            <w:webHidden/>
          </w:rPr>
          <w:fldChar w:fldCharType="begin"/>
        </w:r>
        <w:r w:rsidR="0077260B">
          <w:rPr>
            <w:noProof/>
            <w:webHidden/>
          </w:rPr>
          <w:instrText xml:space="preserve"> PAGEREF _Toc479940961 \h </w:instrText>
        </w:r>
        <w:r w:rsidR="0077260B">
          <w:rPr>
            <w:noProof/>
            <w:webHidden/>
          </w:rPr>
        </w:r>
        <w:r w:rsidR="0077260B">
          <w:rPr>
            <w:noProof/>
            <w:webHidden/>
          </w:rPr>
          <w:fldChar w:fldCharType="separate"/>
        </w:r>
        <w:r w:rsidR="005062E7">
          <w:rPr>
            <w:noProof/>
            <w:webHidden/>
          </w:rPr>
          <w:t>38</w:t>
        </w:r>
        <w:r w:rsidR="0077260B">
          <w:rPr>
            <w:noProof/>
            <w:webHidden/>
          </w:rPr>
          <w:fldChar w:fldCharType="end"/>
        </w:r>
      </w:hyperlink>
    </w:p>
    <w:p w14:paraId="0B8A21FD" w14:textId="0B1E0077"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2" w:history="1">
        <w:r w:rsidR="0077260B" w:rsidRPr="0050042A">
          <w:rPr>
            <w:rStyle w:val="Hyperlink"/>
            <w:noProof/>
          </w:rPr>
          <w:t>Table 5. Company types and forms of incorporation</w:t>
        </w:r>
        <w:r w:rsidR="0077260B">
          <w:rPr>
            <w:noProof/>
            <w:webHidden/>
          </w:rPr>
          <w:tab/>
        </w:r>
        <w:r w:rsidR="0077260B">
          <w:rPr>
            <w:noProof/>
            <w:webHidden/>
          </w:rPr>
          <w:fldChar w:fldCharType="begin"/>
        </w:r>
        <w:r w:rsidR="0077260B">
          <w:rPr>
            <w:noProof/>
            <w:webHidden/>
          </w:rPr>
          <w:instrText xml:space="preserve"> PAGEREF _Toc479940962 \h </w:instrText>
        </w:r>
        <w:r w:rsidR="0077260B">
          <w:rPr>
            <w:noProof/>
            <w:webHidden/>
          </w:rPr>
        </w:r>
        <w:r w:rsidR="0077260B">
          <w:rPr>
            <w:noProof/>
            <w:webHidden/>
          </w:rPr>
          <w:fldChar w:fldCharType="separate"/>
        </w:r>
        <w:r w:rsidR="005062E7">
          <w:rPr>
            <w:noProof/>
            <w:webHidden/>
          </w:rPr>
          <w:t>39</w:t>
        </w:r>
        <w:r w:rsidR="0077260B">
          <w:rPr>
            <w:noProof/>
            <w:webHidden/>
          </w:rPr>
          <w:fldChar w:fldCharType="end"/>
        </w:r>
      </w:hyperlink>
    </w:p>
    <w:p w14:paraId="4D469D15" w14:textId="5D31429B"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3" w:history="1">
        <w:r w:rsidR="0077260B" w:rsidRPr="0050042A">
          <w:rPr>
            <w:rStyle w:val="Hyperlink"/>
            <w:noProof/>
          </w:rPr>
          <w:t>Table 6. CIPC annual return fee schedule</w:t>
        </w:r>
        <w:r w:rsidR="0077260B">
          <w:rPr>
            <w:noProof/>
            <w:webHidden/>
          </w:rPr>
          <w:tab/>
        </w:r>
        <w:r w:rsidR="0077260B">
          <w:rPr>
            <w:noProof/>
            <w:webHidden/>
          </w:rPr>
          <w:fldChar w:fldCharType="begin"/>
        </w:r>
        <w:r w:rsidR="0077260B">
          <w:rPr>
            <w:noProof/>
            <w:webHidden/>
          </w:rPr>
          <w:instrText xml:space="preserve"> PAGEREF _Toc479940963 \h </w:instrText>
        </w:r>
        <w:r w:rsidR="0077260B">
          <w:rPr>
            <w:noProof/>
            <w:webHidden/>
          </w:rPr>
        </w:r>
        <w:r w:rsidR="0077260B">
          <w:rPr>
            <w:noProof/>
            <w:webHidden/>
          </w:rPr>
          <w:fldChar w:fldCharType="separate"/>
        </w:r>
        <w:r w:rsidR="005062E7">
          <w:rPr>
            <w:noProof/>
            <w:webHidden/>
          </w:rPr>
          <w:t>41</w:t>
        </w:r>
        <w:r w:rsidR="0077260B">
          <w:rPr>
            <w:noProof/>
            <w:webHidden/>
          </w:rPr>
          <w:fldChar w:fldCharType="end"/>
        </w:r>
      </w:hyperlink>
    </w:p>
    <w:p w14:paraId="290514FC" w14:textId="1D1610BE"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4" w:history="1">
        <w:r w:rsidR="0077260B" w:rsidRPr="0050042A">
          <w:rPr>
            <w:rStyle w:val="Hyperlink"/>
            <w:noProof/>
          </w:rPr>
          <w:t>Table 7. Summary of administrative and compliance costs for a company</w:t>
        </w:r>
        <w:r w:rsidR="0077260B">
          <w:rPr>
            <w:noProof/>
            <w:webHidden/>
          </w:rPr>
          <w:tab/>
        </w:r>
        <w:r w:rsidR="0077260B">
          <w:rPr>
            <w:noProof/>
            <w:webHidden/>
          </w:rPr>
          <w:fldChar w:fldCharType="begin"/>
        </w:r>
        <w:r w:rsidR="0077260B">
          <w:rPr>
            <w:noProof/>
            <w:webHidden/>
          </w:rPr>
          <w:instrText xml:space="preserve"> PAGEREF _Toc479940964 \h </w:instrText>
        </w:r>
        <w:r w:rsidR="0077260B">
          <w:rPr>
            <w:noProof/>
            <w:webHidden/>
          </w:rPr>
        </w:r>
        <w:r w:rsidR="0077260B">
          <w:rPr>
            <w:noProof/>
            <w:webHidden/>
          </w:rPr>
          <w:fldChar w:fldCharType="separate"/>
        </w:r>
        <w:r w:rsidR="005062E7">
          <w:rPr>
            <w:noProof/>
            <w:webHidden/>
          </w:rPr>
          <w:t>42</w:t>
        </w:r>
        <w:r w:rsidR="0077260B">
          <w:rPr>
            <w:noProof/>
            <w:webHidden/>
          </w:rPr>
          <w:fldChar w:fldCharType="end"/>
        </w:r>
      </w:hyperlink>
    </w:p>
    <w:p w14:paraId="4302BFAB" w14:textId="269CE237"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5" w:history="1">
        <w:r w:rsidR="0077260B" w:rsidRPr="0050042A">
          <w:rPr>
            <w:rStyle w:val="Hyperlink"/>
            <w:noProof/>
          </w:rPr>
          <w:t>Table 8. Costs, benefits and risks of options to reform Annual Returns</w:t>
        </w:r>
        <w:r w:rsidR="0077260B">
          <w:rPr>
            <w:noProof/>
            <w:webHidden/>
          </w:rPr>
          <w:tab/>
        </w:r>
        <w:r w:rsidR="0077260B">
          <w:rPr>
            <w:noProof/>
            <w:webHidden/>
          </w:rPr>
          <w:fldChar w:fldCharType="begin"/>
        </w:r>
        <w:r w:rsidR="0077260B">
          <w:rPr>
            <w:noProof/>
            <w:webHidden/>
          </w:rPr>
          <w:instrText xml:space="preserve"> PAGEREF _Toc479940965 \h </w:instrText>
        </w:r>
        <w:r w:rsidR="0077260B">
          <w:rPr>
            <w:noProof/>
            <w:webHidden/>
          </w:rPr>
        </w:r>
        <w:r w:rsidR="0077260B">
          <w:rPr>
            <w:noProof/>
            <w:webHidden/>
          </w:rPr>
          <w:fldChar w:fldCharType="separate"/>
        </w:r>
        <w:r w:rsidR="005062E7">
          <w:rPr>
            <w:noProof/>
            <w:webHidden/>
          </w:rPr>
          <w:t>46</w:t>
        </w:r>
        <w:r w:rsidR="0077260B">
          <w:rPr>
            <w:noProof/>
            <w:webHidden/>
          </w:rPr>
          <w:fldChar w:fldCharType="end"/>
        </w:r>
      </w:hyperlink>
    </w:p>
    <w:p w14:paraId="5B7FDED5" w14:textId="53A92995"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6" w:history="1">
        <w:r w:rsidR="0077260B" w:rsidRPr="0050042A">
          <w:rPr>
            <w:rStyle w:val="Hyperlink"/>
            <w:noProof/>
          </w:rPr>
          <w:t>Table 9. Costs, benefits and risks of modifying compulsory audits for co-operatives</w:t>
        </w:r>
        <w:r w:rsidR="0077260B">
          <w:rPr>
            <w:noProof/>
            <w:webHidden/>
          </w:rPr>
          <w:tab/>
        </w:r>
        <w:r w:rsidR="0077260B">
          <w:rPr>
            <w:noProof/>
            <w:webHidden/>
          </w:rPr>
          <w:fldChar w:fldCharType="begin"/>
        </w:r>
        <w:r w:rsidR="0077260B">
          <w:rPr>
            <w:noProof/>
            <w:webHidden/>
          </w:rPr>
          <w:instrText xml:space="preserve"> PAGEREF _Toc479940966 \h </w:instrText>
        </w:r>
        <w:r w:rsidR="0077260B">
          <w:rPr>
            <w:noProof/>
            <w:webHidden/>
          </w:rPr>
        </w:r>
        <w:r w:rsidR="0077260B">
          <w:rPr>
            <w:noProof/>
            <w:webHidden/>
          </w:rPr>
          <w:fldChar w:fldCharType="separate"/>
        </w:r>
        <w:r w:rsidR="005062E7">
          <w:rPr>
            <w:noProof/>
            <w:webHidden/>
          </w:rPr>
          <w:t>48</w:t>
        </w:r>
        <w:r w:rsidR="0077260B">
          <w:rPr>
            <w:noProof/>
            <w:webHidden/>
          </w:rPr>
          <w:fldChar w:fldCharType="end"/>
        </w:r>
      </w:hyperlink>
    </w:p>
    <w:p w14:paraId="539477CE" w14:textId="5C63E73E"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7" w:history="1">
        <w:r w:rsidR="0077260B" w:rsidRPr="0050042A">
          <w:rPr>
            <w:rStyle w:val="Hyperlink"/>
            <w:noProof/>
          </w:rPr>
          <w:t>Table 10. The logic of the tax system</w:t>
        </w:r>
        <w:r w:rsidR="0077260B">
          <w:rPr>
            <w:noProof/>
            <w:webHidden/>
          </w:rPr>
          <w:tab/>
        </w:r>
        <w:r w:rsidR="0077260B">
          <w:rPr>
            <w:noProof/>
            <w:webHidden/>
          </w:rPr>
          <w:fldChar w:fldCharType="begin"/>
        </w:r>
        <w:r w:rsidR="0077260B">
          <w:rPr>
            <w:noProof/>
            <w:webHidden/>
          </w:rPr>
          <w:instrText xml:space="preserve"> PAGEREF _Toc479940967 \h </w:instrText>
        </w:r>
        <w:r w:rsidR="0077260B">
          <w:rPr>
            <w:noProof/>
            <w:webHidden/>
          </w:rPr>
        </w:r>
        <w:r w:rsidR="0077260B">
          <w:rPr>
            <w:noProof/>
            <w:webHidden/>
          </w:rPr>
          <w:fldChar w:fldCharType="separate"/>
        </w:r>
        <w:r w:rsidR="005062E7">
          <w:rPr>
            <w:noProof/>
            <w:webHidden/>
          </w:rPr>
          <w:t>50</w:t>
        </w:r>
        <w:r w:rsidR="0077260B">
          <w:rPr>
            <w:noProof/>
            <w:webHidden/>
          </w:rPr>
          <w:fldChar w:fldCharType="end"/>
        </w:r>
      </w:hyperlink>
    </w:p>
    <w:p w14:paraId="01C4FF4B" w14:textId="64224A4B"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8" w:history="1">
        <w:r w:rsidR="0077260B" w:rsidRPr="0050042A">
          <w:rPr>
            <w:rStyle w:val="Hyperlink"/>
            <w:noProof/>
          </w:rPr>
          <w:t>Table 11. Turnover Tax Rates in 2016/7</w:t>
        </w:r>
        <w:r w:rsidR="0077260B">
          <w:rPr>
            <w:noProof/>
            <w:webHidden/>
          </w:rPr>
          <w:tab/>
        </w:r>
        <w:r w:rsidR="0077260B">
          <w:rPr>
            <w:noProof/>
            <w:webHidden/>
          </w:rPr>
          <w:fldChar w:fldCharType="begin"/>
        </w:r>
        <w:r w:rsidR="0077260B">
          <w:rPr>
            <w:noProof/>
            <w:webHidden/>
          </w:rPr>
          <w:instrText xml:space="preserve"> PAGEREF _Toc479940968 \h </w:instrText>
        </w:r>
        <w:r w:rsidR="0077260B">
          <w:rPr>
            <w:noProof/>
            <w:webHidden/>
          </w:rPr>
        </w:r>
        <w:r w:rsidR="0077260B">
          <w:rPr>
            <w:noProof/>
            <w:webHidden/>
          </w:rPr>
          <w:fldChar w:fldCharType="separate"/>
        </w:r>
        <w:r w:rsidR="005062E7">
          <w:rPr>
            <w:noProof/>
            <w:webHidden/>
          </w:rPr>
          <w:t>52</w:t>
        </w:r>
        <w:r w:rsidR="0077260B">
          <w:rPr>
            <w:noProof/>
            <w:webHidden/>
          </w:rPr>
          <w:fldChar w:fldCharType="end"/>
        </w:r>
      </w:hyperlink>
    </w:p>
    <w:p w14:paraId="7D829178" w14:textId="315A5285"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69" w:history="1">
        <w:r w:rsidR="0077260B" w:rsidRPr="0050042A">
          <w:rPr>
            <w:rStyle w:val="Hyperlink"/>
            <w:noProof/>
          </w:rPr>
          <w:t>Table 12. SBC tax rates as of 2016</w:t>
        </w:r>
        <w:r w:rsidR="0077260B">
          <w:rPr>
            <w:noProof/>
            <w:webHidden/>
          </w:rPr>
          <w:tab/>
        </w:r>
        <w:r w:rsidR="0077260B">
          <w:rPr>
            <w:noProof/>
            <w:webHidden/>
          </w:rPr>
          <w:fldChar w:fldCharType="begin"/>
        </w:r>
        <w:r w:rsidR="0077260B">
          <w:rPr>
            <w:noProof/>
            <w:webHidden/>
          </w:rPr>
          <w:instrText xml:space="preserve"> PAGEREF _Toc479940969 \h </w:instrText>
        </w:r>
        <w:r w:rsidR="0077260B">
          <w:rPr>
            <w:noProof/>
            <w:webHidden/>
          </w:rPr>
        </w:r>
        <w:r w:rsidR="0077260B">
          <w:rPr>
            <w:noProof/>
            <w:webHidden/>
          </w:rPr>
          <w:fldChar w:fldCharType="separate"/>
        </w:r>
        <w:r w:rsidR="005062E7">
          <w:rPr>
            <w:noProof/>
            <w:webHidden/>
          </w:rPr>
          <w:t>53</w:t>
        </w:r>
        <w:r w:rsidR="0077260B">
          <w:rPr>
            <w:noProof/>
            <w:webHidden/>
          </w:rPr>
          <w:fldChar w:fldCharType="end"/>
        </w:r>
      </w:hyperlink>
    </w:p>
    <w:p w14:paraId="1513B5C4" w14:textId="6E70AD99"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0" w:history="1">
        <w:r w:rsidR="0077260B" w:rsidRPr="0050042A">
          <w:rPr>
            <w:rStyle w:val="Hyperlink"/>
            <w:noProof/>
          </w:rPr>
          <w:t>Table 13. Hours reportedly spent on tax compliance by small businesses in 2012</w:t>
        </w:r>
        <w:r w:rsidR="0077260B">
          <w:rPr>
            <w:noProof/>
            <w:webHidden/>
          </w:rPr>
          <w:tab/>
        </w:r>
        <w:r w:rsidR="0077260B">
          <w:rPr>
            <w:noProof/>
            <w:webHidden/>
          </w:rPr>
          <w:fldChar w:fldCharType="begin"/>
        </w:r>
        <w:r w:rsidR="0077260B">
          <w:rPr>
            <w:noProof/>
            <w:webHidden/>
          </w:rPr>
          <w:instrText xml:space="preserve"> PAGEREF _Toc479940970 \h </w:instrText>
        </w:r>
        <w:r w:rsidR="0077260B">
          <w:rPr>
            <w:noProof/>
            <w:webHidden/>
          </w:rPr>
        </w:r>
        <w:r w:rsidR="0077260B">
          <w:rPr>
            <w:noProof/>
            <w:webHidden/>
          </w:rPr>
          <w:fldChar w:fldCharType="separate"/>
        </w:r>
        <w:r w:rsidR="005062E7">
          <w:rPr>
            <w:noProof/>
            <w:webHidden/>
          </w:rPr>
          <w:t>54</w:t>
        </w:r>
        <w:r w:rsidR="0077260B">
          <w:rPr>
            <w:noProof/>
            <w:webHidden/>
          </w:rPr>
          <w:fldChar w:fldCharType="end"/>
        </w:r>
      </w:hyperlink>
    </w:p>
    <w:p w14:paraId="3030CC7D" w14:textId="462C580B"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1" w:history="1">
        <w:r w:rsidR="0077260B" w:rsidRPr="0050042A">
          <w:rPr>
            <w:rStyle w:val="Hyperlink"/>
            <w:noProof/>
          </w:rPr>
          <w:t>Table 14. VAT refunds compared to payments and turnover by size of business, 2014/5</w:t>
        </w:r>
        <w:r w:rsidR="0077260B">
          <w:rPr>
            <w:noProof/>
            <w:webHidden/>
          </w:rPr>
          <w:tab/>
        </w:r>
        <w:r w:rsidR="0077260B">
          <w:rPr>
            <w:noProof/>
            <w:webHidden/>
          </w:rPr>
          <w:fldChar w:fldCharType="begin"/>
        </w:r>
        <w:r w:rsidR="0077260B">
          <w:rPr>
            <w:noProof/>
            <w:webHidden/>
          </w:rPr>
          <w:instrText xml:space="preserve"> PAGEREF _Toc479940971 \h </w:instrText>
        </w:r>
        <w:r w:rsidR="0077260B">
          <w:rPr>
            <w:noProof/>
            <w:webHidden/>
          </w:rPr>
        </w:r>
        <w:r w:rsidR="0077260B">
          <w:rPr>
            <w:noProof/>
            <w:webHidden/>
          </w:rPr>
          <w:fldChar w:fldCharType="separate"/>
        </w:r>
        <w:r w:rsidR="005062E7">
          <w:rPr>
            <w:noProof/>
            <w:webHidden/>
          </w:rPr>
          <w:t>54</w:t>
        </w:r>
        <w:r w:rsidR="0077260B">
          <w:rPr>
            <w:noProof/>
            <w:webHidden/>
          </w:rPr>
          <w:fldChar w:fldCharType="end"/>
        </w:r>
      </w:hyperlink>
    </w:p>
    <w:p w14:paraId="5B21984C" w14:textId="11B2B9D6"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2" w:history="1">
        <w:r w:rsidR="0077260B" w:rsidRPr="0050042A">
          <w:rPr>
            <w:rStyle w:val="Hyperlink"/>
            <w:noProof/>
          </w:rPr>
          <w:t>Table 15 Costs, benefits and risks for VAT return issue</w:t>
        </w:r>
        <w:r w:rsidR="0077260B">
          <w:rPr>
            <w:noProof/>
            <w:webHidden/>
          </w:rPr>
          <w:tab/>
        </w:r>
        <w:r w:rsidR="0077260B">
          <w:rPr>
            <w:noProof/>
            <w:webHidden/>
          </w:rPr>
          <w:fldChar w:fldCharType="begin"/>
        </w:r>
        <w:r w:rsidR="0077260B">
          <w:rPr>
            <w:noProof/>
            <w:webHidden/>
          </w:rPr>
          <w:instrText xml:space="preserve"> PAGEREF _Toc479940972 \h </w:instrText>
        </w:r>
        <w:r w:rsidR="0077260B">
          <w:rPr>
            <w:noProof/>
            <w:webHidden/>
          </w:rPr>
        </w:r>
        <w:r w:rsidR="0077260B">
          <w:rPr>
            <w:noProof/>
            <w:webHidden/>
          </w:rPr>
          <w:fldChar w:fldCharType="separate"/>
        </w:r>
        <w:r w:rsidR="005062E7">
          <w:rPr>
            <w:noProof/>
            <w:webHidden/>
          </w:rPr>
          <w:t>57</w:t>
        </w:r>
        <w:r w:rsidR="0077260B">
          <w:rPr>
            <w:noProof/>
            <w:webHidden/>
          </w:rPr>
          <w:fldChar w:fldCharType="end"/>
        </w:r>
      </w:hyperlink>
    </w:p>
    <w:p w14:paraId="32DC80FD" w14:textId="7D2057CA"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3" w:history="1">
        <w:r w:rsidR="0077260B" w:rsidRPr="0050042A">
          <w:rPr>
            <w:rStyle w:val="Hyperlink"/>
            <w:noProof/>
          </w:rPr>
          <w:t>Table 16. Costs, benefits and risks for Income tax for small business</w:t>
        </w:r>
        <w:r w:rsidR="0077260B">
          <w:rPr>
            <w:noProof/>
            <w:webHidden/>
          </w:rPr>
          <w:tab/>
        </w:r>
        <w:r w:rsidR="0077260B">
          <w:rPr>
            <w:noProof/>
            <w:webHidden/>
          </w:rPr>
          <w:fldChar w:fldCharType="begin"/>
        </w:r>
        <w:r w:rsidR="0077260B">
          <w:rPr>
            <w:noProof/>
            <w:webHidden/>
          </w:rPr>
          <w:instrText xml:space="preserve"> PAGEREF _Toc479940973 \h </w:instrText>
        </w:r>
        <w:r w:rsidR="0077260B">
          <w:rPr>
            <w:noProof/>
            <w:webHidden/>
          </w:rPr>
        </w:r>
        <w:r w:rsidR="0077260B">
          <w:rPr>
            <w:noProof/>
            <w:webHidden/>
          </w:rPr>
          <w:fldChar w:fldCharType="separate"/>
        </w:r>
        <w:r w:rsidR="005062E7">
          <w:rPr>
            <w:noProof/>
            <w:webHidden/>
          </w:rPr>
          <w:t>58</w:t>
        </w:r>
        <w:r w:rsidR="0077260B">
          <w:rPr>
            <w:noProof/>
            <w:webHidden/>
          </w:rPr>
          <w:fldChar w:fldCharType="end"/>
        </w:r>
      </w:hyperlink>
    </w:p>
    <w:p w14:paraId="504D3A88" w14:textId="6E42A607"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4" w:history="1">
        <w:r w:rsidR="0077260B" w:rsidRPr="0050042A">
          <w:rPr>
            <w:rStyle w:val="Hyperlink"/>
            <w:noProof/>
          </w:rPr>
          <w:t>Table 17. The logic behind the UIF, Compensation Fund and skills levy</w:t>
        </w:r>
        <w:r w:rsidR="0077260B">
          <w:rPr>
            <w:noProof/>
            <w:webHidden/>
          </w:rPr>
          <w:tab/>
        </w:r>
        <w:r w:rsidR="0077260B">
          <w:rPr>
            <w:noProof/>
            <w:webHidden/>
          </w:rPr>
          <w:fldChar w:fldCharType="begin"/>
        </w:r>
        <w:r w:rsidR="0077260B">
          <w:rPr>
            <w:noProof/>
            <w:webHidden/>
          </w:rPr>
          <w:instrText xml:space="preserve"> PAGEREF _Toc479940974 \h </w:instrText>
        </w:r>
        <w:r w:rsidR="0077260B">
          <w:rPr>
            <w:noProof/>
            <w:webHidden/>
          </w:rPr>
        </w:r>
        <w:r w:rsidR="0077260B">
          <w:rPr>
            <w:noProof/>
            <w:webHidden/>
          </w:rPr>
          <w:fldChar w:fldCharType="separate"/>
        </w:r>
        <w:r w:rsidR="005062E7">
          <w:rPr>
            <w:noProof/>
            <w:webHidden/>
          </w:rPr>
          <w:t>61</w:t>
        </w:r>
        <w:r w:rsidR="0077260B">
          <w:rPr>
            <w:noProof/>
            <w:webHidden/>
          </w:rPr>
          <w:fldChar w:fldCharType="end"/>
        </w:r>
      </w:hyperlink>
    </w:p>
    <w:p w14:paraId="3DCB5E54" w14:textId="2602424E"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5" w:history="1">
        <w:r w:rsidR="0077260B" w:rsidRPr="0050042A">
          <w:rPr>
            <w:rStyle w:val="Hyperlink"/>
            <w:noProof/>
          </w:rPr>
          <w:t>Table 18. Costs, benefits and risks around the skills levy</w:t>
        </w:r>
        <w:r w:rsidR="0077260B">
          <w:rPr>
            <w:noProof/>
            <w:webHidden/>
          </w:rPr>
          <w:tab/>
        </w:r>
        <w:r w:rsidR="0077260B">
          <w:rPr>
            <w:noProof/>
            <w:webHidden/>
          </w:rPr>
          <w:fldChar w:fldCharType="begin"/>
        </w:r>
        <w:r w:rsidR="0077260B">
          <w:rPr>
            <w:noProof/>
            <w:webHidden/>
          </w:rPr>
          <w:instrText xml:space="preserve"> PAGEREF _Toc479940975 \h </w:instrText>
        </w:r>
        <w:r w:rsidR="0077260B">
          <w:rPr>
            <w:noProof/>
            <w:webHidden/>
          </w:rPr>
        </w:r>
        <w:r w:rsidR="0077260B">
          <w:rPr>
            <w:noProof/>
            <w:webHidden/>
          </w:rPr>
          <w:fldChar w:fldCharType="separate"/>
        </w:r>
        <w:r w:rsidR="005062E7">
          <w:rPr>
            <w:noProof/>
            <w:webHidden/>
          </w:rPr>
          <w:t>67</w:t>
        </w:r>
        <w:r w:rsidR="0077260B">
          <w:rPr>
            <w:noProof/>
            <w:webHidden/>
          </w:rPr>
          <w:fldChar w:fldCharType="end"/>
        </w:r>
      </w:hyperlink>
    </w:p>
    <w:p w14:paraId="3DEE9E13" w14:textId="55AC3E88"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6" w:history="1">
        <w:r w:rsidR="0077260B" w:rsidRPr="0050042A">
          <w:rPr>
            <w:rStyle w:val="Hyperlink"/>
            <w:noProof/>
          </w:rPr>
          <w:t>Table 19. Costs, benefits and risks of options for the Compensation Fund assessments</w:t>
        </w:r>
        <w:r w:rsidR="0077260B">
          <w:rPr>
            <w:noProof/>
            <w:webHidden/>
          </w:rPr>
          <w:tab/>
        </w:r>
        <w:r w:rsidR="0077260B">
          <w:rPr>
            <w:noProof/>
            <w:webHidden/>
          </w:rPr>
          <w:fldChar w:fldCharType="begin"/>
        </w:r>
        <w:r w:rsidR="0077260B">
          <w:rPr>
            <w:noProof/>
            <w:webHidden/>
          </w:rPr>
          <w:instrText xml:space="preserve"> PAGEREF _Toc479940976 \h </w:instrText>
        </w:r>
        <w:r w:rsidR="0077260B">
          <w:rPr>
            <w:noProof/>
            <w:webHidden/>
          </w:rPr>
        </w:r>
        <w:r w:rsidR="0077260B">
          <w:rPr>
            <w:noProof/>
            <w:webHidden/>
          </w:rPr>
          <w:fldChar w:fldCharType="separate"/>
        </w:r>
        <w:r w:rsidR="005062E7">
          <w:rPr>
            <w:noProof/>
            <w:webHidden/>
          </w:rPr>
          <w:t>68</w:t>
        </w:r>
        <w:r w:rsidR="0077260B">
          <w:rPr>
            <w:noProof/>
            <w:webHidden/>
          </w:rPr>
          <w:fldChar w:fldCharType="end"/>
        </w:r>
      </w:hyperlink>
    </w:p>
    <w:p w14:paraId="0633056A" w14:textId="14FBBEEA"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7" w:history="1">
        <w:r w:rsidR="0077260B" w:rsidRPr="0050042A">
          <w:rPr>
            <w:rStyle w:val="Hyperlink"/>
            <w:noProof/>
          </w:rPr>
          <w:t>Table 20. Costs, benefits and risks for PEA certificate options</w:t>
        </w:r>
        <w:r w:rsidR="0077260B">
          <w:rPr>
            <w:noProof/>
            <w:webHidden/>
          </w:rPr>
          <w:tab/>
        </w:r>
        <w:r w:rsidR="0077260B">
          <w:rPr>
            <w:noProof/>
            <w:webHidden/>
          </w:rPr>
          <w:fldChar w:fldCharType="begin"/>
        </w:r>
        <w:r w:rsidR="0077260B">
          <w:rPr>
            <w:noProof/>
            <w:webHidden/>
          </w:rPr>
          <w:instrText xml:space="preserve"> PAGEREF _Toc479940977 \h </w:instrText>
        </w:r>
        <w:r w:rsidR="0077260B">
          <w:rPr>
            <w:noProof/>
            <w:webHidden/>
          </w:rPr>
        </w:r>
        <w:r w:rsidR="0077260B">
          <w:rPr>
            <w:noProof/>
            <w:webHidden/>
          </w:rPr>
          <w:fldChar w:fldCharType="separate"/>
        </w:r>
        <w:r w:rsidR="005062E7">
          <w:rPr>
            <w:noProof/>
            <w:webHidden/>
          </w:rPr>
          <w:t>69</w:t>
        </w:r>
        <w:r w:rsidR="0077260B">
          <w:rPr>
            <w:noProof/>
            <w:webHidden/>
          </w:rPr>
          <w:fldChar w:fldCharType="end"/>
        </w:r>
      </w:hyperlink>
    </w:p>
    <w:p w14:paraId="6E63640F" w14:textId="2C17CAD9"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8" w:history="1">
        <w:r w:rsidR="0077260B" w:rsidRPr="0050042A">
          <w:rPr>
            <w:rStyle w:val="Hyperlink"/>
            <w:noProof/>
          </w:rPr>
          <w:t>Table 21. The problems that procurement laws seek to address, and their beneficiaries and cost bearers</w:t>
        </w:r>
        <w:r w:rsidR="0077260B">
          <w:rPr>
            <w:noProof/>
            <w:webHidden/>
          </w:rPr>
          <w:tab/>
        </w:r>
        <w:r w:rsidR="0077260B">
          <w:rPr>
            <w:noProof/>
            <w:webHidden/>
          </w:rPr>
          <w:fldChar w:fldCharType="begin"/>
        </w:r>
        <w:r w:rsidR="0077260B">
          <w:rPr>
            <w:noProof/>
            <w:webHidden/>
          </w:rPr>
          <w:instrText xml:space="preserve"> PAGEREF _Toc479940978 \h </w:instrText>
        </w:r>
        <w:r w:rsidR="0077260B">
          <w:rPr>
            <w:noProof/>
            <w:webHidden/>
          </w:rPr>
        </w:r>
        <w:r w:rsidR="0077260B">
          <w:rPr>
            <w:noProof/>
            <w:webHidden/>
          </w:rPr>
          <w:fldChar w:fldCharType="separate"/>
        </w:r>
        <w:r w:rsidR="005062E7">
          <w:rPr>
            <w:noProof/>
            <w:webHidden/>
          </w:rPr>
          <w:t>73</w:t>
        </w:r>
        <w:r w:rsidR="0077260B">
          <w:rPr>
            <w:noProof/>
            <w:webHidden/>
          </w:rPr>
          <w:fldChar w:fldCharType="end"/>
        </w:r>
      </w:hyperlink>
    </w:p>
    <w:p w14:paraId="76028842" w14:textId="16A56EDD"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79" w:history="1">
        <w:r w:rsidR="0077260B" w:rsidRPr="0050042A">
          <w:rPr>
            <w:rStyle w:val="Hyperlink"/>
            <w:noProof/>
          </w:rPr>
          <w:t>Table 22. Gauteng Public Works finalised tenders by size, 2013 to 2015</w:t>
        </w:r>
        <w:r w:rsidR="0077260B">
          <w:rPr>
            <w:noProof/>
            <w:webHidden/>
          </w:rPr>
          <w:tab/>
        </w:r>
        <w:r w:rsidR="0077260B">
          <w:rPr>
            <w:noProof/>
            <w:webHidden/>
          </w:rPr>
          <w:fldChar w:fldCharType="begin"/>
        </w:r>
        <w:r w:rsidR="0077260B">
          <w:rPr>
            <w:noProof/>
            <w:webHidden/>
          </w:rPr>
          <w:instrText xml:space="preserve"> PAGEREF _Toc479940979 \h </w:instrText>
        </w:r>
        <w:r w:rsidR="0077260B">
          <w:rPr>
            <w:noProof/>
            <w:webHidden/>
          </w:rPr>
        </w:r>
        <w:r w:rsidR="0077260B">
          <w:rPr>
            <w:noProof/>
            <w:webHidden/>
          </w:rPr>
          <w:fldChar w:fldCharType="separate"/>
        </w:r>
        <w:r w:rsidR="005062E7">
          <w:rPr>
            <w:noProof/>
            <w:webHidden/>
          </w:rPr>
          <w:t>77</w:t>
        </w:r>
        <w:r w:rsidR="0077260B">
          <w:rPr>
            <w:noProof/>
            <w:webHidden/>
          </w:rPr>
          <w:fldChar w:fldCharType="end"/>
        </w:r>
      </w:hyperlink>
    </w:p>
    <w:p w14:paraId="5A325312" w14:textId="4663D930"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0" w:history="1">
        <w:r w:rsidR="0077260B" w:rsidRPr="0050042A">
          <w:rPr>
            <w:rStyle w:val="Hyperlink"/>
            <w:noProof/>
          </w:rPr>
          <w:t>Table 23. Options for minimising delays in payment to small business</w:t>
        </w:r>
        <w:r w:rsidR="0077260B">
          <w:rPr>
            <w:noProof/>
            <w:webHidden/>
          </w:rPr>
          <w:tab/>
        </w:r>
        <w:r w:rsidR="0077260B">
          <w:rPr>
            <w:noProof/>
            <w:webHidden/>
          </w:rPr>
          <w:fldChar w:fldCharType="begin"/>
        </w:r>
        <w:r w:rsidR="0077260B">
          <w:rPr>
            <w:noProof/>
            <w:webHidden/>
          </w:rPr>
          <w:instrText xml:space="preserve"> PAGEREF _Toc479940980 \h </w:instrText>
        </w:r>
        <w:r w:rsidR="0077260B">
          <w:rPr>
            <w:noProof/>
            <w:webHidden/>
          </w:rPr>
        </w:r>
        <w:r w:rsidR="0077260B">
          <w:rPr>
            <w:noProof/>
            <w:webHidden/>
          </w:rPr>
          <w:fldChar w:fldCharType="separate"/>
        </w:r>
        <w:r w:rsidR="005062E7">
          <w:rPr>
            <w:noProof/>
            <w:webHidden/>
          </w:rPr>
          <w:t>78</w:t>
        </w:r>
        <w:r w:rsidR="0077260B">
          <w:rPr>
            <w:noProof/>
            <w:webHidden/>
          </w:rPr>
          <w:fldChar w:fldCharType="end"/>
        </w:r>
      </w:hyperlink>
    </w:p>
    <w:p w14:paraId="57A9C68F" w14:textId="504516D0"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1" w:history="1">
        <w:r w:rsidR="0077260B" w:rsidRPr="0050042A">
          <w:rPr>
            <w:rStyle w:val="Hyperlink"/>
            <w:noProof/>
          </w:rPr>
          <w:t>Table 24. Up-front payments: Analysis of costs, benefits and risks</w:t>
        </w:r>
        <w:r w:rsidR="0077260B">
          <w:rPr>
            <w:noProof/>
            <w:webHidden/>
          </w:rPr>
          <w:tab/>
        </w:r>
        <w:r w:rsidR="0077260B">
          <w:rPr>
            <w:noProof/>
            <w:webHidden/>
          </w:rPr>
          <w:fldChar w:fldCharType="begin"/>
        </w:r>
        <w:r w:rsidR="0077260B">
          <w:rPr>
            <w:noProof/>
            <w:webHidden/>
          </w:rPr>
          <w:instrText xml:space="preserve"> PAGEREF _Toc479940981 \h </w:instrText>
        </w:r>
        <w:r w:rsidR="0077260B">
          <w:rPr>
            <w:noProof/>
            <w:webHidden/>
          </w:rPr>
        </w:r>
        <w:r w:rsidR="0077260B">
          <w:rPr>
            <w:noProof/>
            <w:webHidden/>
          </w:rPr>
          <w:fldChar w:fldCharType="separate"/>
        </w:r>
        <w:r w:rsidR="005062E7">
          <w:rPr>
            <w:noProof/>
            <w:webHidden/>
          </w:rPr>
          <w:t>80</w:t>
        </w:r>
        <w:r w:rsidR="0077260B">
          <w:rPr>
            <w:noProof/>
            <w:webHidden/>
          </w:rPr>
          <w:fldChar w:fldCharType="end"/>
        </w:r>
      </w:hyperlink>
    </w:p>
    <w:p w14:paraId="273340CE" w14:textId="776234E9"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2" w:history="1">
        <w:r w:rsidR="0077260B" w:rsidRPr="0050042A">
          <w:rPr>
            <w:rStyle w:val="Hyperlink"/>
            <w:noProof/>
          </w:rPr>
          <w:t>Table 25. Subcontracting: Analysis of costs, benefits and risks for small businesses and other stakeholders</w:t>
        </w:r>
        <w:r w:rsidR="0077260B">
          <w:rPr>
            <w:noProof/>
            <w:webHidden/>
          </w:rPr>
          <w:tab/>
        </w:r>
        <w:r w:rsidR="0077260B">
          <w:rPr>
            <w:noProof/>
            <w:webHidden/>
          </w:rPr>
          <w:fldChar w:fldCharType="begin"/>
        </w:r>
        <w:r w:rsidR="0077260B">
          <w:rPr>
            <w:noProof/>
            <w:webHidden/>
          </w:rPr>
          <w:instrText xml:space="preserve"> PAGEREF _Toc479940982 \h </w:instrText>
        </w:r>
        <w:r w:rsidR="0077260B">
          <w:rPr>
            <w:noProof/>
            <w:webHidden/>
          </w:rPr>
        </w:r>
        <w:r w:rsidR="0077260B">
          <w:rPr>
            <w:noProof/>
            <w:webHidden/>
          </w:rPr>
          <w:fldChar w:fldCharType="separate"/>
        </w:r>
        <w:r w:rsidR="005062E7">
          <w:rPr>
            <w:noProof/>
            <w:webHidden/>
          </w:rPr>
          <w:t>81</w:t>
        </w:r>
        <w:r w:rsidR="0077260B">
          <w:rPr>
            <w:noProof/>
            <w:webHidden/>
          </w:rPr>
          <w:fldChar w:fldCharType="end"/>
        </w:r>
      </w:hyperlink>
    </w:p>
    <w:p w14:paraId="7449E50A" w14:textId="1F7CFBD7"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3" w:history="1">
        <w:r w:rsidR="0077260B" w:rsidRPr="0050042A">
          <w:rPr>
            <w:rStyle w:val="Hyperlink"/>
            <w:noProof/>
          </w:rPr>
          <w:t>Table 26. The problems that the CIDB Act seeks to address, and their beneficiaries and cost bearers</w:t>
        </w:r>
        <w:r w:rsidR="0077260B">
          <w:rPr>
            <w:noProof/>
            <w:webHidden/>
          </w:rPr>
          <w:tab/>
        </w:r>
        <w:r w:rsidR="0077260B">
          <w:rPr>
            <w:noProof/>
            <w:webHidden/>
          </w:rPr>
          <w:fldChar w:fldCharType="begin"/>
        </w:r>
        <w:r w:rsidR="0077260B">
          <w:rPr>
            <w:noProof/>
            <w:webHidden/>
          </w:rPr>
          <w:instrText xml:space="preserve"> PAGEREF _Toc479940983 \h </w:instrText>
        </w:r>
        <w:r w:rsidR="0077260B">
          <w:rPr>
            <w:noProof/>
            <w:webHidden/>
          </w:rPr>
        </w:r>
        <w:r w:rsidR="0077260B">
          <w:rPr>
            <w:noProof/>
            <w:webHidden/>
          </w:rPr>
          <w:fldChar w:fldCharType="separate"/>
        </w:r>
        <w:r w:rsidR="005062E7">
          <w:rPr>
            <w:noProof/>
            <w:webHidden/>
          </w:rPr>
          <w:t>83</w:t>
        </w:r>
        <w:r w:rsidR="0077260B">
          <w:rPr>
            <w:noProof/>
            <w:webHidden/>
          </w:rPr>
          <w:fldChar w:fldCharType="end"/>
        </w:r>
      </w:hyperlink>
    </w:p>
    <w:p w14:paraId="51E4B867" w14:textId="6DA33FCD"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4" w:history="1">
        <w:r w:rsidR="0077260B" w:rsidRPr="0050042A">
          <w:rPr>
            <w:rStyle w:val="Hyperlink"/>
            <w:noProof/>
          </w:rPr>
          <w:t>Table 27. Maximum value of contracts in the different grades</w:t>
        </w:r>
        <w:r w:rsidR="0077260B">
          <w:rPr>
            <w:noProof/>
            <w:webHidden/>
          </w:rPr>
          <w:tab/>
        </w:r>
        <w:r w:rsidR="0077260B">
          <w:rPr>
            <w:noProof/>
            <w:webHidden/>
          </w:rPr>
          <w:fldChar w:fldCharType="begin"/>
        </w:r>
        <w:r w:rsidR="0077260B">
          <w:rPr>
            <w:noProof/>
            <w:webHidden/>
          </w:rPr>
          <w:instrText xml:space="preserve"> PAGEREF _Toc479940984 \h </w:instrText>
        </w:r>
        <w:r w:rsidR="0077260B">
          <w:rPr>
            <w:noProof/>
            <w:webHidden/>
          </w:rPr>
        </w:r>
        <w:r w:rsidR="0077260B">
          <w:rPr>
            <w:noProof/>
            <w:webHidden/>
          </w:rPr>
          <w:fldChar w:fldCharType="separate"/>
        </w:r>
        <w:r w:rsidR="005062E7">
          <w:rPr>
            <w:noProof/>
            <w:webHidden/>
          </w:rPr>
          <w:t>84</w:t>
        </w:r>
        <w:r w:rsidR="0077260B">
          <w:rPr>
            <w:noProof/>
            <w:webHidden/>
          </w:rPr>
          <w:fldChar w:fldCharType="end"/>
        </w:r>
      </w:hyperlink>
    </w:p>
    <w:p w14:paraId="4E83265A" w14:textId="1002D076"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5" w:history="1">
        <w:r w:rsidR="0077260B" w:rsidRPr="0050042A">
          <w:rPr>
            <w:rStyle w:val="Hyperlink"/>
            <w:noProof/>
          </w:rPr>
          <w:t>Table 28. Requirements for application to CIDB registry, by grade</w:t>
        </w:r>
        <w:r w:rsidR="0077260B">
          <w:rPr>
            <w:noProof/>
            <w:webHidden/>
          </w:rPr>
          <w:tab/>
        </w:r>
        <w:r w:rsidR="0077260B">
          <w:rPr>
            <w:noProof/>
            <w:webHidden/>
          </w:rPr>
          <w:fldChar w:fldCharType="begin"/>
        </w:r>
        <w:r w:rsidR="0077260B">
          <w:rPr>
            <w:noProof/>
            <w:webHidden/>
          </w:rPr>
          <w:instrText xml:space="preserve"> PAGEREF _Toc479940985 \h </w:instrText>
        </w:r>
        <w:r w:rsidR="0077260B">
          <w:rPr>
            <w:noProof/>
            <w:webHidden/>
          </w:rPr>
        </w:r>
        <w:r w:rsidR="0077260B">
          <w:rPr>
            <w:noProof/>
            <w:webHidden/>
          </w:rPr>
          <w:fldChar w:fldCharType="separate"/>
        </w:r>
        <w:r w:rsidR="005062E7">
          <w:rPr>
            <w:noProof/>
            <w:webHidden/>
          </w:rPr>
          <w:t>85</w:t>
        </w:r>
        <w:r w:rsidR="0077260B">
          <w:rPr>
            <w:noProof/>
            <w:webHidden/>
          </w:rPr>
          <w:fldChar w:fldCharType="end"/>
        </w:r>
      </w:hyperlink>
    </w:p>
    <w:p w14:paraId="186329DB" w14:textId="4EE1FB37"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6" w:history="1">
        <w:r w:rsidR="0077260B" w:rsidRPr="0050042A">
          <w:rPr>
            <w:rStyle w:val="Hyperlink"/>
            <w:noProof/>
          </w:rPr>
          <w:t>Table 29. Requirements for proving competency for CIDB grades</w:t>
        </w:r>
        <w:r w:rsidR="0077260B">
          <w:rPr>
            <w:noProof/>
            <w:webHidden/>
          </w:rPr>
          <w:tab/>
        </w:r>
        <w:r w:rsidR="0077260B">
          <w:rPr>
            <w:noProof/>
            <w:webHidden/>
          </w:rPr>
          <w:fldChar w:fldCharType="begin"/>
        </w:r>
        <w:r w:rsidR="0077260B">
          <w:rPr>
            <w:noProof/>
            <w:webHidden/>
          </w:rPr>
          <w:instrText xml:space="preserve"> PAGEREF _Toc479940986 \h </w:instrText>
        </w:r>
        <w:r w:rsidR="0077260B">
          <w:rPr>
            <w:noProof/>
            <w:webHidden/>
          </w:rPr>
        </w:r>
        <w:r w:rsidR="0077260B">
          <w:rPr>
            <w:noProof/>
            <w:webHidden/>
          </w:rPr>
          <w:fldChar w:fldCharType="separate"/>
        </w:r>
        <w:r w:rsidR="005062E7">
          <w:rPr>
            <w:noProof/>
            <w:webHidden/>
          </w:rPr>
          <w:t>86</w:t>
        </w:r>
        <w:r w:rsidR="0077260B">
          <w:rPr>
            <w:noProof/>
            <w:webHidden/>
          </w:rPr>
          <w:fldChar w:fldCharType="end"/>
        </w:r>
      </w:hyperlink>
    </w:p>
    <w:p w14:paraId="2F498443" w14:textId="1FF98113"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7" w:history="1">
        <w:r w:rsidR="0077260B" w:rsidRPr="0050042A">
          <w:rPr>
            <w:rStyle w:val="Hyperlink"/>
            <w:noProof/>
          </w:rPr>
          <w:t>Table 30. Options for improving small contractors access to tenders</w:t>
        </w:r>
        <w:r w:rsidR="0077260B">
          <w:rPr>
            <w:noProof/>
            <w:webHidden/>
          </w:rPr>
          <w:tab/>
        </w:r>
        <w:r w:rsidR="0077260B">
          <w:rPr>
            <w:noProof/>
            <w:webHidden/>
          </w:rPr>
          <w:fldChar w:fldCharType="begin"/>
        </w:r>
        <w:r w:rsidR="0077260B">
          <w:rPr>
            <w:noProof/>
            <w:webHidden/>
          </w:rPr>
          <w:instrText xml:space="preserve"> PAGEREF _Toc479940987 \h </w:instrText>
        </w:r>
        <w:r w:rsidR="0077260B">
          <w:rPr>
            <w:noProof/>
            <w:webHidden/>
          </w:rPr>
        </w:r>
        <w:r w:rsidR="0077260B">
          <w:rPr>
            <w:noProof/>
            <w:webHidden/>
          </w:rPr>
          <w:fldChar w:fldCharType="separate"/>
        </w:r>
        <w:r w:rsidR="005062E7">
          <w:rPr>
            <w:noProof/>
            <w:webHidden/>
          </w:rPr>
          <w:t>89</w:t>
        </w:r>
        <w:r w:rsidR="0077260B">
          <w:rPr>
            <w:noProof/>
            <w:webHidden/>
          </w:rPr>
          <w:fldChar w:fldCharType="end"/>
        </w:r>
      </w:hyperlink>
    </w:p>
    <w:p w14:paraId="3263BFAE" w14:textId="4C872197"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8" w:history="1">
        <w:r w:rsidR="0077260B" w:rsidRPr="0050042A">
          <w:rPr>
            <w:rStyle w:val="Hyperlink"/>
            <w:noProof/>
          </w:rPr>
          <w:t>Table 31. The problems that BBBEE seeks to address, and their beneficiaries and cost bearers</w:t>
        </w:r>
        <w:r w:rsidR="0077260B">
          <w:rPr>
            <w:noProof/>
            <w:webHidden/>
          </w:rPr>
          <w:tab/>
        </w:r>
        <w:r w:rsidR="0077260B">
          <w:rPr>
            <w:noProof/>
            <w:webHidden/>
          </w:rPr>
          <w:fldChar w:fldCharType="begin"/>
        </w:r>
        <w:r w:rsidR="0077260B">
          <w:rPr>
            <w:noProof/>
            <w:webHidden/>
          </w:rPr>
          <w:instrText xml:space="preserve"> PAGEREF _Toc479940988 \h </w:instrText>
        </w:r>
        <w:r w:rsidR="0077260B">
          <w:rPr>
            <w:noProof/>
            <w:webHidden/>
          </w:rPr>
        </w:r>
        <w:r w:rsidR="0077260B">
          <w:rPr>
            <w:noProof/>
            <w:webHidden/>
          </w:rPr>
          <w:fldChar w:fldCharType="separate"/>
        </w:r>
        <w:r w:rsidR="005062E7">
          <w:rPr>
            <w:noProof/>
            <w:webHidden/>
          </w:rPr>
          <w:t>91</w:t>
        </w:r>
        <w:r w:rsidR="0077260B">
          <w:rPr>
            <w:noProof/>
            <w:webHidden/>
          </w:rPr>
          <w:fldChar w:fldCharType="end"/>
        </w:r>
      </w:hyperlink>
    </w:p>
    <w:p w14:paraId="37BD38AC" w14:textId="35D2FFDC" w:rsidR="0077260B" w:rsidRDefault="00D66738" w:rsidP="00D66738">
      <w:pPr>
        <w:pStyle w:val="TableofFigures"/>
        <w:tabs>
          <w:tab w:val="right" w:leader="dot" w:pos="9038"/>
        </w:tabs>
        <w:jc w:val="both"/>
        <w:rPr>
          <w:rFonts w:eastAsiaTheme="minorEastAsia"/>
          <w:smallCaps w:val="0"/>
          <w:noProof/>
          <w:sz w:val="22"/>
          <w:szCs w:val="22"/>
          <w:lang w:eastAsia="en-ZA"/>
        </w:rPr>
      </w:pPr>
      <w:hyperlink w:anchor="_Toc479940989" w:history="1">
        <w:r w:rsidR="0077260B" w:rsidRPr="0050042A">
          <w:rPr>
            <w:rStyle w:val="Hyperlink"/>
            <w:noProof/>
          </w:rPr>
          <w:t>Table 32. Costs, benefits and risks</w:t>
        </w:r>
        <w:r w:rsidR="0077260B">
          <w:rPr>
            <w:noProof/>
            <w:webHidden/>
          </w:rPr>
          <w:tab/>
        </w:r>
        <w:r w:rsidR="0077260B">
          <w:rPr>
            <w:noProof/>
            <w:webHidden/>
          </w:rPr>
          <w:fldChar w:fldCharType="begin"/>
        </w:r>
        <w:r w:rsidR="0077260B">
          <w:rPr>
            <w:noProof/>
            <w:webHidden/>
          </w:rPr>
          <w:instrText xml:space="preserve"> PAGEREF _Toc479940989 \h </w:instrText>
        </w:r>
        <w:r w:rsidR="0077260B">
          <w:rPr>
            <w:noProof/>
            <w:webHidden/>
          </w:rPr>
        </w:r>
        <w:r w:rsidR="0077260B">
          <w:rPr>
            <w:noProof/>
            <w:webHidden/>
          </w:rPr>
          <w:fldChar w:fldCharType="separate"/>
        </w:r>
        <w:r w:rsidR="005062E7">
          <w:rPr>
            <w:noProof/>
            <w:webHidden/>
          </w:rPr>
          <w:t>96</w:t>
        </w:r>
        <w:r w:rsidR="0077260B">
          <w:rPr>
            <w:noProof/>
            <w:webHidden/>
          </w:rPr>
          <w:fldChar w:fldCharType="end"/>
        </w:r>
      </w:hyperlink>
    </w:p>
    <w:p w14:paraId="4923D22E" w14:textId="32CD70ED" w:rsidR="0008095F" w:rsidRDefault="0008095F" w:rsidP="00D66738">
      <w:pPr>
        <w:spacing w:before="0" w:after="200" w:line="276" w:lineRule="auto"/>
        <w:jc w:val="both"/>
        <w:rPr>
          <w:b/>
          <w:noProof/>
          <w:szCs w:val="24"/>
        </w:rPr>
      </w:pPr>
      <w:r w:rsidRPr="00C92CCB">
        <w:rPr>
          <w:noProof/>
          <w:szCs w:val="24"/>
        </w:rPr>
        <w:fldChar w:fldCharType="end"/>
      </w:r>
    </w:p>
    <w:p w14:paraId="4548E013" w14:textId="5602213A" w:rsidR="006B0356" w:rsidRPr="00981406" w:rsidRDefault="0008095F" w:rsidP="00D66738">
      <w:pPr>
        <w:pStyle w:val="Heading1"/>
        <w:spacing w:after="160" w:line="259" w:lineRule="auto"/>
        <w:jc w:val="both"/>
        <w:rPr>
          <w:rFonts w:eastAsia="Times New Roman"/>
        </w:rPr>
      </w:pPr>
      <w:r>
        <w:rPr>
          <w:noProof/>
          <w:szCs w:val="24"/>
        </w:rPr>
        <w:br w:type="page"/>
      </w:r>
      <w:bookmarkStart w:id="0" w:name="_Toc479940788"/>
      <w:r w:rsidR="006B0356" w:rsidRPr="005167C0">
        <w:rPr>
          <w:rFonts w:ascii="Calibri" w:hAnsi="Calibri"/>
          <w:caps/>
          <w:color w:val="1B5068"/>
        </w:rPr>
        <w:lastRenderedPageBreak/>
        <w:t>Abbreviations</w:t>
      </w:r>
      <w:bookmarkEnd w:id="0"/>
      <w:r w:rsidR="006B0356" w:rsidRPr="005167C0">
        <w:rPr>
          <w:rFonts w:ascii="Calibri" w:hAnsi="Calibri"/>
          <w:caps/>
          <w:color w:val="1B5068"/>
        </w:rPr>
        <w:t xml:space="preserve"> </w:t>
      </w:r>
    </w:p>
    <w:p w14:paraId="17C91777" w14:textId="77777777" w:rsidR="006B0356" w:rsidRPr="00B2702B" w:rsidRDefault="006B0356" w:rsidP="00D66738">
      <w:pPr>
        <w:pStyle w:val="Heading1"/>
        <w:spacing w:after="160" w:line="259" w:lineRule="auto"/>
        <w:jc w:val="both"/>
        <w:rPr>
          <w:szCs w:val="24"/>
        </w:rPr>
        <w:sectPr w:rsidR="006B0356" w:rsidRPr="00B2702B" w:rsidSect="0066736D">
          <w:footerReference w:type="default" r:id="rId11"/>
          <w:footerReference w:type="first" r:id="rId12"/>
          <w:pgSz w:w="11906" w:h="16838"/>
          <w:pgMar w:top="1440" w:right="1440" w:bottom="1440" w:left="1418" w:header="708" w:footer="708" w:gutter="0"/>
          <w:pgNumType w:fmt="lowerRoman" w:start="1"/>
          <w:cols w:space="708"/>
          <w:titlePg/>
          <w:docGrid w:linePitch="360"/>
        </w:sectPr>
      </w:pPr>
    </w:p>
    <w:p w14:paraId="39B28A8B" w14:textId="710855CA" w:rsidR="008D0ABC" w:rsidRDefault="008D0ABC" w:rsidP="00D66738">
      <w:pPr>
        <w:spacing w:before="0" w:line="250" w:lineRule="auto"/>
        <w:jc w:val="both"/>
        <w:rPr>
          <w:szCs w:val="24"/>
        </w:rPr>
      </w:pPr>
      <w:r>
        <w:rPr>
          <w:szCs w:val="24"/>
        </w:rPr>
        <w:t>AFS                   Annual Financial Statements</w:t>
      </w:r>
    </w:p>
    <w:p w14:paraId="03167DD9" w14:textId="7752AC8D" w:rsidR="007D4D35" w:rsidRDefault="007D4D35" w:rsidP="00D66738">
      <w:pPr>
        <w:spacing w:before="0" w:line="250" w:lineRule="auto"/>
        <w:jc w:val="both"/>
        <w:rPr>
          <w:szCs w:val="24"/>
        </w:rPr>
      </w:pPr>
      <w:r>
        <w:rPr>
          <w:szCs w:val="24"/>
        </w:rPr>
        <w:t>APSO</w:t>
      </w:r>
      <w:r w:rsidR="004A24CA">
        <w:rPr>
          <w:szCs w:val="24"/>
        </w:rPr>
        <w:t xml:space="preserve">               </w:t>
      </w:r>
      <w:r w:rsidR="00BD33FA">
        <w:rPr>
          <w:szCs w:val="24"/>
        </w:rPr>
        <w:t xml:space="preserve"> Federation of African Professional Staffing Organisations</w:t>
      </w:r>
    </w:p>
    <w:p w14:paraId="1895EC8D" w14:textId="4C943511" w:rsidR="006B0356" w:rsidRPr="00B2702B" w:rsidRDefault="00BD33FA" w:rsidP="00D66738">
      <w:pPr>
        <w:spacing w:before="0" w:line="250" w:lineRule="auto"/>
        <w:jc w:val="both"/>
        <w:rPr>
          <w:szCs w:val="24"/>
        </w:rPr>
      </w:pPr>
      <w:r>
        <w:rPr>
          <w:szCs w:val="24"/>
        </w:rPr>
        <w:t>B</w:t>
      </w:r>
      <w:r w:rsidR="006B0356" w:rsidRPr="00B2702B">
        <w:rPr>
          <w:szCs w:val="24"/>
        </w:rPr>
        <w:t xml:space="preserve">BBEE </w:t>
      </w:r>
      <w:r w:rsidR="006B0356" w:rsidRPr="00B2702B">
        <w:rPr>
          <w:szCs w:val="24"/>
        </w:rPr>
        <w:tab/>
      </w:r>
      <w:r>
        <w:rPr>
          <w:szCs w:val="24"/>
        </w:rPr>
        <w:t xml:space="preserve">             </w:t>
      </w:r>
      <w:r w:rsidR="006B0356" w:rsidRPr="00B2702B">
        <w:rPr>
          <w:szCs w:val="24"/>
        </w:rPr>
        <w:t xml:space="preserve">Broad-Based Black Economic Empowerment Act </w:t>
      </w:r>
      <w:r w:rsidR="006B0356">
        <w:rPr>
          <w:szCs w:val="24"/>
        </w:rPr>
        <w:t xml:space="preserve">No. </w:t>
      </w:r>
      <w:r w:rsidR="006B0356" w:rsidRPr="00B2702B">
        <w:rPr>
          <w:szCs w:val="24"/>
        </w:rPr>
        <w:t>53 of 2003</w:t>
      </w:r>
    </w:p>
    <w:p w14:paraId="1C179AFB" w14:textId="7836F34F" w:rsidR="004A24CA" w:rsidRPr="00B2702B" w:rsidRDefault="004A24CA" w:rsidP="00D66738">
      <w:pPr>
        <w:spacing w:before="0" w:line="250" w:lineRule="auto"/>
        <w:jc w:val="both"/>
        <w:rPr>
          <w:szCs w:val="24"/>
        </w:rPr>
      </w:pPr>
      <w:r>
        <w:rPr>
          <w:szCs w:val="24"/>
        </w:rPr>
        <w:t>BBC                   Black Business Council</w:t>
      </w:r>
    </w:p>
    <w:p w14:paraId="32F5C6C1" w14:textId="5F31A4A3" w:rsidR="008D0ABC" w:rsidRDefault="008D0ABC" w:rsidP="00D66738">
      <w:pPr>
        <w:spacing w:before="0" w:line="250" w:lineRule="auto"/>
        <w:jc w:val="both"/>
        <w:rPr>
          <w:szCs w:val="24"/>
        </w:rPr>
      </w:pPr>
      <w:r>
        <w:rPr>
          <w:szCs w:val="24"/>
        </w:rPr>
        <w:t>BCEA                 Basic Conditions of Employment Act</w:t>
      </w:r>
    </w:p>
    <w:p w14:paraId="1A5C0E10" w14:textId="7D048F2E" w:rsidR="006B0356" w:rsidRDefault="006B0356" w:rsidP="00D66738">
      <w:pPr>
        <w:spacing w:before="0" w:line="250" w:lineRule="auto"/>
        <w:jc w:val="both"/>
        <w:rPr>
          <w:szCs w:val="24"/>
        </w:rPr>
      </w:pPr>
      <w:r w:rsidRPr="00B2702B">
        <w:rPr>
          <w:szCs w:val="24"/>
        </w:rPr>
        <w:t xml:space="preserve">BUSA </w:t>
      </w:r>
      <w:r w:rsidRPr="00B2702B">
        <w:rPr>
          <w:szCs w:val="24"/>
        </w:rPr>
        <w:tab/>
      </w:r>
      <w:r w:rsidRPr="00B2702B">
        <w:rPr>
          <w:szCs w:val="24"/>
        </w:rPr>
        <w:tab/>
        <w:t>Business Unity South Africa</w:t>
      </w:r>
      <w:r>
        <w:rPr>
          <w:szCs w:val="24"/>
        </w:rPr>
        <w:t xml:space="preserve"> </w:t>
      </w:r>
    </w:p>
    <w:p w14:paraId="58944E02" w14:textId="77777777" w:rsidR="006B0356" w:rsidRPr="00B2702B" w:rsidRDefault="006B0356" w:rsidP="00D66738">
      <w:pPr>
        <w:spacing w:before="0" w:line="250" w:lineRule="auto"/>
        <w:jc w:val="both"/>
        <w:rPr>
          <w:szCs w:val="24"/>
        </w:rPr>
      </w:pPr>
      <w:r w:rsidRPr="00B2702B">
        <w:rPr>
          <w:szCs w:val="24"/>
        </w:rPr>
        <w:t xml:space="preserve">CC </w:t>
      </w:r>
      <w:r w:rsidRPr="00B2702B">
        <w:rPr>
          <w:szCs w:val="24"/>
        </w:rPr>
        <w:tab/>
      </w:r>
      <w:r w:rsidRPr="00B2702B">
        <w:rPr>
          <w:szCs w:val="24"/>
        </w:rPr>
        <w:tab/>
        <w:t xml:space="preserve">Close Corporation </w:t>
      </w:r>
    </w:p>
    <w:p w14:paraId="4C818688" w14:textId="77777777" w:rsidR="006B0356" w:rsidRPr="00B2702B" w:rsidRDefault="006B0356" w:rsidP="00D66738">
      <w:pPr>
        <w:spacing w:before="0" w:line="250" w:lineRule="auto"/>
        <w:jc w:val="both"/>
        <w:rPr>
          <w:szCs w:val="24"/>
        </w:rPr>
      </w:pPr>
      <w:r w:rsidRPr="00B2702B">
        <w:rPr>
          <w:szCs w:val="24"/>
        </w:rPr>
        <w:t xml:space="preserve">CCMA </w:t>
      </w:r>
      <w:r w:rsidRPr="00B2702B">
        <w:rPr>
          <w:szCs w:val="24"/>
        </w:rPr>
        <w:tab/>
      </w:r>
      <w:r w:rsidRPr="00B2702B">
        <w:rPr>
          <w:szCs w:val="24"/>
        </w:rPr>
        <w:tab/>
        <w:t>Commission for Conciliation, Mediation and Arbitration</w:t>
      </w:r>
    </w:p>
    <w:p w14:paraId="2012E726" w14:textId="77777777" w:rsidR="006B0356" w:rsidRPr="00B2702B" w:rsidRDefault="006B0356" w:rsidP="00D66738">
      <w:pPr>
        <w:spacing w:before="0" w:line="250" w:lineRule="auto"/>
        <w:jc w:val="both"/>
        <w:rPr>
          <w:szCs w:val="24"/>
        </w:rPr>
      </w:pPr>
      <w:r w:rsidRPr="00B2702B">
        <w:rPr>
          <w:szCs w:val="24"/>
        </w:rPr>
        <w:t xml:space="preserve">COIDA </w:t>
      </w:r>
      <w:r w:rsidRPr="00B2702B">
        <w:rPr>
          <w:szCs w:val="24"/>
        </w:rPr>
        <w:tab/>
      </w:r>
      <w:r w:rsidRPr="00B2702B">
        <w:rPr>
          <w:szCs w:val="24"/>
        </w:rPr>
        <w:tab/>
        <w:t>Compensation for Occupational Injuries and Diseases</w:t>
      </w:r>
      <w:r>
        <w:rPr>
          <w:szCs w:val="24"/>
        </w:rPr>
        <w:t xml:space="preserve"> Act No. 130 of 1993</w:t>
      </w:r>
    </w:p>
    <w:p w14:paraId="6CC49D09" w14:textId="297225B9" w:rsidR="00484979" w:rsidRDefault="00484979" w:rsidP="00D66738">
      <w:pPr>
        <w:spacing w:before="0" w:line="250" w:lineRule="auto"/>
        <w:jc w:val="both"/>
        <w:rPr>
          <w:szCs w:val="24"/>
        </w:rPr>
      </w:pPr>
      <w:r>
        <w:rPr>
          <w:szCs w:val="24"/>
        </w:rPr>
        <w:t>CIDB                  Construction Industry Development Board</w:t>
      </w:r>
    </w:p>
    <w:p w14:paraId="103A6B2F" w14:textId="12D41209" w:rsidR="006B0356" w:rsidRPr="00B2702B" w:rsidRDefault="006B0356" w:rsidP="00D66738">
      <w:pPr>
        <w:spacing w:before="0" w:line="250" w:lineRule="auto"/>
        <w:jc w:val="both"/>
        <w:rPr>
          <w:szCs w:val="24"/>
        </w:rPr>
      </w:pPr>
      <w:r w:rsidRPr="00B2702B">
        <w:rPr>
          <w:szCs w:val="24"/>
        </w:rPr>
        <w:t xml:space="preserve">CIPC </w:t>
      </w:r>
      <w:r w:rsidRPr="00B2702B">
        <w:rPr>
          <w:szCs w:val="24"/>
        </w:rPr>
        <w:tab/>
      </w:r>
      <w:r w:rsidRPr="00B2702B">
        <w:rPr>
          <w:szCs w:val="24"/>
        </w:rPr>
        <w:tab/>
        <w:t>Companies and Intellectual Property Commission</w:t>
      </w:r>
    </w:p>
    <w:p w14:paraId="0D826BC0" w14:textId="3147C7C1" w:rsidR="005A465A" w:rsidRDefault="005A465A" w:rsidP="00D66738">
      <w:pPr>
        <w:spacing w:before="0" w:line="250" w:lineRule="auto"/>
        <w:jc w:val="both"/>
        <w:rPr>
          <w:szCs w:val="24"/>
        </w:rPr>
      </w:pPr>
      <w:r>
        <w:rPr>
          <w:szCs w:val="24"/>
        </w:rPr>
        <w:t>CSI                     Corporate Social Investment</w:t>
      </w:r>
    </w:p>
    <w:p w14:paraId="603F06CA" w14:textId="286A3510" w:rsidR="006A6473" w:rsidRDefault="006A6473" w:rsidP="00D66738">
      <w:pPr>
        <w:spacing w:before="0" w:line="250" w:lineRule="auto"/>
        <w:jc w:val="both"/>
        <w:rPr>
          <w:szCs w:val="24"/>
        </w:rPr>
      </w:pPr>
      <w:r>
        <w:rPr>
          <w:szCs w:val="24"/>
        </w:rPr>
        <w:t>DHET                 Department of Higher Education and Training</w:t>
      </w:r>
    </w:p>
    <w:p w14:paraId="2C2E9D67" w14:textId="15079DD7" w:rsidR="006B0356" w:rsidRPr="00B2702B" w:rsidRDefault="006B0356" w:rsidP="00D66738">
      <w:pPr>
        <w:spacing w:before="0" w:line="250" w:lineRule="auto"/>
        <w:jc w:val="both"/>
        <w:rPr>
          <w:szCs w:val="24"/>
        </w:rPr>
      </w:pPr>
      <w:r>
        <w:rPr>
          <w:szCs w:val="24"/>
        </w:rPr>
        <w:t>DOL</w:t>
      </w:r>
      <w:r w:rsidRPr="00B2702B">
        <w:rPr>
          <w:szCs w:val="24"/>
        </w:rPr>
        <w:t xml:space="preserve"> </w:t>
      </w:r>
      <w:r w:rsidRPr="00B2702B">
        <w:rPr>
          <w:szCs w:val="24"/>
        </w:rPr>
        <w:tab/>
      </w:r>
      <w:r w:rsidRPr="00B2702B">
        <w:rPr>
          <w:szCs w:val="24"/>
        </w:rPr>
        <w:tab/>
        <w:t>Department of Labour</w:t>
      </w:r>
    </w:p>
    <w:p w14:paraId="1C1D01AF" w14:textId="2F025C52" w:rsidR="007541C5" w:rsidRPr="00B2702B" w:rsidRDefault="007541C5" w:rsidP="00D66738">
      <w:pPr>
        <w:spacing w:before="0" w:line="250" w:lineRule="auto"/>
        <w:jc w:val="both"/>
        <w:rPr>
          <w:szCs w:val="24"/>
        </w:rPr>
      </w:pPr>
      <w:r w:rsidRPr="00F209B7">
        <w:t>DPME</w:t>
      </w:r>
      <w:r w:rsidR="006A6473">
        <w:t xml:space="preserve">               D</w:t>
      </w:r>
      <w:r>
        <w:t xml:space="preserve">epartment of Planning, Monitoring and Evaluation </w:t>
      </w:r>
    </w:p>
    <w:p w14:paraId="13593C28" w14:textId="502BA731" w:rsidR="006B0356" w:rsidRDefault="006B0356" w:rsidP="00D66738">
      <w:pPr>
        <w:spacing w:before="0" w:line="250" w:lineRule="auto"/>
        <w:jc w:val="both"/>
        <w:rPr>
          <w:szCs w:val="24"/>
        </w:rPr>
      </w:pPr>
      <w:r w:rsidRPr="00B2702B">
        <w:rPr>
          <w:szCs w:val="24"/>
        </w:rPr>
        <w:t xml:space="preserve">DSBD </w:t>
      </w:r>
      <w:r w:rsidRPr="00B2702B">
        <w:rPr>
          <w:szCs w:val="24"/>
        </w:rPr>
        <w:tab/>
      </w:r>
      <w:r w:rsidRPr="00B2702B">
        <w:rPr>
          <w:szCs w:val="24"/>
        </w:rPr>
        <w:tab/>
        <w:t>Department of Small Business Development</w:t>
      </w:r>
    </w:p>
    <w:p w14:paraId="039DA79D" w14:textId="239D3C20" w:rsidR="008D0ABC" w:rsidRDefault="008D0ABC" w:rsidP="00D66738">
      <w:pPr>
        <w:spacing w:before="0" w:line="250" w:lineRule="auto"/>
        <w:jc w:val="both"/>
        <w:rPr>
          <w:szCs w:val="24"/>
        </w:rPr>
      </w:pPr>
      <w:r>
        <w:rPr>
          <w:szCs w:val="24"/>
        </w:rPr>
        <w:t>DTC                   Davis Tax Commission</w:t>
      </w:r>
    </w:p>
    <w:p w14:paraId="616585CC" w14:textId="1F14FF95" w:rsidR="006B0356" w:rsidRPr="00B2702B" w:rsidRDefault="006B0356" w:rsidP="00D66738">
      <w:pPr>
        <w:spacing w:before="0" w:line="250" w:lineRule="auto"/>
        <w:jc w:val="both"/>
        <w:rPr>
          <w:szCs w:val="24"/>
        </w:rPr>
      </w:pPr>
      <w:r>
        <w:rPr>
          <w:szCs w:val="24"/>
        </w:rPr>
        <w:t>d</w:t>
      </w:r>
      <w:r w:rsidRPr="00B2702B">
        <w:rPr>
          <w:szCs w:val="24"/>
        </w:rPr>
        <w:t>ti</w:t>
      </w:r>
      <w:r>
        <w:rPr>
          <w:szCs w:val="24"/>
        </w:rPr>
        <w:t xml:space="preserve"> (the)</w:t>
      </w:r>
      <w:r w:rsidRPr="00B2702B">
        <w:rPr>
          <w:szCs w:val="24"/>
        </w:rPr>
        <w:t xml:space="preserve"> </w:t>
      </w:r>
      <w:r w:rsidRPr="00B2702B">
        <w:rPr>
          <w:szCs w:val="24"/>
        </w:rPr>
        <w:tab/>
        <w:t>Department of Trade and Industry</w:t>
      </w:r>
    </w:p>
    <w:p w14:paraId="2B90A457" w14:textId="3D78B91C" w:rsidR="00484979" w:rsidRDefault="00484979" w:rsidP="00D66738">
      <w:pPr>
        <w:spacing w:before="0" w:line="250" w:lineRule="auto"/>
        <w:jc w:val="both"/>
      </w:pPr>
      <w:r>
        <w:t>EDD                   Economic Development Department</w:t>
      </w:r>
    </w:p>
    <w:p w14:paraId="41B02D22" w14:textId="4DEACE6C" w:rsidR="008D0ABC" w:rsidRDefault="008D0ABC" w:rsidP="00D66738">
      <w:pPr>
        <w:spacing w:before="0" w:line="250" w:lineRule="auto"/>
        <w:jc w:val="both"/>
      </w:pPr>
      <w:r>
        <w:t>EEA                    Employment Equity Act</w:t>
      </w:r>
    </w:p>
    <w:p w14:paraId="16A4FB13" w14:textId="4B100C2E" w:rsidR="006B0356" w:rsidRDefault="006B0356" w:rsidP="00D66738">
      <w:pPr>
        <w:spacing w:before="0" w:line="250" w:lineRule="auto"/>
        <w:jc w:val="both"/>
      </w:pPr>
      <w:r>
        <w:t>EESE</w:t>
      </w:r>
      <w:r>
        <w:tab/>
      </w:r>
      <w:r>
        <w:tab/>
      </w:r>
      <w:r w:rsidRPr="003D616C">
        <w:t>Enabling Environment for Sustainable Enterprise</w:t>
      </w:r>
    </w:p>
    <w:p w14:paraId="7A28F4C5" w14:textId="17A2328B" w:rsidR="008D0ABC" w:rsidRDefault="008D0ABC" w:rsidP="00D66738">
      <w:pPr>
        <w:spacing w:before="0" w:line="250" w:lineRule="auto"/>
        <w:jc w:val="both"/>
      </w:pPr>
      <w:r>
        <w:t>EME                   Exempted Micro-Enterprise</w:t>
      </w:r>
    </w:p>
    <w:p w14:paraId="04EF5BBB" w14:textId="3FF376FF" w:rsidR="00BD33FA" w:rsidRDefault="00BD33FA" w:rsidP="00D66738">
      <w:pPr>
        <w:spacing w:before="0" w:line="250" w:lineRule="auto"/>
        <w:jc w:val="both"/>
        <w:rPr>
          <w:szCs w:val="24"/>
        </w:rPr>
      </w:pPr>
      <w:r w:rsidRPr="00F209B7">
        <w:t>EPP</w:t>
      </w:r>
      <w:r>
        <w:rPr>
          <w:szCs w:val="24"/>
        </w:rPr>
        <w:t xml:space="preserve">                    University of Cape Town </w:t>
      </w:r>
      <w:r w:rsidRPr="00F209B7">
        <w:t>Employment Promotion Programm</w:t>
      </w:r>
      <w:r>
        <w:t>e</w:t>
      </w:r>
    </w:p>
    <w:p w14:paraId="21C24321" w14:textId="5DFB18B2" w:rsidR="006B0356" w:rsidRDefault="006B0356" w:rsidP="00D66738">
      <w:pPr>
        <w:spacing w:before="0" w:line="250" w:lineRule="auto"/>
        <w:jc w:val="both"/>
        <w:rPr>
          <w:szCs w:val="24"/>
        </w:rPr>
      </w:pPr>
      <w:r>
        <w:rPr>
          <w:szCs w:val="24"/>
        </w:rPr>
        <w:t>GDP</w:t>
      </w:r>
      <w:r>
        <w:rPr>
          <w:szCs w:val="24"/>
        </w:rPr>
        <w:tab/>
      </w:r>
      <w:r>
        <w:rPr>
          <w:szCs w:val="24"/>
        </w:rPr>
        <w:tab/>
        <w:t>Gross Domestic Product</w:t>
      </w:r>
    </w:p>
    <w:p w14:paraId="34960681" w14:textId="77777777" w:rsidR="006B0356" w:rsidRPr="00B2702B" w:rsidRDefault="006B0356" w:rsidP="00D66738">
      <w:pPr>
        <w:spacing w:before="0" w:line="250" w:lineRule="auto"/>
        <w:jc w:val="both"/>
        <w:rPr>
          <w:szCs w:val="24"/>
        </w:rPr>
      </w:pPr>
      <w:r w:rsidRPr="00B2702B">
        <w:rPr>
          <w:szCs w:val="24"/>
        </w:rPr>
        <w:t xml:space="preserve">GEM </w:t>
      </w:r>
      <w:r w:rsidRPr="00B2702B">
        <w:rPr>
          <w:szCs w:val="24"/>
        </w:rPr>
        <w:tab/>
      </w:r>
      <w:r w:rsidRPr="00B2702B">
        <w:rPr>
          <w:szCs w:val="24"/>
        </w:rPr>
        <w:tab/>
        <w:t>Global Entrepreneurship Monitor</w:t>
      </w:r>
    </w:p>
    <w:p w14:paraId="43A00EA8" w14:textId="77777777" w:rsidR="006B0356" w:rsidRPr="00B2702B" w:rsidRDefault="006B0356" w:rsidP="00D66738">
      <w:pPr>
        <w:spacing w:before="0" w:line="250" w:lineRule="auto"/>
        <w:jc w:val="both"/>
        <w:rPr>
          <w:szCs w:val="24"/>
        </w:rPr>
      </w:pPr>
      <w:r w:rsidRPr="00B2702B">
        <w:rPr>
          <w:szCs w:val="24"/>
        </w:rPr>
        <w:t xml:space="preserve">ILO </w:t>
      </w:r>
      <w:r w:rsidRPr="00B2702B">
        <w:rPr>
          <w:szCs w:val="24"/>
        </w:rPr>
        <w:tab/>
      </w:r>
      <w:r w:rsidRPr="00B2702B">
        <w:rPr>
          <w:szCs w:val="24"/>
        </w:rPr>
        <w:tab/>
        <w:t xml:space="preserve">International Labour </w:t>
      </w:r>
      <w:r>
        <w:rPr>
          <w:szCs w:val="24"/>
        </w:rPr>
        <w:t>Organization</w:t>
      </w:r>
    </w:p>
    <w:p w14:paraId="449EBD80" w14:textId="7BEDA352" w:rsidR="00484979" w:rsidRDefault="00484979" w:rsidP="00D66738">
      <w:pPr>
        <w:spacing w:before="0" w:line="250" w:lineRule="auto"/>
        <w:jc w:val="both"/>
        <w:rPr>
          <w:szCs w:val="24"/>
        </w:rPr>
      </w:pPr>
      <w:r>
        <w:rPr>
          <w:szCs w:val="24"/>
        </w:rPr>
        <w:t xml:space="preserve">LMD               </w:t>
      </w:r>
      <w:r w:rsidR="00BD6FDA">
        <w:rPr>
          <w:szCs w:val="24"/>
        </w:rPr>
        <w:t xml:space="preserve">   </w:t>
      </w:r>
      <w:r>
        <w:rPr>
          <w:szCs w:val="24"/>
        </w:rPr>
        <w:t>Labour Market Dynamics</w:t>
      </w:r>
      <w:r w:rsidR="00BD6FDA" w:rsidRPr="00BD6FDA">
        <w:rPr>
          <w:szCs w:val="24"/>
        </w:rPr>
        <w:t xml:space="preserve"> </w:t>
      </w:r>
      <w:r w:rsidR="00BD6FDA">
        <w:rPr>
          <w:szCs w:val="24"/>
        </w:rPr>
        <w:t>(Statistics South Africa publication)</w:t>
      </w:r>
    </w:p>
    <w:p w14:paraId="6E5F1D2B" w14:textId="5E963C93" w:rsidR="006B0356" w:rsidRDefault="006B0356" w:rsidP="00D66738">
      <w:pPr>
        <w:spacing w:before="0" w:line="250" w:lineRule="auto"/>
        <w:jc w:val="both"/>
        <w:rPr>
          <w:szCs w:val="24"/>
        </w:rPr>
      </w:pPr>
      <w:r w:rsidRPr="00B2702B">
        <w:rPr>
          <w:szCs w:val="24"/>
        </w:rPr>
        <w:t xml:space="preserve">LRA </w:t>
      </w:r>
      <w:r w:rsidRPr="00B2702B">
        <w:rPr>
          <w:szCs w:val="24"/>
        </w:rPr>
        <w:tab/>
      </w:r>
      <w:r w:rsidRPr="00B2702B">
        <w:rPr>
          <w:szCs w:val="24"/>
        </w:rPr>
        <w:tab/>
        <w:t xml:space="preserve">Labour Relations Act </w:t>
      </w:r>
      <w:r>
        <w:rPr>
          <w:szCs w:val="24"/>
        </w:rPr>
        <w:t xml:space="preserve">No. </w:t>
      </w:r>
      <w:r w:rsidRPr="00B2702B">
        <w:rPr>
          <w:szCs w:val="24"/>
        </w:rPr>
        <w:t>66 of 1995</w:t>
      </w:r>
    </w:p>
    <w:p w14:paraId="587347EC" w14:textId="5BE6996A" w:rsidR="00484979" w:rsidRDefault="00484979" w:rsidP="00D66738">
      <w:pPr>
        <w:spacing w:before="0" w:line="250" w:lineRule="auto"/>
        <w:jc w:val="both"/>
      </w:pPr>
      <w:r>
        <w:t>MFMA</w:t>
      </w:r>
      <w:r w:rsidRPr="00484979">
        <w:t xml:space="preserve"> </w:t>
      </w:r>
      <w:r>
        <w:t xml:space="preserve">             </w:t>
      </w:r>
      <w:r w:rsidRPr="00F209B7">
        <w:t>Municipal Finance Management Act of 2003</w:t>
      </w:r>
    </w:p>
    <w:p w14:paraId="3EC1FBCB" w14:textId="0C3D403F" w:rsidR="008D0ABC" w:rsidRDefault="008D0ABC" w:rsidP="00D66738">
      <w:pPr>
        <w:spacing w:before="0" w:line="250" w:lineRule="auto"/>
        <w:jc w:val="both"/>
        <w:rPr>
          <w:szCs w:val="24"/>
        </w:rPr>
      </w:pPr>
      <w:r>
        <w:rPr>
          <w:szCs w:val="24"/>
        </w:rPr>
        <w:t>MOI                  Memorandum of Incorporation</w:t>
      </w:r>
    </w:p>
    <w:p w14:paraId="6B08CB03" w14:textId="1784050A" w:rsidR="006B0356" w:rsidRPr="00B2702B" w:rsidRDefault="006B0356" w:rsidP="00D66738">
      <w:pPr>
        <w:spacing w:before="0" w:line="250" w:lineRule="auto"/>
        <w:jc w:val="both"/>
        <w:rPr>
          <w:szCs w:val="24"/>
        </w:rPr>
      </w:pPr>
      <w:r>
        <w:rPr>
          <w:szCs w:val="24"/>
        </w:rPr>
        <w:t>NCA</w:t>
      </w:r>
      <w:r>
        <w:rPr>
          <w:szCs w:val="24"/>
        </w:rPr>
        <w:tab/>
      </w:r>
      <w:r>
        <w:rPr>
          <w:szCs w:val="24"/>
        </w:rPr>
        <w:tab/>
      </w:r>
      <w:r w:rsidRPr="00760F13">
        <w:rPr>
          <w:szCs w:val="24"/>
        </w:rPr>
        <w:t>National Credit Act No. 34 of 2005</w:t>
      </w:r>
    </w:p>
    <w:p w14:paraId="4B611F7C" w14:textId="77777777" w:rsidR="006B0356" w:rsidRPr="00B2702B" w:rsidRDefault="006B0356" w:rsidP="00D66738">
      <w:pPr>
        <w:spacing w:before="0" w:line="250" w:lineRule="auto"/>
        <w:jc w:val="both"/>
        <w:rPr>
          <w:szCs w:val="24"/>
        </w:rPr>
      </w:pPr>
      <w:r w:rsidRPr="00B2702B">
        <w:rPr>
          <w:szCs w:val="24"/>
        </w:rPr>
        <w:t xml:space="preserve">NPO </w:t>
      </w:r>
      <w:r w:rsidRPr="00B2702B">
        <w:rPr>
          <w:szCs w:val="24"/>
        </w:rPr>
        <w:tab/>
      </w:r>
      <w:r w:rsidRPr="00B2702B">
        <w:rPr>
          <w:szCs w:val="24"/>
        </w:rPr>
        <w:tab/>
        <w:t>Non-Profit Company</w:t>
      </w:r>
    </w:p>
    <w:p w14:paraId="6801B960" w14:textId="77777777" w:rsidR="006B0356" w:rsidRDefault="006B0356" w:rsidP="00D66738">
      <w:pPr>
        <w:spacing w:before="0" w:line="250" w:lineRule="auto"/>
        <w:jc w:val="both"/>
        <w:rPr>
          <w:szCs w:val="24"/>
        </w:rPr>
      </w:pPr>
      <w:r w:rsidRPr="00B2702B">
        <w:rPr>
          <w:szCs w:val="24"/>
        </w:rPr>
        <w:t xml:space="preserve">NSBA </w:t>
      </w:r>
      <w:r w:rsidRPr="00B2702B">
        <w:rPr>
          <w:szCs w:val="24"/>
        </w:rPr>
        <w:tab/>
      </w:r>
      <w:r w:rsidRPr="00B2702B">
        <w:rPr>
          <w:szCs w:val="24"/>
        </w:rPr>
        <w:tab/>
        <w:t>National Small Business Act No. 102 of 1996</w:t>
      </w:r>
    </w:p>
    <w:p w14:paraId="25319635" w14:textId="77777777" w:rsidR="006B0356" w:rsidRPr="00B2702B" w:rsidRDefault="006B0356" w:rsidP="00D66738">
      <w:pPr>
        <w:spacing w:before="0" w:line="250" w:lineRule="auto"/>
        <w:jc w:val="both"/>
        <w:rPr>
          <w:szCs w:val="24"/>
        </w:rPr>
      </w:pPr>
      <w:r>
        <w:rPr>
          <w:szCs w:val="24"/>
        </w:rPr>
        <w:t>OHSA</w:t>
      </w:r>
      <w:r>
        <w:rPr>
          <w:szCs w:val="24"/>
        </w:rPr>
        <w:tab/>
      </w:r>
      <w:r>
        <w:rPr>
          <w:szCs w:val="24"/>
        </w:rPr>
        <w:tab/>
      </w:r>
      <w:r w:rsidRPr="00CA65E6">
        <w:rPr>
          <w:szCs w:val="24"/>
        </w:rPr>
        <w:t xml:space="preserve">Occupational Health and Safety Act (OHSA) </w:t>
      </w:r>
      <w:r>
        <w:rPr>
          <w:szCs w:val="24"/>
        </w:rPr>
        <w:t xml:space="preserve">No. </w:t>
      </w:r>
      <w:r w:rsidRPr="00CA65E6">
        <w:rPr>
          <w:szCs w:val="24"/>
        </w:rPr>
        <w:t>85 of 1993</w:t>
      </w:r>
    </w:p>
    <w:p w14:paraId="654909B6" w14:textId="70E8F428" w:rsidR="005A465A" w:rsidRDefault="005A465A" w:rsidP="00D66738">
      <w:pPr>
        <w:spacing w:before="0" w:line="250" w:lineRule="auto"/>
        <w:jc w:val="both"/>
        <w:rPr>
          <w:szCs w:val="24"/>
        </w:rPr>
      </w:pPr>
      <w:r>
        <w:rPr>
          <w:szCs w:val="24"/>
        </w:rPr>
        <w:t>PEA                    Private Employment Agency</w:t>
      </w:r>
    </w:p>
    <w:p w14:paraId="7A5C2C2B" w14:textId="038A220D" w:rsidR="006B0356" w:rsidRPr="00B2702B" w:rsidRDefault="006B0356" w:rsidP="00D66738">
      <w:pPr>
        <w:spacing w:before="0" w:line="250" w:lineRule="auto"/>
        <w:jc w:val="both"/>
        <w:rPr>
          <w:szCs w:val="24"/>
        </w:rPr>
      </w:pPr>
      <w:r>
        <w:rPr>
          <w:szCs w:val="24"/>
        </w:rPr>
        <w:t>PPPFA</w:t>
      </w:r>
      <w:r>
        <w:rPr>
          <w:szCs w:val="24"/>
        </w:rPr>
        <w:tab/>
      </w:r>
      <w:r>
        <w:rPr>
          <w:szCs w:val="24"/>
        </w:rPr>
        <w:tab/>
      </w:r>
      <w:r w:rsidRPr="00760F13">
        <w:rPr>
          <w:szCs w:val="24"/>
        </w:rPr>
        <w:t>Preferential Procurement Policy Framework Act No. 5 of 2000</w:t>
      </w:r>
    </w:p>
    <w:p w14:paraId="407D87C1" w14:textId="266F2C84" w:rsidR="00484979" w:rsidRDefault="00484979" w:rsidP="00D66738">
      <w:pPr>
        <w:spacing w:before="0" w:line="250" w:lineRule="auto"/>
        <w:jc w:val="both"/>
      </w:pPr>
      <w:r>
        <w:t>PFMA</w:t>
      </w:r>
      <w:r w:rsidRPr="00F209B7">
        <w:t xml:space="preserve"> </w:t>
      </w:r>
      <w:r>
        <w:t xml:space="preserve">               </w:t>
      </w:r>
      <w:r w:rsidR="00876660" w:rsidRPr="00F209B7">
        <w:t xml:space="preserve">Public Finance Management Act of 1999 </w:t>
      </w:r>
    </w:p>
    <w:p w14:paraId="31C765ED" w14:textId="168C56B2" w:rsidR="008D0ABC" w:rsidRDefault="008D0ABC" w:rsidP="00D66738">
      <w:pPr>
        <w:spacing w:before="0" w:line="250" w:lineRule="auto"/>
        <w:jc w:val="both"/>
        <w:rPr>
          <w:szCs w:val="24"/>
        </w:rPr>
      </w:pPr>
      <w:r>
        <w:rPr>
          <w:szCs w:val="24"/>
        </w:rPr>
        <w:t>QSE                    Qualifying Small Enterprise</w:t>
      </w:r>
    </w:p>
    <w:p w14:paraId="311FA6F4" w14:textId="5E9C6B25" w:rsidR="005A465A" w:rsidRDefault="005A465A" w:rsidP="00D66738">
      <w:pPr>
        <w:spacing w:before="0" w:line="250" w:lineRule="auto"/>
        <w:jc w:val="both"/>
        <w:rPr>
          <w:szCs w:val="24"/>
        </w:rPr>
      </w:pPr>
      <w:r>
        <w:rPr>
          <w:szCs w:val="24"/>
        </w:rPr>
        <w:t>RIA                     Regulatory Impact Assessment</w:t>
      </w:r>
    </w:p>
    <w:p w14:paraId="1D0281E5" w14:textId="40F5CF54" w:rsidR="00484979" w:rsidRDefault="00484979" w:rsidP="00D66738">
      <w:pPr>
        <w:spacing w:before="0" w:line="250" w:lineRule="auto"/>
        <w:jc w:val="both"/>
        <w:rPr>
          <w:szCs w:val="24"/>
        </w:rPr>
      </w:pPr>
      <w:r>
        <w:rPr>
          <w:szCs w:val="24"/>
        </w:rPr>
        <w:t>SAQA                 South African Qualifications Authority</w:t>
      </w:r>
    </w:p>
    <w:p w14:paraId="3D176150" w14:textId="5107382A" w:rsidR="006B0356" w:rsidRPr="00D41CAC" w:rsidRDefault="006B0356" w:rsidP="00D66738">
      <w:pPr>
        <w:spacing w:before="0" w:line="250" w:lineRule="auto"/>
        <w:jc w:val="both"/>
        <w:rPr>
          <w:szCs w:val="24"/>
        </w:rPr>
      </w:pPr>
      <w:r w:rsidRPr="00B2702B">
        <w:rPr>
          <w:szCs w:val="24"/>
        </w:rPr>
        <w:t xml:space="preserve">SARS </w:t>
      </w:r>
      <w:r w:rsidRPr="00B2702B">
        <w:rPr>
          <w:szCs w:val="24"/>
        </w:rPr>
        <w:tab/>
      </w:r>
      <w:r w:rsidRPr="00B2702B">
        <w:rPr>
          <w:szCs w:val="24"/>
        </w:rPr>
        <w:tab/>
      </w:r>
      <w:r w:rsidRPr="00D41CAC">
        <w:rPr>
          <w:szCs w:val="24"/>
        </w:rPr>
        <w:t>South African Revenue Service</w:t>
      </w:r>
    </w:p>
    <w:p w14:paraId="38CC7ACD" w14:textId="77777777" w:rsidR="006B0356" w:rsidRDefault="006B0356" w:rsidP="00D66738">
      <w:pPr>
        <w:spacing w:before="0" w:line="250" w:lineRule="auto"/>
        <w:jc w:val="both"/>
        <w:rPr>
          <w:szCs w:val="24"/>
        </w:rPr>
      </w:pPr>
      <w:r w:rsidRPr="00D41CAC">
        <w:rPr>
          <w:szCs w:val="24"/>
        </w:rPr>
        <w:t xml:space="preserve">SBC </w:t>
      </w:r>
      <w:r w:rsidRPr="00D41CAC">
        <w:rPr>
          <w:szCs w:val="24"/>
        </w:rPr>
        <w:tab/>
      </w:r>
      <w:r w:rsidRPr="00D41CAC">
        <w:rPr>
          <w:szCs w:val="24"/>
        </w:rPr>
        <w:tab/>
        <w:t xml:space="preserve">Small Business Corporation </w:t>
      </w:r>
    </w:p>
    <w:p w14:paraId="178FE6DD" w14:textId="77777777" w:rsidR="006B0356" w:rsidRPr="00D41CAC" w:rsidRDefault="006B0356" w:rsidP="00D66738">
      <w:pPr>
        <w:spacing w:before="0" w:line="250" w:lineRule="auto"/>
        <w:jc w:val="both"/>
        <w:rPr>
          <w:szCs w:val="24"/>
        </w:rPr>
      </w:pPr>
      <w:r w:rsidRPr="00D41CAC">
        <w:rPr>
          <w:szCs w:val="24"/>
        </w:rPr>
        <w:t xml:space="preserve">SDL </w:t>
      </w:r>
      <w:r w:rsidRPr="00D41CAC">
        <w:rPr>
          <w:szCs w:val="24"/>
        </w:rPr>
        <w:tab/>
      </w:r>
      <w:r w:rsidRPr="00D41CAC">
        <w:rPr>
          <w:szCs w:val="24"/>
        </w:rPr>
        <w:tab/>
        <w:t>Skills Development Levy</w:t>
      </w:r>
    </w:p>
    <w:p w14:paraId="01F349B1" w14:textId="2C71C5A8" w:rsidR="008D0ABC" w:rsidRDefault="008D0ABC" w:rsidP="00D66738">
      <w:pPr>
        <w:spacing w:before="0" w:line="250" w:lineRule="auto"/>
        <w:jc w:val="both"/>
        <w:rPr>
          <w:szCs w:val="24"/>
        </w:rPr>
      </w:pPr>
      <w:r>
        <w:rPr>
          <w:szCs w:val="24"/>
        </w:rPr>
        <w:lastRenderedPageBreak/>
        <w:t xml:space="preserve">SEDA                 </w:t>
      </w:r>
      <w:r w:rsidRPr="008D0ABC">
        <w:rPr>
          <w:szCs w:val="24"/>
        </w:rPr>
        <w:t>Small Enterprise Development Agency</w:t>
      </w:r>
    </w:p>
    <w:p w14:paraId="02A5F2D2" w14:textId="7DD57B97" w:rsidR="008D0ABC" w:rsidRDefault="008D0ABC" w:rsidP="00D66738">
      <w:pPr>
        <w:spacing w:before="0" w:line="250" w:lineRule="auto"/>
        <w:jc w:val="both"/>
        <w:rPr>
          <w:szCs w:val="24"/>
        </w:rPr>
      </w:pPr>
      <w:r>
        <w:rPr>
          <w:szCs w:val="24"/>
        </w:rPr>
        <w:t>SEFA                  Small Enterprise Finance Agency</w:t>
      </w:r>
    </w:p>
    <w:p w14:paraId="6D383137" w14:textId="6554D616" w:rsidR="00793C87" w:rsidRDefault="00793C87" w:rsidP="00D66738">
      <w:pPr>
        <w:spacing w:before="0" w:line="250" w:lineRule="auto"/>
        <w:jc w:val="both"/>
        <w:rPr>
          <w:szCs w:val="24"/>
        </w:rPr>
      </w:pPr>
      <w:r>
        <w:rPr>
          <w:szCs w:val="24"/>
        </w:rPr>
        <w:t>SEIAS                 Socio-Economic Impact Assessment System</w:t>
      </w:r>
    </w:p>
    <w:p w14:paraId="4E244249" w14:textId="17D13804" w:rsidR="000278DA" w:rsidRDefault="000278DA" w:rsidP="00D66738">
      <w:pPr>
        <w:spacing w:before="0" w:line="250" w:lineRule="auto"/>
        <w:jc w:val="both"/>
        <w:rPr>
          <w:szCs w:val="24"/>
        </w:rPr>
      </w:pPr>
      <w:r>
        <w:rPr>
          <w:szCs w:val="24"/>
        </w:rPr>
        <w:t>SETA</w:t>
      </w:r>
      <w:r w:rsidR="008D0ABC">
        <w:rPr>
          <w:szCs w:val="24"/>
        </w:rPr>
        <w:t xml:space="preserve">                  S</w:t>
      </w:r>
      <w:r>
        <w:rPr>
          <w:szCs w:val="24"/>
        </w:rPr>
        <w:t>ector Education and Training Authority</w:t>
      </w:r>
    </w:p>
    <w:p w14:paraId="1E67EFF9" w14:textId="45E3C5B3" w:rsidR="006B0356" w:rsidRDefault="00981406" w:rsidP="00D66738">
      <w:pPr>
        <w:spacing w:before="0" w:line="250" w:lineRule="auto"/>
        <w:jc w:val="both"/>
        <w:rPr>
          <w:szCs w:val="24"/>
        </w:rPr>
      </w:pPr>
      <w:r>
        <w:rPr>
          <w:szCs w:val="24"/>
        </w:rPr>
        <w:t>SME</w:t>
      </w:r>
      <w:r w:rsidR="006B0356" w:rsidRPr="00D41CAC">
        <w:rPr>
          <w:szCs w:val="24"/>
        </w:rPr>
        <w:t xml:space="preserve"> </w:t>
      </w:r>
      <w:r w:rsidR="006B0356" w:rsidRPr="00D41CAC">
        <w:rPr>
          <w:szCs w:val="24"/>
        </w:rPr>
        <w:tab/>
      </w:r>
      <w:r w:rsidR="006B0356" w:rsidRPr="00D41CAC">
        <w:rPr>
          <w:szCs w:val="24"/>
        </w:rPr>
        <w:tab/>
        <w:t>Small and Medium Enterprises</w:t>
      </w:r>
    </w:p>
    <w:p w14:paraId="55067E8E" w14:textId="0B227D15" w:rsidR="006B0356" w:rsidRDefault="00981406" w:rsidP="00D66738">
      <w:pPr>
        <w:spacing w:before="0" w:line="250" w:lineRule="auto"/>
        <w:jc w:val="both"/>
        <w:rPr>
          <w:szCs w:val="24"/>
        </w:rPr>
      </w:pPr>
      <w:r>
        <w:rPr>
          <w:szCs w:val="24"/>
        </w:rPr>
        <w:t>SMME</w:t>
      </w:r>
      <w:r w:rsidR="006B0356" w:rsidRPr="00B2702B">
        <w:rPr>
          <w:szCs w:val="24"/>
        </w:rPr>
        <w:t xml:space="preserve"> </w:t>
      </w:r>
      <w:r w:rsidR="006B0356" w:rsidRPr="00B2702B">
        <w:rPr>
          <w:szCs w:val="24"/>
        </w:rPr>
        <w:tab/>
      </w:r>
      <w:r w:rsidR="006B0356" w:rsidRPr="00B2702B">
        <w:rPr>
          <w:szCs w:val="24"/>
        </w:rPr>
        <w:tab/>
        <w:t>Small, Medium and Micro Enterprises</w:t>
      </w:r>
    </w:p>
    <w:p w14:paraId="7531F5E2" w14:textId="77777777" w:rsidR="006B0356" w:rsidRDefault="006B0356" w:rsidP="00D66738">
      <w:pPr>
        <w:spacing w:before="0" w:line="250" w:lineRule="auto"/>
        <w:jc w:val="both"/>
        <w:rPr>
          <w:szCs w:val="24"/>
        </w:rPr>
      </w:pPr>
      <w:r w:rsidRPr="00B2702B">
        <w:rPr>
          <w:szCs w:val="24"/>
        </w:rPr>
        <w:t xml:space="preserve">SOC </w:t>
      </w:r>
      <w:r w:rsidRPr="00B2702B">
        <w:rPr>
          <w:szCs w:val="24"/>
        </w:rPr>
        <w:tab/>
      </w:r>
      <w:r w:rsidRPr="00B2702B">
        <w:rPr>
          <w:szCs w:val="24"/>
        </w:rPr>
        <w:tab/>
        <w:t xml:space="preserve">State Owned Company </w:t>
      </w:r>
    </w:p>
    <w:p w14:paraId="41A2F4AF" w14:textId="3F574EDA" w:rsidR="008D0ABC" w:rsidRDefault="008D0ABC" w:rsidP="00D66738">
      <w:pPr>
        <w:spacing w:before="0" w:line="250" w:lineRule="auto"/>
        <w:jc w:val="both"/>
        <w:rPr>
          <w:szCs w:val="24"/>
        </w:rPr>
      </w:pPr>
      <w:r>
        <w:rPr>
          <w:szCs w:val="24"/>
        </w:rPr>
        <w:t>SBC                    Small Business Corporation</w:t>
      </w:r>
    </w:p>
    <w:p w14:paraId="47162642" w14:textId="41ADBFC6" w:rsidR="00484979" w:rsidRDefault="00484979" w:rsidP="00D66738">
      <w:pPr>
        <w:spacing w:before="0" w:line="250" w:lineRule="auto"/>
        <w:jc w:val="both"/>
        <w:rPr>
          <w:szCs w:val="24"/>
        </w:rPr>
      </w:pPr>
      <w:r>
        <w:rPr>
          <w:szCs w:val="24"/>
        </w:rPr>
        <w:t>SBP                    Small Business Project</w:t>
      </w:r>
    </w:p>
    <w:p w14:paraId="20478F6E" w14:textId="338345F0" w:rsidR="006B0356" w:rsidRPr="00B2702B" w:rsidRDefault="006B0356" w:rsidP="00D66738">
      <w:pPr>
        <w:spacing w:before="0" w:line="250" w:lineRule="auto"/>
        <w:jc w:val="both"/>
        <w:rPr>
          <w:szCs w:val="24"/>
        </w:rPr>
      </w:pPr>
      <w:r w:rsidRPr="00B2702B">
        <w:rPr>
          <w:szCs w:val="24"/>
        </w:rPr>
        <w:t xml:space="preserve">STC </w:t>
      </w:r>
      <w:r w:rsidRPr="00B2702B">
        <w:rPr>
          <w:szCs w:val="24"/>
        </w:rPr>
        <w:tab/>
      </w:r>
      <w:r w:rsidRPr="00B2702B">
        <w:rPr>
          <w:szCs w:val="24"/>
        </w:rPr>
        <w:tab/>
        <w:t>Secondary Tax on Companies</w:t>
      </w:r>
    </w:p>
    <w:p w14:paraId="74563FBB" w14:textId="77777777" w:rsidR="006B0356" w:rsidRDefault="006B0356" w:rsidP="00D66738">
      <w:pPr>
        <w:spacing w:before="0" w:line="250" w:lineRule="auto"/>
        <w:jc w:val="both"/>
        <w:rPr>
          <w:szCs w:val="24"/>
        </w:rPr>
      </w:pPr>
      <w:r w:rsidRPr="00B2702B">
        <w:rPr>
          <w:szCs w:val="24"/>
        </w:rPr>
        <w:t xml:space="preserve">TIPS </w:t>
      </w:r>
      <w:r w:rsidRPr="00B2702B">
        <w:rPr>
          <w:szCs w:val="24"/>
        </w:rPr>
        <w:tab/>
      </w:r>
      <w:r w:rsidRPr="00B2702B">
        <w:rPr>
          <w:szCs w:val="24"/>
        </w:rPr>
        <w:tab/>
        <w:t xml:space="preserve">Trade </w:t>
      </w:r>
      <w:r>
        <w:rPr>
          <w:szCs w:val="24"/>
        </w:rPr>
        <w:t>&amp;</w:t>
      </w:r>
      <w:r w:rsidRPr="00B2702B">
        <w:rPr>
          <w:szCs w:val="24"/>
        </w:rPr>
        <w:t xml:space="preserve"> Industry Policy Strategies</w:t>
      </w:r>
    </w:p>
    <w:p w14:paraId="52A07EC6" w14:textId="5E9ADA42" w:rsidR="00557CFD" w:rsidRDefault="00557CFD" w:rsidP="00D66738">
      <w:pPr>
        <w:tabs>
          <w:tab w:val="right" w:pos="9026"/>
        </w:tabs>
        <w:spacing w:before="0" w:line="250" w:lineRule="auto"/>
        <w:jc w:val="both"/>
        <w:rPr>
          <w:szCs w:val="24"/>
        </w:rPr>
      </w:pPr>
      <w:r>
        <w:rPr>
          <w:szCs w:val="24"/>
        </w:rPr>
        <w:t>UIF                     Unemployment Insurance Fund</w:t>
      </w:r>
      <w:r w:rsidR="008D0ABC">
        <w:rPr>
          <w:szCs w:val="24"/>
        </w:rPr>
        <w:tab/>
      </w:r>
    </w:p>
    <w:p w14:paraId="2BD7E1CB" w14:textId="064CFD5D" w:rsidR="006B0356" w:rsidRDefault="006B0356" w:rsidP="00D66738">
      <w:pPr>
        <w:spacing w:before="0" w:line="250" w:lineRule="auto"/>
        <w:jc w:val="both"/>
        <w:rPr>
          <w:szCs w:val="24"/>
        </w:rPr>
      </w:pPr>
      <w:r>
        <w:rPr>
          <w:szCs w:val="24"/>
        </w:rPr>
        <w:t>UK</w:t>
      </w:r>
      <w:r>
        <w:rPr>
          <w:szCs w:val="24"/>
        </w:rPr>
        <w:tab/>
      </w:r>
      <w:r>
        <w:rPr>
          <w:szCs w:val="24"/>
        </w:rPr>
        <w:tab/>
        <w:t>United Kingdom</w:t>
      </w:r>
    </w:p>
    <w:p w14:paraId="13FE0223" w14:textId="77777777" w:rsidR="006B0356" w:rsidRPr="00B2702B" w:rsidRDefault="006B0356" w:rsidP="00D66738">
      <w:pPr>
        <w:spacing w:before="0" w:line="250" w:lineRule="auto"/>
        <w:jc w:val="both"/>
        <w:rPr>
          <w:szCs w:val="24"/>
        </w:rPr>
      </w:pPr>
      <w:r>
        <w:rPr>
          <w:szCs w:val="24"/>
        </w:rPr>
        <w:t>US</w:t>
      </w:r>
      <w:r>
        <w:rPr>
          <w:szCs w:val="24"/>
        </w:rPr>
        <w:tab/>
      </w:r>
      <w:r>
        <w:rPr>
          <w:szCs w:val="24"/>
        </w:rPr>
        <w:tab/>
        <w:t>United States</w:t>
      </w:r>
    </w:p>
    <w:p w14:paraId="3CB06AC1" w14:textId="0FF3B6FD" w:rsidR="00484979" w:rsidRDefault="006B0356" w:rsidP="00D66738">
      <w:pPr>
        <w:spacing w:before="0" w:line="250" w:lineRule="auto"/>
        <w:contextualSpacing/>
        <w:jc w:val="both"/>
        <w:rPr>
          <w:szCs w:val="24"/>
        </w:rPr>
      </w:pPr>
      <w:r w:rsidRPr="00B2702B">
        <w:rPr>
          <w:szCs w:val="24"/>
        </w:rPr>
        <w:t xml:space="preserve">VAT </w:t>
      </w:r>
      <w:r w:rsidRPr="00B2702B">
        <w:rPr>
          <w:szCs w:val="24"/>
        </w:rPr>
        <w:tab/>
      </w:r>
      <w:r w:rsidRPr="00B2702B">
        <w:rPr>
          <w:szCs w:val="24"/>
        </w:rPr>
        <w:tab/>
        <w:t>Value-Added Tax</w:t>
      </w:r>
    </w:p>
    <w:p w14:paraId="54B1B64F" w14:textId="571B3D59" w:rsidR="00484979" w:rsidRPr="00484979" w:rsidRDefault="00484979" w:rsidP="00D66738">
      <w:pPr>
        <w:spacing w:before="0" w:line="250" w:lineRule="auto"/>
        <w:contextualSpacing/>
        <w:rPr>
          <w:szCs w:val="24"/>
        </w:rPr>
        <w:sectPr w:rsidR="00484979" w:rsidRPr="00484979" w:rsidSect="008D0ABC">
          <w:type w:val="continuous"/>
          <w:pgSz w:w="11906" w:h="16838"/>
          <w:pgMar w:top="1440" w:right="1440" w:bottom="1440" w:left="1440" w:header="708" w:footer="708" w:gutter="0"/>
          <w:pgNumType w:fmt="lowerRoman"/>
          <w:cols w:space="708"/>
          <w:titlePg/>
          <w:docGrid w:linePitch="360"/>
        </w:sectPr>
      </w:pPr>
      <w:r>
        <w:rPr>
          <w:szCs w:val="24"/>
        </w:rPr>
        <w:t>WEF                 World Economic Forum</w:t>
      </w:r>
    </w:p>
    <w:p w14:paraId="42910FFC" w14:textId="46C76F83" w:rsidR="003949B7" w:rsidRPr="00D66738" w:rsidRDefault="00CC0F97" w:rsidP="00D66738">
      <w:pPr>
        <w:pStyle w:val="Heading1"/>
        <w:spacing w:after="240"/>
        <w:jc w:val="both"/>
        <w:rPr>
          <w:rFonts w:asciiTheme="minorHAnsi" w:hAnsiTheme="minorHAnsi"/>
          <w:color w:val="1B5068"/>
          <w:sz w:val="44"/>
        </w:rPr>
      </w:pPr>
      <w:bookmarkStart w:id="1" w:name="_Toc479843874"/>
      <w:bookmarkStart w:id="2" w:name="_Toc479844495"/>
      <w:bookmarkStart w:id="3" w:name="_Toc479940789"/>
      <w:r w:rsidRPr="00D66738">
        <w:rPr>
          <w:rFonts w:asciiTheme="minorHAnsi" w:hAnsiTheme="minorHAnsi"/>
          <w:color w:val="1B5068"/>
          <w:sz w:val="44"/>
        </w:rPr>
        <w:lastRenderedPageBreak/>
        <w:t>EXECUTIVE SUMMARY</w:t>
      </w:r>
      <w:bookmarkEnd w:id="1"/>
      <w:bookmarkEnd w:id="2"/>
      <w:bookmarkEnd w:id="3"/>
    </w:p>
    <w:p w14:paraId="521F0692" w14:textId="1DC0F5C7" w:rsidR="003949B7" w:rsidRDefault="003949B7" w:rsidP="00D66738">
      <w:pPr>
        <w:pStyle w:val="Heading1"/>
        <w:numPr>
          <w:ilvl w:val="0"/>
          <w:numId w:val="115"/>
        </w:numPr>
        <w:spacing w:after="160" w:line="259" w:lineRule="auto"/>
        <w:jc w:val="both"/>
        <w:rPr>
          <w:rFonts w:ascii="Calibri" w:hAnsi="Calibri"/>
          <w:caps/>
          <w:color w:val="1B5068"/>
        </w:rPr>
      </w:pPr>
      <w:bookmarkStart w:id="4" w:name="_Toc479843875"/>
      <w:bookmarkStart w:id="5" w:name="_Toc479844496"/>
      <w:bookmarkStart w:id="6" w:name="_Toc479940790"/>
      <w:r w:rsidRPr="00CC0F97">
        <w:rPr>
          <w:rFonts w:ascii="Calibri" w:hAnsi="Calibri"/>
          <w:caps/>
          <w:color w:val="1B5068"/>
        </w:rPr>
        <w:t>Background and aims</w:t>
      </w:r>
      <w:bookmarkEnd w:id="4"/>
      <w:bookmarkEnd w:id="5"/>
      <w:bookmarkEnd w:id="6"/>
    </w:p>
    <w:p w14:paraId="0B4BE895" w14:textId="5E626F3A" w:rsidR="003949B7" w:rsidRDefault="003949B7" w:rsidP="00D66738">
      <w:pPr>
        <w:jc w:val="both"/>
      </w:pPr>
      <w:r>
        <w:t xml:space="preserve">Compared to peer economies, small business accounts for a relatively limited share of </w:t>
      </w:r>
      <w:r w:rsidRPr="0077536F">
        <w:t xml:space="preserve">the South African economy. World Bank </w:t>
      </w:r>
      <w:r>
        <w:t xml:space="preserve">data </w:t>
      </w:r>
      <w:r w:rsidRPr="0077536F">
        <w:t>show that in South Africa less than 20% of all employed people are employers or self-employed. In contrast, the norm for upper middle income economies, excluding China, is around 40%</w:t>
      </w:r>
      <w:r w:rsidR="00CF7368">
        <w:t>. Self-employment tends to be</w:t>
      </w:r>
      <w:r>
        <w:t xml:space="preserve"> mostly in smallholder agriculture, retail trade and food service</w:t>
      </w:r>
      <w:r w:rsidR="00CF7368">
        <w:t>s</w:t>
      </w:r>
      <w:r w:rsidRPr="0077536F">
        <w:t xml:space="preserve">. </w:t>
      </w:r>
    </w:p>
    <w:p w14:paraId="7A2651ED" w14:textId="6D7CA873" w:rsidR="003949B7" w:rsidRDefault="003949B7" w:rsidP="00D66738">
      <w:pPr>
        <w:jc w:val="both"/>
      </w:pPr>
      <w:r>
        <w:t xml:space="preserve">The limited share of small business in South African society was entrenched under apartheid. Before 1994, government </w:t>
      </w:r>
      <w:r w:rsidRPr="0077536F">
        <w:t>policies deliberately suppressed black small enterprise</w:t>
      </w:r>
      <w:r w:rsidR="00AF151A">
        <w:t xml:space="preserve"> in a variety of ways; through</w:t>
      </w:r>
      <w:r>
        <w:t xml:space="preserve"> restrictions on land ownership, city centres, finan</w:t>
      </w:r>
      <w:r w:rsidR="00AF151A">
        <w:t xml:space="preserve">cial services and education, and </w:t>
      </w:r>
      <w:r>
        <w:t xml:space="preserve">licencing requirements. </w:t>
      </w:r>
    </w:p>
    <w:p w14:paraId="2B21DAF9" w14:textId="009D079C" w:rsidR="003949B7" w:rsidRDefault="003949B7" w:rsidP="00D66738">
      <w:pPr>
        <w:jc w:val="both"/>
      </w:pPr>
      <w:r>
        <w:t xml:space="preserve">As a result of these measures, </w:t>
      </w:r>
      <w:r w:rsidRPr="0077536F">
        <w:t xml:space="preserve">democratic South Africa </w:t>
      </w:r>
      <w:r w:rsidR="00AF151A">
        <w:t>did not inherit</w:t>
      </w:r>
      <w:r w:rsidRPr="0077536F">
        <w:t xml:space="preserve"> a l</w:t>
      </w:r>
      <w:r w:rsidR="00AF151A">
        <w:t xml:space="preserve">arge pool of small enterprises </w:t>
      </w:r>
      <w:r w:rsidRPr="0077536F">
        <w:t xml:space="preserve">or the institutions and </w:t>
      </w:r>
      <w:r>
        <w:t xml:space="preserve">regulatory frameworks </w:t>
      </w:r>
      <w:r w:rsidR="00AF151A">
        <w:t>requir</w:t>
      </w:r>
      <w:r w:rsidRPr="0077536F">
        <w:t xml:space="preserve">ed </w:t>
      </w:r>
      <w:r w:rsidR="00AF151A">
        <w:t>to stimulate</w:t>
      </w:r>
      <w:r w:rsidRPr="0077536F">
        <w:t xml:space="preserve"> small business</w:t>
      </w:r>
      <w:r w:rsidR="00AF151A">
        <w:t>es</w:t>
      </w:r>
      <w:r w:rsidRPr="0077536F">
        <w:t xml:space="preserve">. </w:t>
      </w:r>
      <w:r>
        <w:t>The available data suggest</w:t>
      </w:r>
      <w:r w:rsidR="00BE0E5D">
        <w:t>s</w:t>
      </w:r>
      <w:r>
        <w:t xml:space="preserve"> that</w:t>
      </w:r>
      <w:r w:rsidR="00BE0E5D">
        <w:t xml:space="preserve"> the transition to democracy has produced</w:t>
      </w:r>
      <w:r>
        <w:t xml:space="preserve"> </w:t>
      </w:r>
      <w:r w:rsidR="00BE0E5D">
        <w:t xml:space="preserve">very </w:t>
      </w:r>
      <w:r>
        <w:t>limited growth in the small business se</w:t>
      </w:r>
      <w:r w:rsidR="00BE0E5D">
        <w:t>ctor. The data from 2008 to 2015, which a</w:t>
      </w:r>
      <w:r w:rsidR="00C92520">
        <w:t xml:space="preserve">re the most reliable statistics, </w:t>
      </w:r>
      <w:r>
        <w:t>show</w:t>
      </w:r>
      <w:r w:rsidR="00BE0E5D">
        <w:t>s</w:t>
      </w:r>
      <w:r>
        <w:t xml:space="preserve"> that the number of small formal businesses remained virtually unchanged </w:t>
      </w:r>
      <w:r w:rsidR="00BE0E5D">
        <w:t>at around 600</w:t>
      </w:r>
      <w:r w:rsidR="00C92520">
        <w:t xml:space="preserve"> 000 </w:t>
      </w:r>
      <w:r w:rsidR="00BE0E5D">
        <w:t>during in this period.</w:t>
      </w:r>
      <w:r>
        <w:t xml:space="preserve"> </w:t>
      </w:r>
    </w:p>
    <w:p w14:paraId="6E1F77C8" w14:textId="3935528E" w:rsidR="003949B7" w:rsidRPr="0077536F" w:rsidRDefault="00BE0E5D" w:rsidP="00D66738">
      <w:pPr>
        <w:jc w:val="both"/>
      </w:pPr>
      <w:r>
        <w:t>R</w:t>
      </w:r>
      <w:r w:rsidR="003949B7">
        <w:t xml:space="preserve">egulations </w:t>
      </w:r>
      <w:r>
        <w:t>impose costs on small business</w:t>
      </w:r>
      <w:r w:rsidR="003949B7">
        <w:t>, through administrative requirements and as a result of their policy aims, for instance by requiring improved conditions for workers and imposing taxes. That said, alleviating unnecessary regulatory burdens will not by itself remedy the structural constraints that small businesses face. These constraints include the lack of appropriate market institutions; inadequate access to finance</w:t>
      </w:r>
      <w:r w:rsidR="00777442">
        <w:t>,</w:t>
      </w:r>
      <w:r w:rsidR="003949B7">
        <w:t xml:space="preserve"> </w:t>
      </w:r>
      <w:r w:rsidR="00777442">
        <w:t xml:space="preserve">assets </w:t>
      </w:r>
      <w:r w:rsidR="003949B7">
        <w:t xml:space="preserve">and infrastructure; and skills shortages. </w:t>
      </w:r>
      <w:r w:rsidR="00035CE9">
        <w:t>In other words</w:t>
      </w:r>
      <w:r w:rsidR="003949B7">
        <w:t>,</w:t>
      </w:r>
      <w:r w:rsidR="00FE084E">
        <w:t xml:space="preserve"> reducing</w:t>
      </w:r>
      <w:r w:rsidR="003949B7">
        <w:t xml:space="preserve"> </w:t>
      </w:r>
      <w:r w:rsidR="00FE084E">
        <w:t xml:space="preserve">the regulatory burden is </w:t>
      </w:r>
      <w:r w:rsidR="00035CE9">
        <w:t>necessary but not sufficient</w:t>
      </w:r>
      <w:r w:rsidR="003949B7">
        <w:t xml:space="preserve"> to promote growth in small business. </w:t>
      </w:r>
    </w:p>
    <w:p w14:paraId="48432792" w14:textId="5E670A27" w:rsidR="003949B7" w:rsidRPr="0077536F" w:rsidRDefault="00D66738" w:rsidP="00D66738">
      <w:pPr>
        <w:jc w:val="both"/>
      </w:pPr>
      <w:bookmarkStart w:id="7" w:name="_GoBack"/>
      <w:r>
        <w:t>T</w:t>
      </w:r>
      <w:r w:rsidR="003949B7">
        <w:t>o assist in improving the regulatory environment for small business, the Department of Performance, Monitoring and Evaluation (</w:t>
      </w:r>
      <w:r w:rsidR="003949B7" w:rsidRPr="00F209B7">
        <w:t>DPME</w:t>
      </w:r>
      <w:r w:rsidR="003949B7">
        <w:t>)</w:t>
      </w:r>
      <w:r w:rsidR="003949B7" w:rsidRPr="00F209B7">
        <w:t xml:space="preserve"> and </w:t>
      </w:r>
      <w:r w:rsidR="003949B7">
        <w:t>Department of Small Business Development (</w:t>
      </w:r>
      <w:r w:rsidR="002D7D09">
        <w:t>D</w:t>
      </w:r>
      <w:r w:rsidR="003949B7" w:rsidRPr="00F209B7">
        <w:t>S</w:t>
      </w:r>
      <w:r w:rsidR="002D7D09">
        <w:t>B</w:t>
      </w:r>
      <w:r w:rsidR="003949B7" w:rsidRPr="00F209B7">
        <w:t>D</w:t>
      </w:r>
      <w:r w:rsidR="003949B7">
        <w:t>) requested</w:t>
      </w:r>
      <w:r w:rsidR="003949B7" w:rsidRPr="00F209B7">
        <w:t xml:space="preserve"> the Employment Promotion Programme (EPP) </w:t>
      </w:r>
      <w:r w:rsidR="003949B7">
        <w:t xml:space="preserve">contract </w:t>
      </w:r>
      <w:r w:rsidR="003949B7" w:rsidRPr="00F209B7">
        <w:t>T</w:t>
      </w:r>
      <w:r w:rsidR="002D7D09">
        <w:t>rade and Industrial Policy Strategies</w:t>
      </w:r>
      <w:r w:rsidR="003949B7" w:rsidRPr="00F209B7">
        <w:t xml:space="preserve"> (TIPS) </w:t>
      </w:r>
      <w:r w:rsidR="003949B7" w:rsidRPr="0077536F">
        <w:t xml:space="preserve">to conduct a study on the national regulatory burdens on small business. The broad objectives of the research project are: </w:t>
      </w:r>
    </w:p>
    <w:p w14:paraId="5351E5E1" w14:textId="77777777" w:rsidR="003949B7" w:rsidRPr="0077536F" w:rsidRDefault="003949B7" w:rsidP="00D66738">
      <w:pPr>
        <w:pStyle w:val="ListParagraph"/>
        <w:numPr>
          <w:ilvl w:val="0"/>
          <w:numId w:val="63"/>
        </w:numPr>
        <w:jc w:val="both"/>
      </w:pPr>
      <w:r w:rsidRPr="0077536F">
        <w:t xml:space="preserve">To identify practical and viable ways to reduce the effective costs of legislation and regulations for small businesses, and </w:t>
      </w:r>
    </w:p>
    <w:p w14:paraId="07ECBA6A" w14:textId="77777777" w:rsidR="003949B7" w:rsidRDefault="003949B7" w:rsidP="00D66738">
      <w:pPr>
        <w:pStyle w:val="ListParagraph"/>
        <w:numPr>
          <w:ilvl w:val="0"/>
          <w:numId w:val="63"/>
        </w:numPr>
        <w:jc w:val="both"/>
      </w:pPr>
      <w:r w:rsidRPr="0077536F">
        <w:t>To understand broader stakeholder and departmental positions on relevant laws and regulations.</w:t>
      </w:r>
    </w:p>
    <w:p w14:paraId="1FB82789" w14:textId="77777777" w:rsidR="003949B7" w:rsidRDefault="003949B7" w:rsidP="00D66738">
      <w:pPr>
        <w:jc w:val="both"/>
      </w:pPr>
      <w:r>
        <w:t>Specifically, TIPS was tasked:</w:t>
      </w:r>
    </w:p>
    <w:p w14:paraId="76D180FE" w14:textId="77777777" w:rsidR="003949B7" w:rsidRDefault="003949B7" w:rsidP="00D66738">
      <w:pPr>
        <w:pStyle w:val="ListParagraph"/>
        <w:numPr>
          <w:ilvl w:val="0"/>
          <w:numId w:val="62"/>
        </w:numPr>
        <w:jc w:val="both"/>
      </w:pPr>
      <w:r>
        <w:t xml:space="preserve">To research the administrative burden on small business, </w:t>
      </w:r>
    </w:p>
    <w:p w14:paraId="5E4E8263" w14:textId="4C50BE22" w:rsidR="003949B7" w:rsidRDefault="003949B7" w:rsidP="00D66738">
      <w:pPr>
        <w:pStyle w:val="ListParagraph"/>
        <w:numPr>
          <w:ilvl w:val="0"/>
          <w:numId w:val="62"/>
        </w:numPr>
        <w:jc w:val="both"/>
      </w:pPr>
      <w:r>
        <w:t xml:space="preserve">On that basis, to identify </w:t>
      </w:r>
      <w:r w:rsidR="00FE084E">
        <w:t xml:space="preserve">viable </w:t>
      </w:r>
      <w:r>
        <w:t>changes in rules and systems in order to reduce the regulatory burden on small business, and</w:t>
      </w:r>
    </w:p>
    <w:p w14:paraId="04ED0262" w14:textId="77777777" w:rsidR="003949B7" w:rsidRDefault="003949B7" w:rsidP="00D66738">
      <w:pPr>
        <w:pStyle w:val="ListParagraph"/>
        <w:numPr>
          <w:ilvl w:val="0"/>
          <w:numId w:val="62"/>
        </w:numPr>
        <w:jc w:val="both"/>
      </w:pPr>
      <w:r>
        <w:lastRenderedPageBreak/>
        <w:t>To indicate the main costs, benefits and risks to other stakeholders of the proposed changes.</w:t>
      </w:r>
    </w:p>
    <w:bookmarkEnd w:id="7"/>
    <w:p w14:paraId="13812B18" w14:textId="77777777" w:rsidR="003949B7" w:rsidRDefault="003949B7" w:rsidP="00D66738">
      <w:pPr>
        <w:jc w:val="both"/>
      </w:pPr>
      <w:r>
        <w:t>The study was assisted by inputs from the DSBD and EPP Steering Committees. In this context, it was agreed that the study would address four regulatory areas:</w:t>
      </w:r>
    </w:p>
    <w:p w14:paraId="5D5EE1C1" w14:textId="77777777" w:rsidR="003949B7" w:rsidRPr="0077536F" w:rsidRDefault="003949B7" w:rsidP="00D66738">
      <w:pPr>
        <w:pStyle w:val="ListParagraph"/>
        <w:numPr>
          <w:ilvl w:val="0"/>
          <w:numId w:val="64"/>
        </w:numPr>
        <w:spacing w:after="160" w:line="259" w:lineRule="auto"/>
        <w:jc w:val="both"/>
      </w:pPr>
      <w:r w:rsidRPr="0077536F">
        <w:t>Reporting and registration requirements, with a focus on national laws, especially around taxation, labour laws and the Companies and Intellectual Property Commission (CIPC);</w:t>
      </w:r>
    </w:p>
    <w:p w14:paraId="1C077F22" w14:textId="77777777" w:rsidR="003949B7" w:rsidRPr="0077536F" w:rsidRDefault="003949B7" w:rsidP="00D66738">
      <w:pPr>
        <w:pStyle w:val="ListParagraph"/>
        <w:numPr>
          <w:ilvl w:val="0"/>
          <w:numId w:val="64"/>
        </w:numPr>
        <w:spacing w:after="160" w:line="259" w:lineRule="auto"/>
        <w:jc w:val="both"/>
      </w:pPr>
      <w:r w:rsidRPr="0077536F">
        <w:t>State procurement procedures, which militate against small business in a variety of ways, ranging from the large scale of many contracts to rule</w:t>
      </w:r>
      <w:r>
        <w:t>s against up-front payments;</w:t>
      </w:r>
    </w:p>
    <w:p w14:paraId="66A502E8" w14:textId="77777777" w:rsidR="003949B7" w:rsidRPr="0077536F" w:rsidRDefault="003949B7" w:rsidP="00D66738">
      <w:pPr>
        <w:pStyle w:val="ListParagraph"/>
        <w:numPr>
          <w:ilvl w:val="0"/>
          <w:numId w:val="64"/>
        </w:numPr>
        <w:spacing w:after="160" w:line="259" w:lineRule="auto"/>
        <w:jc w:val="both"/>
      </w:pPr>
      <w:r w:rsidRPr="0077536F">
        <w:t xml:space="preserve">The construction industry, which is subject to sector-specific regulation by both national and municipal government; </w:t>
      </w:r>
      <w:r>
        <w:t>and</w:t>
      </w:r>
    </w:p>
    <w:p w14:paraId="636D6A07" w14:textId="77777777" w:rsidR="003949B7" w:rsidRDefault="003949B7" w:rsidP="00D66738">
      <w:pPr>
        <w:pStyle w:val="ListParagraph"/>
        <w:numPr>
          <w:ilvl w:val="0"/>
          <w:numId w:val="64"/>
        </w:numPr>
        <w:spacing w:after="160" w:line="259" w:lineRule="auto"/>
        <w:jc w:val="both"/>
      </w:pPr>
      <w:r w:rsidRPr="0077536F">
        <w:t>Broad-Based Black Economic Empowerment (BBBEE) compliance, which may simultaneously burden smaller white-owned producers and reduce barriers to entry for new black-owned businesses.</w:t>
      </w:r>
    </w:p>
    <w:p w14:paraId="77897006" w14:textId="77777777" w:rsidR="003949B7" w:rsidRPr="00CC0F97" w:rsidRDefault="003949B7" w:rsidP="00D66738">
      <w:pPr>
        <w:pStyle w:val="Heading1"/>
        <w:numPr>
          <w:ilvl w:val="0"/>
          <w:numId w:val="115"/>
        </w:numPr>
        <w:spacing w:after="160" w:line="259" w:lineRule="auto"/>
        <w:jc w:val="both"/>
        <w:rPr>
          <w:rFonts w:ascii="Calibri" w:hAnsi="Calibri"/>
          <w:caps/>
          <w:color w:val="1B5068"/>
        </w:rPr>
      </w:pPr>
      <w:bookmarkStart w:id="8" w:name="_Toc479843876"/>
      <w:bookmarkStart w:id="9" w:name="_Toc479844497"/>
      <w:bookmarkStart w:id="10" w:name="_Toc479940791"/>
      <w:r w:rsidRPr="00CC0F97">
        <w:rPr>
          <w:rFonts w:ascii="Calibri" w:hAnsi="Calibri"/>
          <w:caps/>
          <w:color w:val="1B5068"/>
        </w:rPr>
        <w:t>Scope and methodology</w:t>
      </w:r>
      <w:bookmarkEnd w:id="8"/>
      <w:bookmarkEnd w:id="9"/>
      <w:bookmarkEnd w:id="10"/>
    </w:p>
    <w:p w14:paraId="6E9B7C14" w14:textId="77777777" w:rsidR="003949B7" w:rsidRDefault="003949B7" w:rsidP="00D66738">
      <w:pPr>
        <w:jc w:val="both"/>
      </w:pPr>
      <w:r>
        <w:t xml:space="preserve">The effects of regulations on small business vary depending on their size, sector, formalisation and regional location. The research used Statistics South Africa’s Labour Market Dynamics data to map out formal and informal enterprise, differentiated by size, in terms of their number, industrial distribution, income and human capital. </w:t>
      </w:r>
    </w:p>
    <w:p w14:paraId="5DF40CAA" w14:textId="77777777" w:rsidR="003949B7" w:rsidRDefault="003949B7" w:rsidP="00D66738">
      <w:pPr>
        <w:jc w:val="both"/>
      </w:pPr>
      <w:r>
        <w:t xml:space="preserve">According to these data, </w:t>
      </w:r>
    </w:p>
    <w:p w14:paraId="0CD72644" w14:textId="77777777" w:rsidR="00F35A8E" w:rsidRDefault="00F35A8E" w:rsidP="00D66738">
      <w:pPr>
        <w:pStyle w:val="ListParagraph"/>
        <w:numPr>
          <w:ilvl w:val="0"/>
          <w:numId w:val="65"/>
        </w:numPr>
        <w:jc w:val="both"/>
      </w:pPr>
      <w:r>
        <w:t xml:space="preserve">There were just over two million formal and informal small businesses in South Africa in 2014. Informal micro enterprise comprised the majority in numbers, but the 700 000 formal enterprises dominated employment and production. Most informal businesses were small and precarious; only one in five had any employees at all. </w:t>
      </w:r>
    </w:p>
    <w:p w14:paraId="34E3BEFE" w14:textId="77777777" w:rsidR="00F35A8E" w:rsidRDefault="00F35A8E" w:rsidP="00D66738">
      <w:pPr>
        <w:pStyle w:val="ListParagraph"/>
        <w:numPr>
          <w:ilvl w:val="0"/>
          <w:numId w:val="65"/>
        </w:numPr>
        <w:jc w:val="both"/>
      </w:pPr>
      <w:r>
        <w:t xml:space="preserve">The majority of formal small businesses were in retail and construction, and they were disproportionately located in the metros. </w:t>
      </w:r>
    </w:p>
    <w:p w14:paraId="2022EA45" w14:textId="77777777" w:rsidR="00F35A8E" w:rsidRDefault="00F35A8E" w:rsidP="00D66738">
      <w:pPr>
        <w:pStyle w:val="ListParagraph"/>
        <w:numPr>
          <w:ilvl w:val="0"/>
          <w:numId w:val="65"/>
        </w:numPr>
        <w:jc w:val="both"/>
      </w:pPr>
      <w:r>
        <w:t xml:space="preserve">The median earnings for formal employers came to R12 000 a month in 2015, more than twice as high as the median pay for formal wage workers. In contrast, in the informal sector the median income for employers was R4000 a month and for the self-employed it was just R2000, little more than the pay of informal employees. </w:t>
      </w:r>
    </w:p>
    <w:p w14:paraId="7682244B" w14:textId="77777777" w:rsidR="00F35A8E" w:rsidRDefault="00F35A8E" w:rsidP="00D66738">
      <w:pPr>
        <w:pStyle w:val="ListParagraph"/>
        <w:numPr>
          <w:ilvl w:val="0"/>
          <w:numId w:val="65"/>
        </w:numPr>
        <w:jc w:val="both"/>
      </w:pPr>
      <w:r>
        <w:t>In terms of demographics and human capital, less than half of formal small businesses were black owned; formal employers and self-employed people were relatively well educated; and young entrepreneurs comprised only a fifth of formal business owners</w:t>
      </w:r>
      <w:r w:rsidRPr="00F209B7">
        <w:t>.</w:t>
      </w:r>
    </w:p>
    <w:p w14:paraId="614BB8F8" w14:textId="694D4885" w:rsidR="003949B7" w:rsidRDefault="003949B7" w:rsidP="00D66738">
      <w:pPr>
        <w:spacing w:after="160" w:line="259" w:lineRule="auto"/>
        <w:jc w:val="both"/>
      </w:pPr>
      <w:r>
        <w:t xml:space="preserve">The study does not extend to </w:t>
      </w:r>
      <w:r w:rsidR="00FE084E">
        <w:t xml:space="preserve">municipal </w:t>
      </w:r>
      <w:r>
        <w:t xml:space="preserve">regulations and requirements, which are subject to a separate process within government. National legislation does not usually directly affect informal self-employed people. It may however have some implications for larger informal businesses both because compliance may constitute a barrier to entry in some markets and </w:t>
      </w:r>
      <w:r>
        <w:lastRenderedPageBreak/>
        <w:t xml:space="preserve">through the labour laws, which apply to all employers. For these reasons, the study concentrated on formal business of all sizes, as well as informal employers where relevant. </w:t>
      </w:r>
    </w:p>
    <w:p w14:paraId="3103EC58" w14:textId="77777777" w:rsidR="003949B7" w:rsidRPr="0077536F" w:rsidRDefault="003949B7" w:rsidP="00D66738">
      <w:pPr>
        <w:jc w:val="both"/>
      </w:pPr>
      <w:r>
        <w:t xml:space="preserve">Existing research into the regulatory burden on small business has tended to focus on identifying, and in some cases attempting to quantify, the compliance burden in broad regulatory areas. Relatively few studies seek to propose specific reforms to either the legal requirements or procedures. </w:t>
      </w:r>
    </w:p>
    <w:p w14:paraId="7E8EB52C" w14:textId="54788BE5" w:rsidR="003949B7" w:rsidRDefault="003949B7" w:rsidP="00D66738">
      <w:pPr>
        <w:jc w:val="both"/>
      </w:pPr>
      <w:r>
        <w:t>A number of surveys of business owners identify the functions of the state that they see as imposing the greatest burdens.</w:t>
      </w:r>
      <w:r w:rsidRPr="0077536F">
        <w:t xml:space="preserve"> </w:t>
      </w:r>
      <w:r w:rsidR="00FE084E">
        <w:t>The findings</w:t>
      </w:r>
      <w:r>
        <w:t xml:space="preserve"> generally point</w:t>
      </w:r>
      <w:r w:rsidRPr="0077536F">
        <w:t xml:space="preserve"> to </w:t>
      </w:r>
      <w:r>
        <w:t xml:space="preserve">taxes, protections for </w:t>
      </w:r>
      <w:r w:rsidRPr="0077536F">
        <w:t xml:space="preserve">labour, and government bureaucracy </w:t>
      </w:r>
      <w:r>
        <w:t xml:space="preserve">as </w:t>
      </w:r>
      <w:r w:rsidR="00FE084E">
        <w:t>t</w:t>
      </w:r>
      <w:r w:rsidRPr="0077536F">
        <w:t xml:space="preserve">he </w:t>
      </w:r>
      <w:r w:rsidR="00541E21">
        <w:t>costliest</w:t>
      </w:r>
      <w:r>
        <w:t xml:space="preserve"> </w:t>
      </w:r>
      <w:r w:rsidR="00541E21">
        <w:t xml:space="preserve">cross cutting </w:t>
      </w:r>
      <w:r w:rsidRPr="0077536F">
        <w:t>regulatory constraints.</w:t>
      </w:r>
      <w:r>
        <w:t xml:space="preserve"> </w:t>
      </w:r>
    </w:p>
    <w:p w14:paraId="43C94495" w14:textId="77777777" w:rsidR="003949B7" w:rsidRPr="0077536F" w:rsidRDefault="003949B7" w:rsidP="00D66738">
      <w:pPr>
        <w:jc w:val="both"/>
      </w:pPr>
      <w:r>
        <w:t xml:space="preserve">These studies </w:t>
      </w:r>
      <w:r w:rsidRPr="0077536F">
        <w:t xml:space="preserve">provide </w:t>
      </w:r>
      <w:r>
        <w:t xml:space="preserve">a useful frame for understanding regulatory issues and prioritising areas for reform. They do not, however, </w:t>
      </w:r>
      <w:r w:rsidRPr="0077536F">
        <w:t xml:space="preserve">generate the detail needed </w:t>
      </w:r>
      <w:r>
        <w:t>for practical regulatory reforms</w:t>
      </w:r>
      <w:r w:rsidRPr="0077536F">
        <w:t xml:space="preserve">. </w:t>
      </w:r>
      <w:r>
        <w:t>Moreover, t</w:t>
      </w:r>
      <w:r w:rsidRPr="0077536F">
        <w:t xml:space="preserve">he areas listed often conflate structural factors such as the nature of the financial market with regulatory issues such as the nature of tax and labour laws. </w:t>
      </w:r>
    </w:p>
    <w:p w14:paraId="1B58DBAD" w14:textId="77777777" w:rsidR="003949B7" w:rsidRDefault="003949B7" w:rsidP="00D66738">
      <w:pPr>
        <w:jc w:val="both"/>
      </w:pPr>
      <w:r>
        <w:t xml:space="preserve">Studies </w:t>
      </w:r>
      <w:r w:rsidRPr="0077536F">
        <w:t>that seek to quantify overall regulatory costs do not share a common methodology. Still, in most cases the quantification is l</w:t>
      </w:r>
      <w:r>
        <w:t>inearly additive. That is, these</w:t>
      </w:r>
      <w:r w:rsidRPr="0077536F">
        <w:t xml:space="preserve"> studies typically aggregate time and resources spent in an activity without differentiating between once-off implementation costs, on-going compliance costs and costs that are integral to the desired outcome. </w:t>
      </w:r>
      <w:r>
        <w:t xml:space="preserve">Most rely on self-reporting by business owners about the time and cost of compliance, as well as sometimes rather adventurous assumptions about the amount of foregone income. </w:t>
      </w:r>
    </w:p>
    <w:p w14:paraId="3AF043A1" w14:textId="77777777" w:rsidR="003949B7" w:rsidRPr="0077536F" w:rsidRDefault="003949B7" w:rsidP="00D66738">
      <w:pPr>
        <w:jc w:val="both"/>
      </w:pPr>
      <w:r>
        <w:t xml:space="preserve">More fundamentally, the studies </w:t>
      </w:r>
      <w:r w:rsidRPr="0077536F">
        <w:t xml:space="preserve">generally do not explore whether the cost burdens on </w:t>
      </w:r>
      <w:r>
        <w:t xml:space="preserve">small business </w:t>
      </w:r>
      <w:r w:rsidRPr="0077536F">
        <w:t xml:space="preserve">are offset by </w:t>
      </w:r>
      <w:r>
        <w:t xml:space="preserve">benefits </w:t>
      </w:r>
      <w:r w:rsidRPr="0077536F">
        <w:t xml:space="preserve">to other stakeholders. </w:t>
      </w:r>
      <w:r>
        <w:t xml:space="preserve">Identifying and successfully negotiating reforms, however, requires an understanding of the impacts on other groups. </w:t>
      </w:r>
    </w:p>
    <w:p w14:paraId="2E5F51C7" w14:textId="77777777" w:rsidR="003949B7" w:rsidRPr="007851A7" w:rsidRDefault="003949B7" w:rsidP="00D66738">
      <w:pPr>
        <w:jc w:val="both"/>
        <w:rPr>
          <w:szCs w:val="24"/>
        </w:rPr>
      </w:pPr>
      <w:r>
        <w:rPr>
          <w:szCs w:val="24"/>
        </w:rPr>
        <w:t>The review of existing work on regulatory burdens for small business pointed to the importance of developing a methodology that would generate more specific reforms, and indicate their viability in political-economic terms. For this reason, the study here adopted a four-part methodology.</w:t>
      </w:r>
    </w:p>
    <w:p w14:paraId="19D1146A" w14:textId="54E9C1BA" w:rsidR="003949B7" w:rsidRPr="0095579A" w:rsidRDefault="003949B7" w:rsidP="00D66738">
      <w:pPr>
        <w:pStyle w:val="ListParagraph"/>
        <w:numPr>
          <w:ilvl w:val="0"/>
          <w:numId w:val="114"/>
        </w:numPr>
        <w:jc w:val="both"/>
        <w:rPr>
          <w:szCs w:val="24"/>
        </w:rPr>
      </w:pPr>
      <w:r>
        <w:rPr>
          <w:szCs w:val="24"/>
        </w:rPr>
        <w:t xml:space="preserve">In each area reviewed, the study started with a detailed </w:t>
      </w:r>
      <w:r w:rsidRPr="0095579A">
        <w:rPr>
          <w:szCs w:val="24"/>
        </w:rPr>
        <w:t xml:space="preserve">textual analysis of the laws and regulations in order to identify the likely costs, benefits and risks for </w:t>
      </w:r>
      <w:r>
        <w:rPr>
          <w:szCs w:val="24"/>
        </w:rPr>
        <w:t xml:space="preserve">small businesses </w:t>
      </w:r>
      <w:r w:rsidRPr="0095579A">
        <w:rPr>
          <w:szCs w:val="24"/>
        </w:rPr>
        <w:t>and other stakeholders.</w:t>
      </w:r>
      <w:r w:rsidR="002B45F7">
        <w:rPr>
          <w:szCs w:val="24"/>
        </w:rPr>
        <w:t xml:space="preserve"> T</w:t>
      </w:r>
      <w:r>
        <w:rPr>
          <w:szCs w:val="24"/>
        </w:rPr>
        <w:t xml:space="preserve">he assessment pointed to a set of core hypotheses about how specific requirements would impact on small business. </w:t>
      </w:r>
      <w:r w:rsidR="002B45F7">
        <w:rPr>
          <w:szCs w:val="24"/>
        </w:rPr>
        <w:t>For this analysis</w:t>
      </w:r>
      <w:r>
        <w:rPr>
          <w:szCs w:val="24"/>
        </w:rPr>
        <w:t xml:space="preserve">, the study distinguishes between administrative costs, whether initial once-off requirements or on-going burdens, and costs that are integral to the aims of the law, such as paying tax, maintaining minimum labour standards, or bringing in black investors. </w:t>
      </w:r>
    </w:p>
    <w:p w14:paraId="0508E72D" w14:textId="77777777" w:rsidR="003949B7" w:rsidRPr="0095579A" w:rsidRDefault="003949B7" w:rsidP="00D66738">
      <w:pPr>
        <w:pStyle w:val="ListParagraph"/>
        <w:numPr>
          <w:ilvl w:val="0"/>
          <w:numId w:val="114"/>
        </w:numPr>
        <w:jc w:val="both"/>
        <w:rPr>
          <w:szCs w:val="24"/>
        </w:rPr>
      </w:pPr>
      <w:r>
        <w:rPr>
          <w:szCs w:val="24"/>
        </w:rPr>
        <w:t xml:space="preserve">The study then undertook an empirical test of the arguments derived from the textual analysis. To this end, it utilised both </w:t>
      </w:r>
      <w:r w:rsidRPr="0095579A">
        <w:rPr>
          <w:szCs w:val="24"/>
        </w:rPr>
        <w:t xml:space="preserve">qualitative </w:t>
      </w:r>
      <w:r>
        <w:rPr>
          <w:szCs w:val="24"/>
        </w:rPr>
        <w:t xml:space="preserve">and quantitative information. The main sources were individual and group </w:t>
      </w:r>
      <w:r w:rsidRPr="0095579A">
        <w:rPr>
          <w:szCs w:val="24"/>
        </w:rPr>
        <w:t xml:space="preserve">interviews with </w:t>
      </w:r>
      <w:r>
        <w:rPr>
          <w:szCs w:val="24"/>
        </w:rPr>
        <w:t xml:space="preserve">small </w:t>
      </w:r>
      <w:r w:rsidRPr="0095579A">
        <w:rPr>
          <w:szCs w:val="24"/>
        </w:rPr>
        <w:t xml:space="preserve">business </w:t>
      </w:r>
      <w:r>
        <w:rPr>
          <w:szCs w:val="24"/>
        </w:rPr>
        <w:t xml:space="preserve">owners </w:t>
      </w:r>
      <w:r w:rsidRPr="0095579A">
        <w:rPr>
          <w:szCs w:val="24"/>
        </w:rPr>
        <w:t>and official</w:t>
      </w:r>
      <w:r>
        <w:rPr>
          <w:szCs w:val="24"/>
        </w:rPr>
        <w:t xml:space="preserve">s, analysis of </w:t>
      </w:r>
      <w:r w:rsidRPr="0095579A">
        <w:rPr>
          <w:szCs w:val="24"/>
        </w:rPr>
        <w:t>implementation systems</w:t>
      </w:r>
      <w:r>
        <w:rPr>
          <w:szCs w:val="24"/>
        </w:rPr>
        <w:t xml:space="preserve"> and procedures, and reports on key outcomes and outputs such as turnaround times and figures for compliance with specific requirements</w:t>
      </w:r>
      <w:r w:rsidRPr="0095579A">
        <w:rPr>
          <w:szCs w:val="24"/>
        </w:rPr>
        <w:t>.</w:t>
      </w:r>
    </w:p>
    <w:p w14:paraId="41995375" w14:textId="77777777" w:rsidR="003949B7" w:rsidRPr="0095579A" w:rsidRDefault="003949B7" w:rsidP="00D66738">
      <w:pPr>
        <w:pStyle w:val="ListParagraph"/>
        <w:numPr>
          <w:ilvl w:val="0"/>
          <w:numId w:val="114"/>
        </w:numPr>
        <w:jc w:val="both"/>
        <w:rPr>
          <w:szCs w:val="24"/>
        </w:rPr>
      </w:pPr>
      <w:r>
        <w:rPr>
          <w:szCs w:val="24"/>
        </w:rPr>
        <w:t xml:space="preserve">Based on the validated arguments about each regulatory area, the study then indicates a set of </w:t>
      </w:r>
      <w:r w:rsidRPr="0095579A">
        <w:rPr>
          <w:szCs w:val="24"/>
        </w:rPr>
        <w:t>remedial options</w:t>
      </w:r>
      <w:r>
        <w:rPr>
          <w:szCs w:val="24"/>
        </w:rPr>
        <w:t xml:space="preserve">, which are tested using the Socio-Economic Impact Assessment System (SEIAS) approach. The SEIAS approach requires (a) evaluation of alternative options, one of which should not require a legal amendment; (b) assessment of costs </w:t>
      </w:r>
      <w:r>
        <w:rPr>
          <w:szCs w:val="24"/>
        </w:rPr>
        <w:lastRenderedPageBreak/>
        <w:t xml:space="preserve">and benefits to different stakeholders; and (c) evaluation of risks. Using this approach should permit improvements in the preferred measure through mitigation of risks by maximising the net benefits. It should also assist in understanding of the likely impact on all stakeholders, and by extension the broader viability and desirability of the proposed reforms. </w:t>
      </w:r>
    </w:p>
    <w:p w14:paraId="32238C7E" w14:textId="77777777" w:rsidR="003949B7" w:rsidRPr="0095579A" w:rsidRDefault="003949B7" w:rsidP="00D66738">
      <w:pPr>
        <w:pStyle w:val="ListParagraph"/>
        <w:numPr>
          <w:ilvl w:val="0"/>
          <w:numId w:val="114"/>
        </w:numPr>
        <w:spacing w:after="240"/>
        <w:jc w:val="both"/>
        <w:rPr>
          <w:szCs w:val="24"/>
        </w:rPr>
      </w:pPr>
      <w:r>
        <w:rPr>
          <w:szCs w:val="24"/>
        </w:rPr>
        <w:t xml:space="preserve">Finally, for each proposal the study indicates </w:t>
      </w:r>
      <w:r w:rsidRPr="0095579A">
        <w:rPr>
          <w:szCs w:val="24"/>
        </w:rPr>
        <w:t xml:space="preserve">the relevant departments and agencies </w:t>
      </w:r>
      <w:r>
        <w:rPr>
          <w:szCs w:val="24"/>
        </w:rPr>
        <w:t xml:space="preserve">that must be engaged in order </w:t>
      </w:r>
      <w:r w:rsidRPr="0095579A">
        <w:rPr>
          <w:szCs w:val="24"/>
        </w:rPr>
        <w:t>to implement the</w:t>
      </w:r>
      <w:r>
        <w:rPr>
          <w:szCs w:val="24"/>
        </w:rPr>
        <w:t xml:space="preserve"> proposed reforms</w:t>
      </w:r>
      <w:r w:rsidRPr="0095579A">
        <w:rPr>
          <w:szCs w:val="24"/>
        </w:rPr>
        <w:t xml:space="preserve">. </w:t>
      </w:r>
    </w:p>
    <w:p w14:paraId="18D18136" w14:textId="77777777" w:rsidR="003949B7" w:rsidRPr="00CC0F97" w:rsidRDefault="003949B7" w:rsidP="00D66738">
      <w:pPr>
        <w:pStyle w:val="Heading1"/>
        <w:numPr>
          <w:ilvl w:val="0"/>
          <w:numId w:val="115"/>
        </w:numPr>
        <w:spacing w:after="160" w:line="259" w:lineRule="auto"/>
        <w:jc w:val="both"/>
        <w:rPr>
          <w:rFonts w:ascii="Calibri" w:hAnsi="Calibri"/>
          <w:caps/>
          <w:color w:val="1B5068"/>
        </w:rPr>
      </w:pPr>
      <w:bookmarkStart w:id="11" w:name="_Toc479843877"/>
      <w:bookmarkStart w:id="12" w:name="_Toc479844498"/>
      <w:bookmarkStart w:id="13" w:name="_Toc479940792"/>
      <w:r w:rsidRPr="00CC0F97">
        <w:rPr>
          <w:rFonts w:ascii="Calibri" w:hAnsi="Calibri"/>
          <w:caps/>
          <w:color w:val="1B5068"/>
        </w:rPr>
        <w:t>Core findings and proposals</w:t>
      </w:r>
      <w:bookmarkEnd w:id="11"/>
      <w:bookmarkEnd w:id="12"/>
      <w:bookmarkEnd w:id="13"/>
    </w:p>
    <w:p w14:paraId="33DE166A" w14:textId="77777777" w:rsidR="007541C5" w:rsidRPr="007541C5" w:rsidRDefault="007541C5" w:rsidP="00D66738">
      <w:pPr>
        <w:pStyle w:val="ListParagraph"/>
        <w:keepNext/>
        <w:keepLines/>
        <w:numPr>
          <w:ilvl w:val="0"/>
          <w:numId w:val="111"/>
        </w:numPr>
        <w:spacing w:before="200" w:after="160" w:line="259" w:lineRule="auto"/>
        <w:jc w:val="both"/>
        <w:outlineLvl w:val="1"/>
        <w:rPr>
          <w:rFonts w:ascii="Calibri" w:eastAsiaTheme="majorEastAsia" w:hAnsi="Calibri" w:cstheme="majorBidi"/>
          <w:b/>
          <w:bCs/>
          <w:vanish/>
          <w:color w:val="1B5068"/>
          <w:szCs w:val="24"/>
        </w:rPr>
      </w:pPr>
      <w:bookmarkStart w:id="14" w:name="_Toc479844739"/>
      <w:bookmarkStart w:id="15" w:name="_Toc479844860"/>
      <w:bookmarkStart w:id="16" w:name="_Toc479844981"/>
      <w:bookmarkStart w:id="17" w:name="_Toc479845102"/>
      <w:bookmarkStart w:id="18" w:name="_Toc479845239"/>
      <w:bookmarkStart w:id="19" w:name="_Toc479845360"/>
      <w:bookmarkStart w:id="20" w:name="_Toc479845998"/>
      <w:bookmarkStart w:id="21" w:name="_Toc479846210"/>
      <w:bookmarkStart w:id="22" w:name="_Toc479846333"/>
      <w:bookmarkStart w:id="23" w:name="_Toc479846456"/>
      <w:bookmarkStart w:id="24" w:name="_Toc479846579"/>
      <w:bookmarkStart w:id="25" w:name="_Toc479846702"/>
      <w:bookmarkStart w:id="26" w:name="_Toc479846825"/>
      <w:bookmarkStart w:id="27" w:name="_Toc479849478"/>
      <w:bookmarkStart w:id="28" w:name="_Toc479849933"/>
      <w:bookmarkStart w:id="29" w:name="_Toc479850077"/>
      <w:bookmarkStart w:id="30" w:name="_Toc479853546"/>
      <w:bookmarkStart w:id="31" w:name="_Toc479853701"/>
      <w:bookmarkStart w:id="32" w:name="_Toc479862420"/>
      <w:bookmarkStart w:id="33" w:name="_Toc479864065"/>
      <w:bookmarkStart w:id="34" w:name="_Toc479939845"/>
      <w:bookmarkStart w:id="35" w:name="_Toc479940170"/>
      <w:bookmarkStart w:id="36" w:name="_Toc47994079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1913FB2" w14:textId="77777777" w:rsidR="007541C5" w:rsidRPr="007541C5" w:rsidRDefault="007541C5" w:rsidP="00D66738">
      <w:pPr>
        <w:pStyle w:val="ListParagraph"/>
        <w:keepNext/>
        <w:keepLines/>
        <w:numPr>
          <w:ilvl w:val="0"/>
          <w:numId w:val="111"/>
        </w:numPr>
        <w:spacing w:before="200" w:after="160" w:line="259" w:lineRule="auto"/>
        <w:jc w:val="both"/>
        <w:outlineLvl w:val="1"/>
        <w:rPr>
          <w:rFonts w:ascii="Calibri" w:eastAsiaTheme="majorEastAsia" w:hAnsi="Calibri" w:cstheme="majorBidi"/>
          <w:b/>
          <w:bCs/>
          <w:vanish/>
          <w:color w:val="1B5068"/>
          <w:szCs w:val="24"/>
        </w:rPr>
      </w:pPr>
      <w:bookmarkStart w:id="37" w:name="_Toc479844740"/>
      <w:bookmarkStart w:id="38" w:name="_Toc479844861"/>
      <w:bookmarkStart w:id="39" w:name="_Toc479844982"/>
      <w:bookmarkStart w:id="40" w:name="_Toc479845103"/>
      <w:bookmarkStart w:id="41" w:name="_Toc479845240"/>
      <w:bookmarkStart w:id="42" w:name="_Toc479845361"/>
      <w:bookmarkStart w:id="43" w:name="_Toc479845999"/>
      <w:bookmarkStart w:id="44" w:name="_Toc479846211"/>
      <w:bookmarkStart w:id="45" w:name="_Toc479846334"/>
      <w:bookmarkStart w:id="46" w:name="_Toc479846457"/>
      <w:bookmarkStart w:id="47" w:name="_Toc479846580"/>
      <w:bookmarkStart w:id="48" w:name="_Toc479846703"/>
      <w:bookmarkStart w:id="49" w:name="_Toc479846826"/>
      <w:bookmarkStart w:id="50" w:name="_Toc479849479"/>
      <w:bookmarkStart w:id="51" w:name="_Toc479849934"/>
      <w:bookmarkStart w:id="52" w:name="_Toc479850078"/>
      <w:bookmarkStart w:id="53" w:name="_Toc479853547"/>
      <w:bookmarkStart w:id="54" w:name="_Toc479853702"/>
      <w:bookmarkStart w:id="55" w:name="_Toc479862421"/>
      <w:bookmarkStart w:id="56" w:name="_Toc479864066"/>
      <w:bookmarkStart w:id="57" w:name="_Toc479939846"/>
      <w:bookmarkStart w:id="58" w:name="_Toc479940171"/>
      <w:bookmarkStart w:id="59" w:name="_Toc47994079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C499E6B" w14:textId="77777777" w:rsidR="007541C5" w:rsidRPr="007541C5" w:rsidRDefault="007541C5" w:rsidP="00D66738">
      <w:pPr>
        <w:pStyle w:val="ListParagraph"/>
        <w:keepNext/>
        <w:keepLines/>
        <w:numPr>
          <w:ilvl w:val="0"/>
          <w:numId w:val="111"/>
        </w:numPr>
        <w:spacing w:before="200" w:after="160" w:line="259" w:lineRule="auto"/>
        <w:jc w:val="both"/>
        <w:outlineLvl w:val="1"/>
        <w:rPr>
          <w:rFonts w:ascii="Calibri" w:eastAsiaTheme="majorEastAsia" w:hAnsi="Calibri" w:cstheme="majorBidi"/>
          <w:b/>
          <w:bCs/>
          <w:vanish/>
          <w:color w:val="1B5068"/>
          <w:szCs w:val="24"/>
        </w:rPr>
      </w:pPr>
      <w:bookmarkStart w:id="60" w:name="_Toc479844741"/>
      <w:bookmarkStart w:id="61" w:name="_Toc479844862"/>
      <w:bookmarkStart w:id="62" w:name="_Toc479844983"/>
      <w:bookmarkStart w:id="63" w:name="_Toc479845104"/>
      <w:bookmarkStart w:id="64" w:name="_Toc479845241"/>
      <w:bookmarkStart w:id="65" w:name="_Toc479845362"/>
      <w:bookmarkStart w:id="66" w:name="_Toc479846000"/>
      <w:bookmarkStart w:id="67" w:name="_Toc479846212"/>
      <w:bookmarkStart w:id="68" w:name="_Toc479846335"/>
      <w:bookmarkStart w:id="69" w:name="_Toc479846458"/>
      <w:bookmarkStart w:id="70" w:name="_Toc479846581"/>
      <w:bookmarkStart w:id="71" w:name="_Toc479846704"/>
      <w:bookmarkStart w:id="72" w:name="_Toc479846827"/>
      <w:bookmarkStart w:id="73" w:name="_Toc479849480"/>
      <w:bookmarkStart w:id="74" w:name="_Toc479849935"/>
      <w:bookmarkStart w:id="75" w:name="_Toc479850079"/>
      <w:bookmarkStart w:id="76" w:name="_Toc479853548"/>
      <w:bookmarkStart w:id="77" w:name="_Toc479853703"/>
      <w:bookmarkStart w:id="78" w:name="_Toc479862422"/>
      <w:bookmarkStart w:id="79" w:name="_Toc479864067"/>
      <w:bookmarkStart w:id="80" w:name="_Toc479939847"/>
      <w:bookmarkStart w:id="81" w:name="_Toc479940172"/>
      <w:bookmarkStart w:id="82" w:name="_Toc47994079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D116F6A" w14:textId="77777777" w:rsidR="00BD116E" w:rsidRPr="00BD116E" w:rsidRDefault="00BD116E" w:rsidP="00D66738">
      <w:pPr>
        <w:pStyle w:val="ListParagraph"/>
        <w:keepNext/>
        <w:keepLines/>
        <w:numPr>
          <w:ilvl w:val="0"/>
          <w:numId w:val="112"/>
        </w:numPr>
        <w:spacing w:before="200" w:after="160" w:line="259" w:lineRule="auto"/>
        <w:jc w:val="both"/>
        <w:outlineLvl w:val="1"/>
        <w:rPr>
          <w:rFonts w:ascii="Calibri" w:eastAsiaTheme="majorEastAsia" w:hAnsi="Calibri" w:cstheme="majorBidi"/>
          <w:b/>
          <w:bCs/>
          <w:vanish/>
          <w:color w:val="1B5068"/>
          <w:szCs w:val="24"/>
        </w:rPr>
      </w:pPr>
      <w:bookmarkStart w:id="83" w:name="_Toc479844742"/>
      <w:bookmarkStart w:id="84" w:name="_Toc479844863"/>
      <w:bookmarkStart w:id="85" w:name="_Toc479844984"/>
      <w:bookmarkStart w:id="86" w:name="_Toc479845105"/>
      <w:bookmarkStart w:id="87" w:name="_Toc479845242"/>
      <w:bookmarkStart w:id="88" w:name="_Toc479845363"/>
      <w:bookmarkStart w:id="89" w:name="_Toc479846001"/>
      <w:bookmarkStart w:id="90" w:name="_Toc479846213"/>
      <w:bookmarkStart w:id="91" w:name="_Toc479846336"/>
      <w:bookmarkStart w:id="92" w:name="_Toc479846459"/>
      <w:bookmarkStart w:id="93" w:name="_Toc479846582"/>
      <w:bookmarkStart w:id="94" w:name="_Toc479846705"/>
      <w:bookmarkStart w:id="95" w:name="_Toc479846828"/>
      <w:bookmarkStart w:id="96" w:name="_Toc479849481"/>
      <w:bookmarkStart w:id="97" w:name="_Toc479849936"/>
      <w:bookmarkStart w:id="98" w:name="_Toc479850080"/>
      <w:bookmarkStart w:id="99" w:name="_Toc479853549"/>
      <w:bookmarkStart w:id="100" w:name="_Toc479853704"/>
      <w:bookmarkStart w:id="101" w:name="_Toc479862423"/>
      <w:bookmarkStart w:id="102" w:name="_Toc479864068"/>
      <w:bookmarkStart w:id="103" w:name="_Toc479939848"/>
      <w:bookmarkStart w:id="104" w:name="_Toc479940173"/>
      <w:bookmarkStart w:id="105" w:name="_Toc479940796"/>
      <w:bookmarkStart w:id="106" w:name="_Toc479843878"/>
      <w:bookmarkStart w:id="107" w:name="_Toc47984449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C772B18" w14:textId="77777777" w:rsidR="00BD116E" w:rsidRPr="00BD116E" w:rsidRDefault="00BD116E" w:rsidP="00D66738">
      <w:pPr>
        <w:pStyle w:val="ListParagraph"/>
        <w:keepNext/>
        <w:keepLines/>
        <w:numPr>
          <w:ilvl w:val="0"/>
          <w:numId w:val="112"/>
        </w:numPr>
        <w:spacing w:before="200" w:after="160" w:line="259" w:lineRule="auto"/>
        <w:jc w:val="both"/>
        <w:outlineLvl w:val="1"/>
        <w:rPr>
          <w:rFonts w:ascii="Calibri" w:eastAsiaTheme="majorEastAsia" w:hAnsi="Calibri" w:cstheme="majorBidi"/>
          <w:b/>
          <w:bCs/>
          <w:vanish/>
          <w:color w:val="1B5068"/>
          <w:szCs w:val="24"/>
        </w:rPr>
      </w:pPr>
      <w:bookmarkStart w:id="108" w:name="_Toc479849482"/>
      <w:bookmarkStart w:id="109" w:name="_Toc479849937"/>
      <w:bookmarkStart w:id="110" w:name="_Toc479850081"/>
      <w:bookmarkStart w:id="111" w:name="_Toc479853550"/>
      <w:bookmarkStart w:id="112" w:name="_Toc479853705"/>
      <w:bookmarkStart w:id="113" w:name="_Toc479862424"/>
      <w:bookmarkStart w:id="114" w:name="_Toc479864069"/>
      <w:bookmarkStart w:id="115" w:name="_Toc479939849"/>
      <w:bookmarkStart w:id="116" w:name="_Toc479940174"/>
      <w:bookmarkStart w:id="117" w:name="_Toc479940797"/>
      <w:bookmarkEnd w:id="108"/>
      <w:bookmarkEnd w:id="109"/>
      <w:bookmarkEnd w:id="110"/>
      <w:bookmarkEnd w:id="111"/>
      <w:bookmarkEnd w:id="112"/>
      <w:bookmarkEnd w:id="113"/>
      <w:bookmarkEnd w:id="114"/>
      <w:bookmarkEnd w:id="115"/>
      <w:bookmarkEnd w:id="116"/>
      <w:bookmarkEnd w:id="117"/>
    </w:p>
    <w:p w14:paraId="1ECC9948" w14:textId="77777777" w:rsidR="00BD116E" w:rsidRPr="00BD116E" w:rsidRDefault="00BD116E" w:rsidP="00D66738">
      <w:pPr>
        <w:pStyle w:val="ListParagraph"/>
        <w:keepNext/>
        <w:keepLines/>
        <w:numPr>
          <w:ilvl w:val="0"/>
          <w:numId w:val="112"/>
        </w:numPr>
        <w:spacing w:before="200" w:after="160" w:line="259" w:lineRule="auto"/>
        <w:jc w:val="both"/>
        <w:outlineLvl w:val="1"/>
        <w:rPr>
          <w:rFonts w:ascii="Calibri" w:eastAsiaTheme="majorEastAsia" w:hAnsi="Calibri" w:cstheme="majorBidi"/>
          <w:b/>
          <w:bCs/>
          <w:vanish/>
          <w:color w:val="1B5068"/>
          <w:szCs w:val="24"/>
        </w:rPr>
      </w:pPr>
      <w:bookmarkStart w:id="118" w:name="_Toc479849483"/>
      <w:bookmarkStart w:id="119" w:name="_Toc479849938"/>
      <w:bookmarkStart w:id="120" w:name="_Toc479850082"/>
      <w:bookmarkStart w:id="121" w:name="_Toc479853551"/>
      <w:bookmarkStart w:id="122" w:name="_Toc479853706"/>
      <w:bookmarkStart w:id="123" w:name="_Toc479862425"/>
      <w:bookmarkStart w:id="124" w:name="_Toc479864070"/>
      <w:bookmarkStart w:id="125" w:name="_Toc479939850"/>
      <w:bookmarkStart w:id="126" w:name="_Toc479940175"/>
      <w:bookmarkStart w:id="127" w:name="_Toc479940798"/>
      <w:bookmarkEnd w:id="118"/>
      <w:bookmarkEnd w:id="119"/>
      <w:bookmarkEnd w:id="120"/>
      <w:bookmarkEnd w:id="121"/>
      <w:bookmarkEnd w:id="122"/>
      <w:bookmarkEnd w:id="123"/>
      <w:bookmarkEnd w:id="124"/>
      <w:bookmarkEnd w:id="125"/>
      <w:bookmarkEnd w:id="126"/>
      <w:bookmarkEnd w:id="127"/>
    </w:p>
    <w:p w14:paraId="60355BE4" w14:textId="77777777" w:rsidR="004248A8" w:rsidRPr="004248A8" w:rsidRDefault="004248A8" w:rsidP="00D66738">
      <w:pPr>
        <w:pStyle w:val="ListParagraph"/>
        <w:keepNext/>
        <w:keepLines/>
        <w:numPr>
          <w:ilvl w:val="0"/>
          <w:numId w:val="116"/>
        </w:numPr>
        <w:spacing w:before="200"/>
        <w:jc w:val="both"/>
        <w:outlineLvl w:val="1"/>
        <w:rPr>
          <w:rFonts w:ascii="Calibri" w:eastAsiaTheme="majorEastAsia" w:hAnsi="Calibri" w:cstheme="majorBidi"/>
          <w:b/>
          <w:bCs/>
          <w:vanish/>
          <w:color w:val="1F497D" w:themeColor="text2"/>
          <w:sz w:val="26"/>
          <w:szCs w:val="26"/>
        </w:rPr>
      </w:pPr>
      <w:bookmarkStart w:id="128" w:name="_Toc479849484"/>
      <w:bookmarkStart w:id="129" w:name="_Toc479849939"/>
      <w:bookmarkStart w:id="130" w:name="_Toc479850083"/>
      <w:bookmarkStart w:id="131" w:name="_Toc479853552"/>
      <w:bookmarkStart w:id="132" w:name="_Toc479853707"/>
      <w:bookmarkStart w:id="133" w:name="_Toc479862426"/>
      <w:bookmarkStart w:id="134" w:name="_Toc479864071"/>
      <w:bookmarkStart w:id="135" w:name="_Toc479939851"/>
      <w:bookmarkStart w:id="136" w:name="_Toc479940176"/>
      <w:bookmarkStart w:id="137" w:name="_Toc479940799"/>
      <w:bookmarkEnd w:id="128"/>
      <w:bookmarkEnd w:id="129"/>
      <w:bookmarkEnd w:id="130"/>
      <w:bookmarkEnd w:id="131"/>
      <w:bookmarkEnd w:id="132"/>
      <w:bookmarkEnd w:id="133"/>
      <w:bookmarkEnd w:id="134"/>
      <w:bookmarkEnd w:id="135"/>
      <w:bookmarkEnd w:id="136"/>
      <w:bookmarkEnd w:id="137"/>
    </w:p>
    <w:p w14:paraId="4B3C3DE5" w14:textId="77777777" w:rsidR="004248A8" w:rsidRPr="004248A8" w:rsidRDefault="004248A8" w:rsidP="00D66738">
      <w:pPr>
        <w:pStyle w:val="ListParagraph"/>
        <w:keepNext/>
        <w:keepLines/>
        <w:numPr>
          <w:ilvl w:val="0"/>
          <w:numId w:val="116"/>
        </w:numPr>
        <w:spacing w:before="200"/>
        <w:jc w:val="both"/>
        <w:outlineLvl w:val="1"/>
        <w:rPr>
          <w:rFonts w:ascii="Calibri" w:eastAsiaTheme="majorEastAsia" w:hAnsi="Calibri" w:cstheme="majorBidi"/>
          <w:b/>
          <w:bCs/>
          <w:vanish/>
          <w:color w:val="1F497D" w:themeColor="text2"/>
          <w:sz w:val="26"/>
          <w:szCs w:val="26"/>
        </w:rPr>
      </w:pPr>
      <w:bookmarkStart w:id="138" w:name="_Toc479849485"/>
      <w:bookmarkStart w:id="139" w:name="_Toc479849940"/>
      <w:bookmarkStart w:id="140" w:name="_Toc479850084"/>
      <w:bookmarkStart w:id="141" w:name="_Toc479853553"/>
      <w:bookmarkStart w:id="142" w:name="_Toc479853708"/>
      <w:bookmarkStart w:id="143" w:name="_Toc479862427"/>
      <w:bookmarkStart w:id="144" w:name="_Toc479864072"/>
      <w:bookmarkStart w:id="145" w:name="_Toc479939852"/>
      <w:bookmarkStart w:id="146" w:name="_Toc479940177"/>
      <w:bookmarkStart w:id="147" w:name="_Toc479940800"/>
      <w:bookmarkEnd w:id="138"/>
      <w:bookmarkEnd w:id="139"/>
      <w:bookmarkEnd w:id="140"/>
      <w:bookmarkEnd w:id="141"/>
      <w:bookmarkEnd w:id="142"/>
      <w:bookmarkEnd w:id="143"/>
      <w:bookmarkEnd w:id="144"/>
      <w:bookmarkEnd w:id="145"/>
      <w:bookmarkEnd w:id="146"/>
      <w:bookmarkEnd w:id="147"/>
    </w:p>
    <w:p w14:paraId="07E21FDC" w14:textId="77777777" w:rsidR="004248A8" w:rsidRPr="004248A8" w:rsidRDefault="004248A8" w:rsidP="00D66738">
      <w:pPr>
        <w:pStyle w:val="ListParagraph"/>
        <w:keepNext/>
        <w:keepLines/>
        <w:numPr>
          <w:ilvl w:val="0"/>
          <w:numId w:val="116"/>
        </w:numPr>
        <w:spacing w:before="200"/>
        <w:jc w:val="both"/>
        <w:outlineLvl w:val="1"/>
        <w:rPr>
          <w:rFonts w:ascii="Calibri" w:eastAsiaTheme="majorEastAsia" w:hAnsi="Calibri" w:cstheme="majorBidi"/>
          <w:b/>
          <w:bCs/>
          <w:vanish/>
          <w:color w:val="1F497D" w:themeColor="text2"/>
          <w:sz w:val="26"/>
          <w:szCs w:val="26"/>
        </w:rPr>
      </w:pPr>
      <w:bookmarkStart w:id="148" w:name="_Toc479849486"/>
      <w:bookmarkStart w:id="149" w:name="_Toc479849941"/>
      <w:bookmarkStart w:id="150" w:name="_Toc479850085"/>
      <w:bookmarkStart w:id="151" w:name="_Toc479853554"/>
      <w:bookmarkStart w:id="152" w:name="_Toc479853709"/>
      <w:bookmarkStart w:id="153" w:name="_Toc479862428"/>
      <w:bookmarkStart w:id="154" w:name="_Toc479864073"/>
      <w:bookmarkStart w:id="155" w:name="_Toc479939853"/>
      <w:bookmarkStart w:id="156" w:name="_Toc479940178"/>
      <w:bookmarkStart w:id="157" w:name="_Toc479940801"/>
      <w:bookmarkEnd w:id="148"/>
      <w:bookmarkEnd w:id="149"/>
      <w:bookmarkEnd w:id="150"/>
      <w:bookmarkEnd w:id="151"/>
      <w:bookmarkEnd w:id="152"/>
      <w:bookmarkEnd w:id="153"/>
      <w:bookmarkEnd w:id="154"/>
      <w:bookmarkEnd w:id="155"/>
      <w:bookmarkEnd w:id="156"/>
      <w:bookmarkEnd w:id="157"/>
    </w:p>
    <w:p w14:paraId="0FC0B2C3" w14:textId="77777777" w:rsidR="00B57E85" w:rsidRPr="00B57E85" w:rsidRDefault="00B57E85" w:rsidP="00D66738">
      <w:pPr>
        <w:pStyle w:val="ListParagraph"/>
        <w:keepNext/>
        <w:keepLines/>
        <w:numPr>
          <w:ilvl w:val="0"/>
          <w:numId w:val="121"/>
        </w:numPr>
        <w:spacing w:before="200"/>
        <w:jc w:val="both"/>
        <w:outlineLvl w:val="1"/>
        <w:rPr>
          <w:rFonts w:ascii="Calibri" w:eastAsiaTheme="majorEastAsia" w:hAnsi="Calibri" w:cstheme="majorBidi"/>
          <w:b/>
          <w:bCs/>
          <w:vanish/>
          <w:color w:val="1F497D" w:themeColor="text2"/>
          <w:sz w:val="26"/>
          <w:szCs w:val="26"/>
        </w:rPr>
      </w:pPr>
      <w:bookmarkStart w:id="158" w:name="_Toc479849942"/>
      <w:bookmarkStart w:id="159" w:name="_Toc479850086"/>
      <w:bookmarkStart w:id="160" w:name="_Toc479853555"/>
      <w:bookmarkStart w:id="161" w:name="_Toc479853710"/>
      <w:bookmarkStart w:id="162" w:name="_Toc479862429"/>
      <w:bookmarkStart w:id="163" w:name="_Toc479864074"/>
      <w:bookmarkStart w:id="164" w:name="_Toc479939854"/>
      <w:bookmarkStart w:id="165" w:name="_Toc479940179"/>
      <w:bookmarkStart w:id="166" w:name="_Toc479940802"/>
      <w:bookmarkEnd w:id="158"/>
      <w:bookmarkEnd w:id="159"/>
      <w:bookmarkEnd w:id="160"/>
      <w:bookmarkEnd w:id="161"/>
      <w:bookmarkEnd w:id="162"/>
      <w:bookmarkEnd w:id="163"/>
      <w:bookmarkEnd w:id="164"/>
      <w:bookmarkEnd w:id="165"/>
      <w:bookmarkEnd w:id="166"/>
    </w:p>
    <w:p w14:paraId="24395A45" w14:textId="77777777" w:rsidR="00B57E85" w:rsidRPr="00B57E85" w:rsidRDefault="00B57E85" w:rsidP="00D66738">
      <w:pPr>
        <w:pStyle w:val="ListParagraph"/>
        <w:keepNext/>
        <w:keepLines/>
        <w:numPr>
          <w:ilvl w:val="0"/>
          <w:numId w:val="121"/>
        </w:numPr>
        <w:spacing w:before="200"/>
        <w:jc w:val="both"/>
        <w:outlineLvl w:val="1"/>
        <w:rPr>
          <w:rFonts w:ascii="Calibri" w:eastAsiaTheme="majorEastAsia" w:hAnsi="Calibri" w:cstheme="majorBidi"/>
          <w:b/>
          <w:bCs/>
          <w:vanish/>
          <w:color w:val="1F497D" w:themeColor="text2"/>
          <w:sz w:val="26"/>
          <w:szCs w:val="26"/>
        </w:rPr>
      </w:pPr>
      <w:bookmarkStart w:id="167" w:name="_Toc479849943"/>
      <w:bookmarkStart w:id="168" w:name="_Toc479850087"/>
      <w:bookmarkStart w:id="169" w:name="_Toc479853556"/>
      <w:bookmarkStart w:id="170" w:name="_Toc479853711"/>
      <w:bookmarkStart w:id="171" w:name="_Toc479862430"/>
      <w:bookmarkStart w:id="172" w:name="_Toc479864075"/>
      <w:bookmarkStart w:id="173" w:name="_Toc479939855"/>
      <w:bookmarkStart w:id="174" w:name="_Toc479940180"/>
      <w:bookmarkStart w:id="175" w:name="_Toc479940803"/>
      <w:bookmarkEnd w:id="167"/>
      <w:bookmarkEnd w:id="168"/>
      <w:bookmarkEnd w:id="169"/>
      <w:bookmarkEnd w:id="170"/>
      <w:bookmarkEnd w:id="171"/>
      <w:bookmarkEnd w:id="172"/>
      <w:bookmarkEnd w:id="173"/>
      <w:bookmarkEnd w:id="174"/>
      <w:bookmarkEnd w:id="175"/>
    </w:p>
    <w:p w14:paraId="4E9259DB" w14:textId="77777777" w:rsidR="00B57E85" w:rsidRPr="00B57E85" w:rsidRDefault="00B57E85" w:rsidP="00D66738">
      <w:pPr>
        <w:pStyle w:val="ListParagraph"/>
        <w:keepNext/>
        <w:keepLines/>
        <w:numPr>
          <w:ilvl w:val="0"/>
          <w:numId w:val="121"/>
        </w:numPr>
        <w:spacing w:before="200"/>
        <w:jc w:val="both"/>
        <w:outlineLvl w:val="1"/>
        <w:rPr>
          <w:rFonts w:ascii="Calibri" w:eastAsiaTheme="majorEastAsia" w:hAnsi="Calibri" w:cstheme="majorBidi"/>
          <w:b/>
          <w:bCs/>
          <w:vanish/>
          <w:color w:val="1F497D" w:themeColor="text2"/>
          <w:sz w:val="26"/>
          <w:szCs w:val="26"/>
        </w:rPr>
      </w:pPr>
      <w:bookmarkStart w:id="176" w:name="_Toc479849944"/>
      <w:bookmarkStart w:id="177" w:name="_Toc479850088"/>
      <w:bookmarkStart w:id="178" w:name="_Toc479853557"/>
      <w:bookmarkStart w:id="179" w:name="_Toc479853712"/>
      <w:bookmarkStart w:id="180" w:name="_Toc479862431"/>
      <w:bookmarkStart w:id="181" w:name="_Toc479864076"/>
      <w:bookmarkStart w:id="182" w:name="_Toc479939856"/>
      <w:bookmarkStart w:id="183" w:name="_Toc479940181"/>
      <w:bookmarkStart w:id="184" w:name="_Toc479940804"/>
      <w:bookmarkEnd w:id="176"/>
      <w:bookmarkEnd w:id="177"/>
      <w:bookmarkEnd w:id="178"/>
      <w:bookmarkEnd w:id="179"/>
      <w:bookmarkEnd w:id="180"/>
      <w:bookmarkEnd w:id="181"/>
      <w:bookmarkEnd w:id="182"/>
      <w:bookmarkEnd w:id="183"/>
      <w:bookmarkEnd w:id="184"/>
    </w:p>
    <w:p w14:paraId="3856BA60" w14:textId="4748CAA1" w:rsidR="003949B7" w:rsidRPr="007A5850" w:rsidRDefault="00BA6839" w:rsidP="00D66738">
      <w:pPr>
        <w:pStyle w:val="Heading2"/>
        <w:numPr>
          <w:ilvl w:val="1"/>
          <w:numId w:val="149"/>
        </w:numPr>
        <w:ind w:left="0" w:firstLine="0"/>
        <w:jc w:val="both"/>
      </w:pPr>
      <w:bookmarkStart w:id="185" w:name="_Toc479940805"/>
      <w:r w:rsidRPr="007A5850">
        <w:t>Registration and reporting</w:t>
      </w:r>
      <w:bookmarkEnd w:id="106"/>
      <w:bookmarkEnd w:id="107"/>
      <w:bookmarkEnd w:id="185"/>
    </w:p>
    <w:p w14:paraId="7238D2D5" w14:textId="77777777" w:rsidR="003949B7" w:rsidRDefault="003949B7" w:rsidP="00D66738">
      <w:pPr>
        <w:jc w:val="both"/>
      </w:pPr>
      <w:r>
        <w:t>Requirements to register with and report information to state agencies form the core of red tape as commonly understood. These kinds of obligations arise from many laws and regulations because the state has an interest in identifying relevant businesses and knowing information about them, in particular for the purposes of:</w:t>
      </w:r>
    </w:p>
    <w:p w14:paraId="08FD2D0B" w14:textId="77777777" w:rsidR="003949B7" w:rsidRDefault="003949B7" w:rsidP="00D66738">
      <w:pPr>
        <w:pStyle w:val="ListParagraph"/>
        <w:numPr>
          <w:ilvl w:val="0"/>
          <w:numId w:val="68"/>
        </w:numPr>
        <w:jc w:val="both"/>
      </w:pPr>
      <w:r>
        <w:t>Determining legal status and liability in contracts,</w:t>
      </w:r>
    </w:p>
    <w:p w14:paraId="73B5B59E" w14:textId="77777777" w:rsidR="003949B7" w:rsidRDefault="003949B7" w:rsidP="00D66738">
      <w:pPr>
        <w:pStyle w:val="ListParagraph"/>
        <w:numPr>
          <w:ilvl w:val="0"/>
          <w:numId w:val="68"/>
        </w:numPr>
        <w:jc w:val="both"/>
      </w:pPr>
      <w:r>
        <w:t>Levying taxes and rates,</w:t>
      </w:r>
    </w:p>
    <w:p w14:paraId="1D055833" w14:textId="77777777" w:rsidR="003949B7" w:rsidRDefault="003949B7" w:rsidP="00D66738">
      <w:pPr>
        <w:pStyle w:val="ListParagraph"/>
        <w:numPr>
          <w:ilvl w:val="0"/>
          <w:numId w:val="68"/>
        </w:numPr>
        <w:jc w:val="both"/>
      </w:pPr>
      <w:r>
        <w:t>Providing targeted infrastructure and other services to businesses, and where relevant ensuring payment for them, and</w:t>
      </w:r>
    </w:p>
    <w:p w14:paraId="71156248" w14:textId="77777777" w:rsidR="003949B7" w:rsidRDefault="003949B7" w:rsidP="00D66738">
      <w:pPr>
        <w:jc w:val="both"/>
      </w:pPr>
      <w:r>
        <w:t>Ensuring adherence to standards, especially in terms of the environment, labour and consumer safety – in effect, in order to ensure internalisation of externalities for businesses.</w:t>
      </w:r>
    </w:p>
    <w:p w14:paraId="5C68687A" w14:textId="77777777" w:rsidR="003949B7" w:rsidRPr="00F209B7" w:rsidRDefault="003949B7" w:rsidP="00D66738">
      <w:pPr>
        <w:jc w:val="both"/>
      </w:pPr>
      <w:r w:rsidRPr="00F209B7">
        <w:t xml:space="preserve">This section focuses on three main groups of laws, which constitute the minimum to which all formal enterprises, irrespective of industry, have to conform. </w:t>
      </w:r>
      <w:r>
        <w:t>The areas are:</w:t>
      </w:r>
    </w:p>
    <w:p w14:paraId="2C7D07FB" w14:textId="77777777" w:rsidR="003949B7" w:rsidRPr="00F209B7" w:rsidRDefault="003949B7" w:rsidP="00D66738">
      <w:pPr>
        <w:pStyle w:val="ListParagraph"/>
        <w:numPr>
          <w:ilvl w:val="0"/>
          <w:numId w:val="69"/>
        </w:numPr>
        <w:jc w:val="both"/>
      </w:pPr>
      <w:r w:rsidRPr="00F209B7">
        <w:t xml:space="preserve">The Companies Act and the Cooperatives </w:t>
      </w:r>
      <w:r>
        <w:t xml:space="preserve">Development </w:t>
      </w:r>
      <w:r w:rsidRPr="00F209B7">
        <w:t>Act as administered by the Companies and Intellectual Property Commission (CIPC),</w:t>
      </w:r>
      <w:r>
        <w:t xml:space="preserve"> which falls under the Department of Trade and Industry (dti)</w:t>
      </w:r>
      <w:r w:rsidRPr="00F209B7">
        <w:t xml:space="preserve"> </w:t>
      </w:r>
    </w:p>
    <w:p w14:paraId="53A80518" w14:textId="77777777" w:rsidR="003949B7" w:rsidRPr="00F209B7" w:rsidRDefault="003949B7" w:rsidP="00D66738">
      <w:pPr>
        <w:pStyle w:val="ListParagraph"/>
        <w:numPr>
          <w:ilvl w:val="0"/>
          <w:numId w:val="69"/>
        </w:numPr>
        <w:jc w:val="both"/>
      </w:pPr>
      <w:r w:rsidRPr="00F209B7">
        <w:t>Tax legislation administered by the South African Revenue Services (SARS), and</w:t>
      </w:r>
    </w:p>
    <w:p w14:paraId="6FD84C8C" w14:textId="77777777" w:rsidR="003949B7" w:rsidRPr="00F209B7" w:rsidRDefault="003949B7" w:rsidP="00D66738">
      <w:pPr>
        <w:pStyle w:val="ListParagraph"/>
        <w:numPr>
          <w:ilvl w:val="0"/>
          <w:numId w:val="69"/>
        </w:numPr>
        <w:jc w:val="both"/>
      </w:pPr>
      <w:r w:rsidRPr="00F209B7">
        <w:t xml:space="preserve">Labour registration administered by the Department of Labour </w:t>
      </w:r>
      <w:r>
        <w:t>and its agencies.</w:t>
      </w:r>
    </w:p>
    <w:p w14:paraId="7538480A" w14:textId="77777777" w:rsidR="009E742D" w:rsidRPr="009E742D" w:rsidRDefault="009E742D" w:rsidP="00D66738">
      <w:pPr>
        <w:pStyle w:val="ListParagraph"/>
        <w:keepNext/>
        <w:keepLines/>
        <w:numPr>
          <w:ilvl w:val="0"/>
          <w:numId w:val="59"/>
        </w:numPr>
        <w:spacing w:before="200"/>
        <w:jc w:val="both"/>
        <w:outlineLvl w:val="2"/>
        <w:rPr>
          <w:rFonts w:asciiTheme="majorHAnsi" w:eastAsia="Calibri" w:hAnsiTheme="majorHAnsi" w:cstheme="majorBidi"/>
          <w:b/>
          <w:bCs/>
          <w:vanish/>
          <w:color w:val="4F81BD" w:themeColor="accent1"/>
        </w:rPr>
      </w:pPr>
      <w:bookmarkStart w:id="186" w:name="_Toc479844746"/>
      <w:bookmarkStart w:id="187" w:name="_Toc479844867"/>
      <w:bookmarkStart w:id="188" w:name="_Toc479844988"/>
      <w:bookmarkStart w:id="189" w:name="_Toc479845109"/>
      <w:bookmarkStart w:id="190" w:name="_Toc479845246"/>
      <w:bookmarkStart w:id="191" w:name="_Toc479845367"/>
      <w:bookmarkStart w:id="192" w:name="_Toc479846005"/>
      <w:bookmarkStart w:id="193" w:name="_Toc479846217"/>
      <w:bookmarkStart w:id="194" w:name="_Toc479846340"/>
      <w:bookmarkStart w:id="195" w:name="_Toc479846463"/>
      <w:bookmarkStart w:id="196" w:name="_Toc479846586"/>
      <w:bookmarkStart w:id="197" w:name="_Toc479846709"/>
      <w:bookmarkStart w:id="198" w:name="_Toc479846832"/>
      <w:bookmarkStart w:id="199" w:name="_Toc479849488"/>
      <w:bookmarkStart w:id="200" w:name="_Toc479849946"/>
      <w:bookmarkStart w:id="201" w:name="_Toc479850090"/>
      <w:bookmarkStart w:id="202" w:name="_Toc479853559"/>
      <w:bookmarkStart w:id="203" w:name="_Toc479853714"/>
      <w:bookmarkStart w:id="204" w:name="_Toc479862433"/>
      <w:bookmarkStart w:id="205" w:name="_Toc479864078"/>
      <w:bookmarkStart w:id="206" w:name="_Toc479939858"/>
      <w:bookmarkStart w:id="207" w:name="_Toc479940183"/>
      <w:bookmarkStart w:id="208" w:name="_Toc479940806"/>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5EB3FBE" w14:textId="77777777" w:rsidR="009E742D" w:rsidRPr="009E742D" w:rsidRDefault="009E742D" w:rsidP="00D66738">
      <w:pPr>
        <w:pStyle w:val="ListParagraph"/>
        <w:keepNext/>
        <w:keepLines/>
        <w:numPr>
          <w:ilvl w:val="0"/>
          <w:numId w:val="59"/>
        </w:numPr>
        <w:spacing w:before="200"/>
        <w:jc w:val="both"/>
        <w:outlineLvl w:val="2"/>
        <w:rPr>
          <w:rFonts w:asciiTheme="majorHAnsi" w:eastAsia="Calibri" w:hAnsiTheme="majorHAnsi" w:cstheme="majorBidi"/>
          <w:b/>
          <w:bCs/>
          <w:vanish/>
          <w:color w:val="4F81BD" w:themeColor="accent1"/>
        </w:rPr>
      </w:pPr>
      <w:bookmarkStart w:id="209" w:name="_Toc479844747"/>
      <w:bookmarkStart w:id="210" w:name="_Toc479844868"/>
      <w:bookmarkStart w:id="211" w:name="_Toc479844989"/>
      <w:bookmarkStart w:id="212" w:name="_Toc479845110"/>
      <w:bookmarkStart w:id="213" w:name="_Toc479845247"/>
      <w:bookmarkStart w:id="214" w:name="_Toc479845368"/>
      <w:bookmarkStart w:id="215" w:name="_Toc479846006"/>
      <w:bookmarkStart w:id="216" w:name="_Toc479846218"/>
      <w:bookmarkStart w:id="217" w:name="_Toc479846341"/>
      <w:bookmarkStart w:id="218" w:name="_Toc479846464"/>
      <w:bookmarkStart w:id="219" w:name="_Toc479846587"/>
      <w:bookmarkStart w:id="220" w:name="_Toc479846710"/>
      <w:bookmarkStart w:id="221" w:name="_Toc479846833"/>
      <w:bookmarkStart w:id="222" w:name="_Toc479849489"/>
      <w:bookmarkStart w:id="223" w:name="_Toc479849947"/>
      <w:bookmarkStart w:id="224" w:name="_Toc479850091"/>
      <w:bookmarkStart w:id="225" w:name="_Toc479853560"/>
      <w:bookmarkStart w:id="226" w:name="_Toc479853715"/>
      <w:bookmarkStart w:id="227" w:name="_Toc479862434"/>
      <w:bookmarkStart w:id="228" w:name="_Toc479864079"/>
      <w:bookmarkStart w:id="229" w:name="_Toc479939859"/>
      <w:bookmarkStart w:id="230" w:name="_Toc479940184"/>
      <w:bookmarkStart w:id="231" w:name="_Toc47994080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4E3D3C9" w14:textId="77777777" w:rsidR="009E742D" w:rsidRPr="009E742D" w:rsidRDefault="009E742D" w:rsidP="00D66738">
      <w:pPr>
        <w:pStyle w:val="ListParagraph"/>
        <w:keepNext/>
        <w:keepLines/>
        <w:numPr>
          <w:ilvl w:val="0"/>
          <w:numId w:val="59"/>
        </w:numPr>
        <w:spacing w:before="200"/>
        <w:jc w:val="both"/>
        <w:outlineLvl w:val="2"/>
        <w:rPr>
          <w:rFonts w:asciiTheme="majorHAnsi" w:eastAsia="Calibri" w:hAnsiTheme="majorHAnsi" w:cstheme="majorBidi"/>
          <w:b/>
          <w:bCs/>
          <w:vanish/>
          <w:color w:val="4F81BD" w:themeColor="accent1"/>
        </w:rPr>
      </w:pPr>
      <w:bookmarkStart w:id="232" w:name="_Toc479844748"/>
      <w:bookmarkStart w:id="233" w:name="_Toc479844869"/>
      <w:bookmarkStart w:id="234" w:name="_Toc479844990"/>
      <w:bookmarkStart w:id="235" w:name="_Toc479845111"/>
      <w:bookmarkStart w:id="236" w:name="_Toc479845248"/>
      <w:bookmarkStart w:id="237" w:name="_Toc479845369"/>
      <w:bookmarkStart w:id="238" w:name="_Toc479846007"/>
      <w:bookmarkStart w:id="239" w:name="_Toc479846219"/>
      <w:bookmarkStart w:id="240" w:name="_Toc479846342"/>
      <w:bookmarkStart w:id="241" w:name="_Toc479846465"/>
      <w:bookmarkStart w:id="242" w:name="_Toc479846588"/>
      <w:bookmarkStart w:id="243" w:name="_Toc479846711"/>
      <w:bookmarkStart w:id="244" w:name="_Toc479846834"/>
      <w:bookmarkStart w:id="245" w:name="_Toc479849490"/>
      <w:bookmarkStart w:id="246" w:name="_Toc479849948"/>
      <w:bookmarkStart w:id="247" w:name="_Toc479850092"/>
      <w:bookmarkStart w:id="248" w:name="_Toc479853561"/>
      <w:bookmarkStart w:id="249" w:name="_Toc479853716"/>
      <w:bookmarkStart w:id="250" w:name="_Toc479862435"/>
      <w:bookmarkStart w:id="251" w:name="_Toc479864080"/>
      <w:bookmarkStart w:id="252" w:name="_Toc479939860"/>
      <w:bookmarkStart w:id="253" w:name="_Toc479940185"/>
      <w:bookmarkStart w:id="254" w:name="_Toc47994080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24720D4" w14:textId="77777777" w:rsidR="009E742D" w:rsidRPr="009E742D" w:rsidRDefault="009E742D" w:rsidP="00D66738">
      <w:pPr>
        <w:pStyle w:val="ListParagraph"/>
        <w:keepNext/>
        <w:keepLines/>
        <w:numPr>
          <w:ilvl w:val="1"/>
          <w:numId w:val="59"/>
        </w:numPr>
        <w:spacing w:before="200"/>
        <w:jc w:val="both"/>
        <w:outlineLvl w:val="2"/>
        <w:rPr>
          <w:rFonts w:asciiTheme="majorHAnsi" w:eastAsia="Calibri" w:hAnsiTheme="majorHAnsi" w:cstheme="majorBidi"/>
          <w:b/>
          <w:bCs/>
          <w:vanish/>
          <w:color w:val="4F81BD" w:themeColor="accent1"/>
        </w:rPr>
      </w:pPr>
      <w:bookmarkStart w:id="255" w:name="_Toc479844749"/>
      <w:bookmarkStart w:id="256" w:name="_Toc479844870"/>
      <w:bookmarkStart w:id="257" w:name="_Toc479844991"/>
      <w:bookmarkStart w:id="258" w:name="_Toc479845112"/>
      <w:bookmarkStart w:id="259" w:name="_Toc479845249"/>
      <w:bookmarkStart w:id="260" w:name="_Toc479845370"/>
      <w:bookmarkStart w:id="261" w:name="_Toc479846008"/>
      <w:bookmarkStart w:id="262" w:name="_Toc479846220"/>
      <w:bookmarkStart w:id="263" w:name="_Toc479846343"/>
      <w:bookmarkStart w:id="264" w:name="_Toc479846466"/>
      <w:bookmarkStart w:id="265" w:name="_Toc479846589"/>
      <w:bookmarkStart w:id="266" w:name="_Toc479846712"/>
      <w:bookmarkStart w:id="267" w:name="_Toc479846835"/>
      <w:bookmarkStart w:id="268" w:name="_Toc479849491"/>
      <w:bookmarkStart w:id="269" w:name="_Toc479849949"/>
      <w:bookmarkStart w:id="270" w:name="_Toc479850093"/>
      <w:bookmarkStart w:id="271" w:name="_Toc479853562"/>
      <w:bookmarkStart w:id="272" w:name="_Toc479853717"/>
      <w:bookmarkStart w:id="273" w:name="_Toc479862436"/>
      <w:bookmarkStart w:id="274" w:name="_Toc479864081"/>
      <w:bookmarkStart w:id="275" w:name="_Toc479939861"/>
      <w:bookmarkStart w:id="276" w:name="_Toc479940186"/>
      <w:bookmarkStart w:id="277" w:name="_Toc479940809"/>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6BBDE7C1" w14:textId="77777777" w:rsidR="004248A8" w:rsidRPr="004248A8" w:rsidRDefault="004248A8" w:rsidP="00D66738">
      <w:pPr>
        <w:pStyle w:val="ListParagraph"/>
        <w:keepNext/>
        <w:keepLines/>
        <w:numPr>
          <w:ilvl w:val="0"/>
          <w:numId w:val="117"/>
        </w:numPr>
        <w:spacing w:before="200"/>
        <w:jc w:val="both"/>
        <w:outlineLvl w:val="2"/>
        <w:rPr>
          <w:rFonts w:asciiTheme="majorHAnsi" w:eastAsiaTheme="majorEastAsia" w:hAnsiTheme="majorHAnsi" w:cstheme="majorBidi"/>
          <w:b/>
          <w:bCs/>
          <w:vanish/>
          <w:color w:val="4F81BD" w:themeColor="accent1"/>
        </w:rPr>
      </w:pPr>
      <w:bookmarkStart w:id="278" w:name="_Toc479849492"/>
      <w:bookmarkStart w:id="279" w:name="_Toc479849950"/>
      <w:bookmarkStart w:id="280" w:name="_Toc479850094"/>
      <w:bookmarkStart w:id="281" w:name="_Toc479853563"/>
      <w:bookmarkStart w:id="282" w:name="_Toc479853718"/>
      <w:bookmarkStart w:id="283" w:name="_Toc479862437"/>
      <w:bookmarkStart w:id="284" w:name="_Toc479864082"/>
      <w:bookmarkStart w:id="285" w:name="_Toc479939862"/>
      <w:bookmarkStart w:id="286" w:name="_Toc479940187"/>
      <w:bookmarkStart w:id="287" w:name="_Toc479940810"/>
      <w:bookmarkStart w:id="288" w:name="_Toc479844500"/>
      <w:bookmarkEnd w:id="278"/>
      <w:bookmarkEnd w:id="279"/>
      <w:bookmarkEnd w:id="280"/>
      <w:bookmarkEnd w:id="281"/>
      <w:bookmarkEnd w:id="282"/>
      <w:bookmarkEnd w:id="283"/>
      <w:bookmarkEnd w:id="284"/>
      <w:bookmarkEnd w:id="285"/>
      <w:bookmarkEnd w:id="286"/>
      <w:bookmarkEnd w:id="287"/>
    </w:p>
    <w:p w14:paraId="536659C3" w14:textId="77777777" w:rsidR="004248A8" w:rsidRPr="004248A8" w:rsidRDefault="004248A8" w:rsidP="00D66738">
      <w:pPr>
        <w:pStyle w:val="ListParagraph"/>
        <w:keepNext/>
        <w:keepLines/>
        <w:numPr>
          <w:ilvl w:val="0"/>
          <w:numId w:val="117"/>
        </w:numPr>
        <w:spacing w:before="200"/>
        <w:jc w:val="both"/>
        <w:outlineLvl w:val="2"/>
        <w:rPr>
          <w:rFonts w:asciiTheme="majorHAnsi" w:eastAsiaTheme="majorEastAsia" w:hAnsiTheme="majorHAnsi" w:cstheme="majorBidi"/>
          <w:b/>
          <w:bCs/>
          <w:vanish/>
          <w:color w:val="4F81BD" w:themeColor="accent1"/>
        </w:rPr>
      </w:pPr>
      <w:bookmarkStart w:id="289" w:name="_Toc479849493"/>
      <w:bookmarkStart w:id="290" w:name="_Toc479849951"/>
      <w:bookmarkStart w:id="291" w:name="_Toc479850095"/>
      <w:bookmarkStart w:id="292" w:name="_Toc479853564"/>
      <w:bookmarkStart w:id="293" w:name="_Toc479853719"/>
      <w:bookmarkStart w:id="294" w:name="_Toc479862438"/>
      <w:bookmarkStart w:id="295" w:name="_Toc479864083"/>
      <w:bookmarkStart w:id="296" w:name="_Toc479939863"/>
      <w:bookmarkStart w:id="297" w:name="_Toc479940188"/>
      <w:bookmarkStart w:id="298" w:name="_Toc479940811"/>
      <w:bookmarkEnd w:id="289"/>
      <w:bookmarkEnd w:id="290"/>
      <w:bookmarkEnd w:id="291"/>
      <w:bookmarkEnd w:id="292"/>
      <w:bookmarkEnd w:id="293"/>
      <w:bookmarkEnd w:id="294"/>
      <w:bookmarkEnd w:id="295"/>
      <w:bookmarkEnd w:id="296"/>
      <w:bookmarkEnd w:id="297"/>
      <w:bookmarkEnd w:id="298"/>
    </w:p>
    <w:p w14:paraId="293ADABF" w14:textId="77777777" w:rsidR="004248A8" w:rsidRPr="004248A8" w:rsidRDefault="004248A8" w:rsidP="00D66738">
      <w:pPr>
        <w:pStyle w:val="ListParagraph"/>
        <w:keepNext/>
        <w:keepLines/>
        <w:numPr>
          <w:ilvl w:val="0"/>
          <w:numId w:val="117"/>
        </w:numPr>
        <w:spacing w:before="200"/>
        <w:jc w:val="both"/>
        <w:outlineLvl w:val="2"/>
        <w:rPr>
          <w:rFonts w:asciiTheme="majorHAnsi" w:eastAsiaTheme="majorEastAsia" w:hAnsiTheme="majorHAnsi" w:cstheme="majorBidi"/>
          <w:b/>
          <w:bCs/>
          <w:vanish/>
          <w:color w:val="4F81BD" w:themeColor="accent1"/>
        </w:rPr>
      </w:pPr>
      <w:bookmarkStart w:id="299" w:name="_Toc479849494"/>
      <w:bookmarkStart w:id="300" w:name="_Toc479849952"/>
      <w:bookmarkStart w:id="301" w:name="_Toc479850096"/>
      <w:bookmarkStart w:id="302" w:name="_Toc479853565"/>
      <w:bookmarkStart w:id="303" w:name="_Toc479853720"/>
      <w:bookmarkStart w:id="304" w:name="_Toc479862439"/>
      <w:bookmarkStart w:id="305" w:name="_Toc479864084"/>
      <w:bookmarkStart w:id="306" w:name="_Toc479939864"/>
      <w:bookmarkStart w:id="307" w:name="_Toc479940189"/>
      <w:bookmarkStart w:id="308" w:name="_Toc479940812"/>
      <w:bookmarkEnd w:id="299"/>
      <w:bookmarkEnd w:id="300"/>
      <w:bookmarkEnd w:id="301"/>
      <w:bookmarkEnd w:id="302"/>
      <w:bookmarkEnd w:id="303"/>
      <w:bookmarkEnd w:id="304"/>
      <w:bookmarkEnd w:id="305"/>
      <w:bookmarkEnd w:id="306"/>
      <w:bookmarkEnd w:id="307"/>
      <w:bookmarkEnd w:id="308"/>
    </w:p>
    <w:p w14:paraId="1954E0F8" w14:textId="77777777" w:rsidR="004248A8" w:rsidRPr="004248A8" w:rsidRDefault="004248A8" w:rsidP="00D66738">
      <w:pPr>
        <w:pStyle w:val="ListParagraph"/>
        <w:keepNext/>
        <w:keepLines/>
        <w:numPr>
          <w:ilvl w:val="1"/>
          <w:numId w:val="117"/>
        </w:numPr>
        <w:spacing w:before="200"/>
        <w:jc w:val="both"/>
        <w:outlineLvl w:val="2"/>
        <w:rPr>
          <w:rFonts w:asciiTheme="majorHAnsi" w:eastAsiaTheme="majorEastAsia" w:hAnsiTheme="majorHAnsi" w:cstheme="majorBidi"/>
          <w:b/>
          <w:bCs/>
          <w:vanish/>
          <w:color w:val="4F81BD" w:themeColor="accent1"/>
        </w:rPr>
      </w:pPr>
      <w:bookmarkStart w:id="309" w:name="_Toc479849495"/>
      <w:bookmarkStart w:id="310" w:name="_Toc479849953"/>
      <w:bookmarkStart w:id="311" w:name="_Toc479850097"/>
      <w:bookmarkStart w:id="312" w:name="_Toc479853566"/>
      <w:bookmarkStart w:id="313" w:name="_Toc479853721"/>
      <w:bookmarkStart w:id="314" w:name="_Toc479862440"/>
      <w:bookmarkStart w:id="315" w:name="_Toc479864085"/>
      <w:bookmarkStart w:id="316" w:name="_Toc479939865"/>
      <w:bookmarkStart w:id="317" w:name="_Toc479940190"/>
      <w:bookmarkStart w:id="318" w:name="_Toc479940813"/>
      <w:bookmarkEnd w:id="309"/>
      <w:bookmarkEnd w:id="310"/>
      <w:bookmarkEnd w:id="311"/>
      <w:bookmarkEnd w:id="312"/>
      <w:bookmarkEnd w:id="313"/>
      <w:bookmarkEnd w:id="314"/>
      <w:bookmarkEnd w:id="315"/>
      <w:bookmarkEnd w:id="316"/>
      <w:bookmarkEnd w:id="317"/>
      <w:bookmarkEnd w:id="318"/>
    </w:p>
    <w:p w14:paraId="11048B51" w14:textId="77777777" w:rsidR="00B57E85" w:rsidRPr="00B57E85" w:rsidRDefault="00B57E85" w:rsidP="00D66738">
      <w:pPr>
        <w:pStyle w:val="ListParagraph"/>
        <w:keepNext/>
        <w:keepLines/>
        <w:numPr>
          <w:ilvl w:val="0"/>
          <w:numId w:val="122"/>
        </w:numPr>
        <w:spacing w:before="200"/>
        <w:jc w:val="both"/>
        <w:outlineLvl w:val="2"/>
        <w:rPr>
          <w:rFonts w:asciiTheme="majorHAnsi" w:eastAsiaTheme="majorEastAsia" w:hAnsiTheme="majorHAnsi" w:cstheme="majorBidi"/>
          <w:b/>
          <w:bCs/>
          <w:vanish/>
          <w:color w:val="1F497D" w:themeColor="text2"/>
        </w:rPr>
      </w:pPr>
      <w:bookmarkStart w:id="319" w:name="_Toc479849954"/>
      <w:bookmarkStart w:id="320" w:name="_Toc479850098"/>
      <w:bookmarkStart w:id="321" w:name="_Toc479853567"/>
      <w:bookmarkStart w:id="322" w:name="_Toc479853722"/>
      <w:bookmarkStart w:id="323" w:name="_Toc479862441"/>
      <w:bookmarkStart w:id="324" w:name="_Toc479864086"/>
      <w:bookmarkStart w:id="325" w:name="_Toc479939866"/>
      <w:bookmarkStart w:id="326" w:name="_Toc479940191"/>
      <w:bookmarkStart w:id="327" w:name="_Toc479940814"/>
      <w:bookmarkEnd w:id="319"/>
      <w:bookmarkEnd w:id="320"/>
      <w:bookmarkEnd w:id="321"/>
      <w:bookmarkEnd w:id="322"/>
      <w:bookmarkEnd w:id="323"/>
      <w:bookmarkEnd w:id="324"/>
      <w:bookmarkEnd w:id="325"/>
      <w:bookmarkEnd w:id="326"/>
      <w:bookmarkEnd w:id="327"/>
    </w:p>
    <w:p w14:paraId="0FA7CAE7" w14:textId="77777777" w:rsidR="00B57E85" w:rsidRPr="00B57E85" w:rsidRDefault="00B57E85" w:rsidP="00D66738">
      <w:pPr>
        <w:pStyle w:val="ListParagraph"/>
        <w:keepNext/>
        <w:keepLines/>
        <w:numPr>
          <w:ilvl w:val="0"/>
          <w:numId w:val="122"/>
        </w:numPr>
        <w:spacing w:before="200"/>
        <w:jc w:val="both"/>
        <w:outlineLvl w:val="2"/>
        <w:rPr>
          <w:rFonts w:asciiTheme="majorHAnsi" w:eastAsiaTheme="majorEastAsia" w:hAnsiTheme="majorHAnsi" w:cstheme="majorBidi"/>
          <w:b/>
          <w:bCs/>
          <w:vanish/>
          <w:color w:val="1F497D" w:themeColor="text2"/>
        </w:rPr>
      </w:pPr>
      <w:bookmarkStart w:id="328" w:name="_Toc479849955"/>
      <w:bookmarkStart w:id="329" w:name="_Toc479850099"/>
      <w:bookmarkStart w:id="330" w:name="_Toc479853568"/>
      <w:bookmarkStart w:id="331" w:name="_Toc479853723"/>
      <w:bookmarkStart w:id="332" w:name="_Toc479862442"/>
      <w:bookmarkStart w:id="333" w:name="_Toc479864087"/>
      <w:bookmarkStart w:id="334" w:name="_Toc479939867"/>
      <w:bookmarkStart w:id="335" w:name="_Toc479940192"/>
      <w:bookmarkStart w:id="336" w:name="_Toc479940815"/>
      <w:bookmarkEnd w:id="328"/>
      <w:bookmarkEnd w:id="329"/>
      <w:bookmarkEnd w:id="330"/>
      <w:bookmarkEnd w:id="331"/>
      <w:bookmarkEnd w:id="332"/>
      <w:bookmarkEnd w:id="333"/>
      <w:bookmarkEnd w:id="334"/>
      <w:bookmarkEnd w:id="335"/>
      <w:bookmarkEnd w:id="336"/>
    </w:p>
    <w:p w14:paraId="63B8E9C6" w14:textId="77777777" w:rsidR="00B57E85" w:rsidRPr="00B57E85" w:rsidRDefault="00B57E85" w:rsidP="00D66738">
      <w:pPr>
        <w:pStyle w:val="ListParagraph"/>
        <w:keepNext/>
        <w:keepLines/>
        <w:numPr>
          <w:ilvl w:val="0"/>
          <w:numId w:val="122"/>
        </w:numPr>
        <w:spacing w:before="200"/>
        <w:jc w:val="both"/>
        <w:outlineLvl w:val="2"/>
        <w:rPr>
          <w:rFonts w:asciiTheme="majorHAnsi" w:eastAsiaTheme="majorEastAsia" w:hAnsiTheme="majorHAnsi" w:cstheme="majorBidi"/>
          <w:b/>
          <w:bCs/>
          <w:vanish/>
          <w:color w:val="1F497D" w:themeColor="text2"/>
        </w:rPr>
      </w:pPr>
      <w:bookmarkStart w:id="337" w:name="_Toc479849956"/>
      <w:bookmarkStart w:id="338" w:name="_Toc479850100"/>
      <w:bookmarkStart w:id="339" w:name="_Toc479853569"/>
      <w:bookmarkStart w:id="340" w:name="_Toc479853724"/>
      <w:bookmarkStart w:id="341" w:name="_Toc479862443"/>
      <w:bookmarkStart w:id="342" w:name="_Toc479864088"/>
      <w:bookmarkStart w:id="343" w:name="_Toc479939868"/>
      <w:bookmarkStart w:id="344" w:name="_Toc479940193"/>
      <w:bookmarkStart w:id="345" w:name="_Toc479940816"/>
      <w:bookmarkEnd w:id="337"/>
      <w:bookmarkEnd w:id="338"/>
      <w:bookmarkEnd w:id="339"/>
      <w:bookmarkEnd w:id="340"/>
      <w:bookmarkEnd w:id="341"/>
      <w:bookmarkEnd w:id="342"/>
      <w:bookmarkEnd w:id="343"/>
      <w:bookmarkEnd w:id="344"/>
      <w:bookmarkEnd w:id="345"/>
    </w:p>
    <w:p w14:paraId="72BC4025" w14:textId="77777777" w:rsidR="00B57E85" w:rsidRPr="00B57E85" w:rsidRDefault="00B57E85" w:rsidP="00D66738">
      <w:pPr>
        <w:pStyle w:val="ListParagraph"/>
        <w:keepNext/>
        <w:keepLines/>
        <w:numPr>
          <w:ilvl w:val="1"/>
          <w:numId w:val="122"/>
        </w:numPr>
        <w:spacing w:before="200"/>
        <w:jc w:val="both"/>
        <w:outlineLvl w:val="2"/>
        <w:rPr>
          <w:rFonts w:asciiTheme="majorHAnsi" w:eastAsiaTheme="majorEastAsia" w:hAnsiTheme="majorHAnsi" w:cstheme="majorBidi"/>
          <w:b/>
          <w:bCs/>
          <w:vanish/>
          <w:color w:val="1F497D" w:themeColor="text2"/>
        </w:rPr>
      </w:pPr>
      <w:bookmarkStart w:id="346" w:name="_Toc479849957"/>
      <w:bookmarkStart w:id="347" w:name="_Toc479850101"/>
      <w:bookmarkStart w:id="348" w:name="_Toc479853570"/>
      <w:bookmarkStart w:id="349" w:name="_Toc479853725"/>
      <w:bookmarkStart w:id="350" w:name="_Toc479862444"/>
      <w:bookmarkStart w:id="351" w:name="_Toc479864089"/>
      <w:bookmarkStart w:id="352" w:name="_Toc479939869"/>
      <w:bookmarkStart w:id="353" w:name="_Toc479940194"/>
      <w:bookmarkStart w:id="354" w:name="_Toc479940817"/>
      <w:bookmarkEnd w:id="346"/>
      <w:bookmarkEnd w:id="347"/>
      <w:bookmarkEnd w:id="348"/>
      <w:bookmarkEnd w:id="349"/>
      <w:bookmarkEnd w:id="350"/>
      <w:bookmarkEnd w:id="351"/>
      <w:bookmarkEnd w:id="352"/>
      <w:bookmarkEnd w:id="353"/>
      <w:bookmarkEnd w:id="354"/>
    </w:p>
    <w:p w14:paraId="57FD871A" w14:textId="47ED394E" w:rsidR="003949B7" w:rsidRPr="00B57E85" w:rsidRDefault="003949B7" w:rsidP="00D66738">
      <w:pPr>
        <w:pStyle w:val="Heading3"/>
        <w:numPr>
          <w:ilvl w:val="2"/>
          <w:numId w:val="150"/>
        </w:numPr>
        <w:ind w:left="0" w:firstLine="0"/>
        <w:jc w:val="both"/>
      </w:pPr>
      <w:bookmarkStart w:id="355" w:name="_Toc479940818"/>
      <w:r w:rsidRPr="00B57E85">
        <w:t>Company and co-operatives registration</w:t>
      </w:r>
      <w:bookmarkEnd w:id="288"/>
      <w:bookmarkEnd w:id="355"/>
    </w:p>
    <w:p w14:paraId="3434CE08" w14:textId="77777777" w:rsidR="003949B7" w:rsidRDefault="003949B7" w:rsidP="00D66738">
      <w:pPr>
        <w:jc w:val="both"/>
      </w:pPr>
      <w:r>
        <w:t>The two most significant issues that emerged from the analysis of burdens pertaining to company and cooperatives registration were:</w:t>
      </w:r>
    </w:p>
    <w:p w14:paraId="68D0DDB9" w14:textId="77777777" w:rsidR="003949B7" w:rsidRDefault="003949B7" w:rsidP="00D66738">
      <w:pPr>
        <w:pStyle w:val="ListParagraph"/>
        <w:numPr>
          <w:ilvl w:val="0"/>
          <w:numId w:val="70"/>
        </w:numPr>
        <w:jc w:val="both"/>
      </w:pPr>
      <w:r>
        <w:t>Annual Returns for companies, and</w:t>
      </w:r>
    </w:p>
    <w:p w14:paraId="2FD6F3BA" w14:textId="77777777" w:rsidR="003949B7" w:rsidRDefault="003949B7" w:rsidP="00D66738">
      <w:pPr>
        <w:pStyle w:val="ListParagraph"/>
        <w:numPr>
          <w:ilvl w:val="0"/>
          <w:numId w:val="70"/>
        </w:numPr>
        <w:jc w:val="both"/>
      </w:pPr>
      <w:r>
        <w:t>Compulsory audits for cooperatives.</w:t>
      </w:r>
    </w:p>
    <w:p w14:paraId="6450E12A" w14:textId="77777777" w:rsidR="003949B7" w:rsidRDefault="003949B7" w:rsidP="00D66738">
      <w:pPr>
        <w:jc w:val="both"/>
      </w:pPr>
      <w:r>
        <w:t xml:space="preserve">Small businesses argue that the Annual Returns required by the CIPC are onerous because they do not have a fixed date, but must be filed on the anniversary of a company’s original registration; include information that is also covered in tax returns; and can lead to deregistration if the relevant deadlines are missed. </w:t>
      </w:r>
    </w:p>
    <w:p w14:paraId="0DDAE3C0" w14:textId="2A446D1D" w:rsidR="003949B7" w:rsidRDefault="003949B7" w:rsidP="00D66738">
      <w:pPr>
        <w:jc w:val="both"/>
      </w:pPr>
      <w:r>
        <w:lastRenderedPageBreak/>
        <w:t xml:space="preserve">The CIPC argues that Annual Returns are important for ensuring good governance of registered companies. In addition, although fees from annual returns are not particularly high, taken together they contribute just over half of the CIPC’s budget. </w:t>
      </w:r>
    </w:p>
    <w:p w14:paraId="41082580" w14:textId="77777777" w:rsidR="009F7FD9" w:rsidRDefault="003949B7" w:rsidP="00D66738">
      <w:pPr>
        <w:jc w:val="both"/>
      </w:pPr>
      <w:r>
        <w:t xml:space="preserve">Assessment of the costs, benefits and risks of various possibilities for reducing the regulatory burden of Annual Returns indicates that the preferred option is to integrate CIPC Annual Returns with SARS. </w:t>
      </w:r>
    </w:p>
    <w:p w14:paraId="215FE7E9" w14:textId="32D47677" w:rsidR="003949B7" w:rsidRDefault="003949B7" w:rsidP="00D66738">
      <w:pPr>
        <w:jc w:val="both"/>
      </w:pPr>
      <w:r>
        <w:t>The</w:t>
      </w:r>
      <w:r w:rsidR="009F7FD9">
        <w:t xml:space="preserve">re is an overlap between </w:t>
      </w:r>
      <w:r>
        <w:t xml:space="preserve">CIPC </w:t>
      </w:r>
      <w:r w:rsidR="009F7FD9">
        <w:t>and SARS</w:t>
      </w:r>
      <w:r w:rsidR="003C181B">
        <w:t xml:space="preserve"> reporting</w:t>
      </w:r>
      <w:r w:rsidR="009F7FD9">
        <w:t xml:space="preserve"> requirements for certain types of businesses, therefore there is a strong case for integration</w:t>
      </w:r>
      <w:r w:rsidR="003C181B">
        <w:t xml:space="preserve">, which will </w:t>
      </w:r>
      <w:r>
        <w:t>not undermine indicators of sound corporate governance</w:t>
      </w:r>
      <w:r w:rsidR="003C181B">
        <w:t xml:space="preserve"> in reporting businesses</w:t>
      </w:r>
      <w:r>
        <w:t xml:space="preserve">. The fees for the Annual Returns could be levied as part of normal tax assessment and then transferred to the CIPC. </w:t>
      </w:r>
    </w:p>
    <w:p w14:paraId="7750A118" w14:textId="77777777" w:rsidR="003949B7" w:rsidRDefault="003949B7" w:rsidP="00D66738">
      <w:pPr>
        <w:jc w:val="both"/>
      </w:pPr>
      <w:r>
        <w:t xml:space="preserve">The main challenge is that both SARS and the CIPC have capacity constraints in maintaining their databases. It would be important to manage and fund the transfer to the new system and the interface between SARS and the CIPC in order to secure both CIPC revenues and the integrity of the registry. The cost of the transfer should be assessed before finalisation of the proposed reform. </w:t>
      </w:r>
    </w:p>
    <w:p w14:paraId="6B41128C" w14:textId="0A56DC9C" w:rsidR="003949B7" w:rsidRDefault="003949B7" w:rsidP="00D66738">
      <w:pPr>
        <w:jc w:val="both"/>
      </w:pPr>
      <w:r>
        <w:t xml:space="preserve">Under this proposal, inactive or dormant companies would still file their Annual Returns with </w:t>
      </w:r>
      <w:proofErr w:type="gramStart"/>
      <w:r>
        <w:t>CIPC, since</w:t>
      </w:r>
      <w:proofErr w:type="gramEnd"/>
      <w:r>
        <w:t xml:space="preserve"> they do not pay tax. They would have to provide evidence of dormancy (such as a bank statement with no transactions) and could be enabled to file Annual Returns </w:t>
      </w:r>
      <w:r w:rsidR="003C181B">
        <w:t xml:space="preserve">free or </w:t>
      </w:r>
      <w:r>
        <w:t>at a minimal fee.</w:t>
      </w:r>
    </w:p>
    <w:p w14:paraId="3A71763A" w14:textId="075DE0DD" w:rsidR="003949B7" w:rsidRDefault="003949B7" w:rsidP="00D66738">
      <w:pPr>
        <w:jc w:val="both"/>
      </w:pPr>
      <w:r>
        <w:t>A second challenge around CIPC</w:t>
      </w:r>
      <w:r w:rsidR="003C181B">
        <w:t xml:space="preserve"> reporting</w:t>
      </w:r>
      <w:r>
        <w:t xml:space="preserve"> is that under the Co-operatives Development Act, most co-ops are required to submit audited financial statements. That imposes a considerable expense, which does not apply to any other small enterprise. This is in contrast to the Company’s Act which has specified thresholds over which enterprises are required to submit audited annual financial statements. The Cooperatives Act permits exemptions where the cost of audits would be prohibitive, but no detailed guidelines have been provided. </w:t>
      </w:r>
    </w:p>
    <w:p w14:paraId="2DD1622B" w14:textId="77777777" w:rsidR="003949B7" w:rsidRDefault="003949B7" w:rsidP="00D66738">
      <w:pPr>
        <w:jc w:val="both"/>
      </w:pPr>
      <w:r>
        <w:t>The analysis found that the preferred option to reduce the burden on co-ops would be:</w:t>
      </w:r>
    </w:p>
    <w:p w14:paraId="54AFCFF4" w14:textId="77777777" w:rsidR="003949B7" w:rsidRDefault="003949B7" w:rsidP="00D66738">
      <w:pPr>
        <w:pStyle w:val="ListParagraph"/>
        <w:numPr>
          <w:ilvl w:val="0"/>
          <w:numId w:val="66"/>
        </w:numPr>
        <w:jc w:val="both"/>
      </w:pPr>
      <w:r>
        <w:t xml:space="preserve">To clarify the exemption criteria, </w:t>
      </w:r>
    </w:p>
    <w:p w14:paraId="77C9B6A7" w14:textId="76C5AECB" w:rsidR="003949B7" w:rsidRDefault="003C181B" w:rsidP="00D66738">
      <w:pPr>
        <w:pStyle w:val="ListParagraph"/>
        <w:numPr>
          <w:ilvl w:val="0"/>
          <w:numId w:val="66"/>
        </w:numPr>
        <w:jc w:val="both"/>
      </w:pPr>
      <w:r>
        <w:t>To amend the law such</w:t>
      </w:r>
      <w:r w:rsidR="003949B7">
        <w:t xml:space="preserve"> that audits are only required when a cooperative reaches a particular threshold, which could </w:t>
      </w:r>
      <w:proofErr w:type="gramStart"/>
      <w:r w:rsidR="003949B7">
        <w:t>harmonised</w:t>
      </w:r>
      <w:proofErr w:type="gramEnd"/>
      <w:r w:rsidR="003949B7">
        <w:t xml:space="preserve"> with the Public Interest Score in the Companies Act, and</w:t>
      </w:r>
    </w:p>
    <w:p w14:paraId="10711DE8" w14:textId="77777777" w:rsidR="003949B7" w:rsidRDefault="003949B7" w:rsidP="00D66738">
      <w:pPr>
        <w:pStyle w:val="ListParagraph"/>
        <w:numPr>
          <w:ilvl w:val="0"/>
          <w:numId w:val="66"/>
        </w:numPr>
        <w:jc w:val="both"/>
      </w:pPr>
      <w:r>
        <w:t xml:space="preserve">To explore ways to improve bookkeeping at co-ops, for instance through incubators or assistance from </w:t>
      </w:r>
      <w:proofErr w:type="spellStart"/>
      <w:r>
        <w:t>sefa</w:t>
      </w:r>
      <w:proofErr w:type="spellEnd"/>
      <w:r>
        <w:t>.</w:t>
      </w:r>
    </w:p>
    <w:p w14:paraId="5E94FCB6" w14:textId="77777777" w:rsidR="003949B7" w:rsidRDefault="003949B7" w:rsidP="00D66738">
      <w:pPr>
        <w:jc w:val="both"/>
      </w:pPr>
      <w:r>
        <w:t>A policy to interpret the exemption criteria could effectively make the audit a specific requirement for larger co-ops rather than a default for all of them. For instance, an audit would be required where:</w:t>
      </w:r>
    </w:p>
    <w:p w14:paraId="14AFAB23" w14:textId="77777777" w:rsidR="003949B7" w:rsidRDefault="003949B7" w:rsidP="00D66738">
      <w:pPr>
        <w:pStyle w:val="ListParagraph"/>
        <w:numPr>
          <w:ilvl w:val="0"/>
          <w:numId w:val="67"/>
        </w:numPr>
        <w:jc w:val="both"/>
      </w:pPr>
      <w:r>
        <w:t>The costs would not affect the financial sustainability of the co-operative, based on bright-line criteria such as a specific share of the audit in revenues; and</w:t>
      </w:r>
    </w:p>
    <w:p w14:paraId="32450919" w14:textId="77777777" w:rsidR="003949B7" w:rsidRDefault="003949B7" w:rsidP="00D66738">
      <w:pPr>
        <w:pStyle w:val="ListParagraph"/>
        <w:numPr>
          <w:ilvl w:val="0"/>
          <w:numId w:val="67"/>
        </w:numPr>
        <w:jc w:val="both"/>
      </w:pPr>
      <w:r>
        <w:t>The co-operative is unable to provide any financial records.</w:t>
      </w:r>
    </w:p>
    <w:p w14:paraId="1D7AE471" w14:textId="77777777" w:rsidR="003949B7" w:rsidRPr="00F9041A" w:rsidRDefault="003949B7" w:rsidP="00D66738">
      <w:pPr>
        <w:jc w:val="both"/>
      </w:pPr>
      <w:r>
        <w:t xml:space="preserve">Engagement on these proposals would require interaction with the CIPC and SARS, as well as their oversight departments – respectively the dti and the National Treasury. </w:t>
      </w:r>
      <w:r>
        <w:lastRenderedPageBreak/>
        <w:t xml:space="preserve">Responsibility for co-ops has been transferred from the dti to the DSBD, which presumably is now also responsible for the Cooperatives Development Act. </w:t>
      </w:r>
    </w:p>
    <w:p w14:paraId="0E9A8D29" w14:textId="06B91461" w:rsidR="003949B7" w:rsidRPr="004248A8" w:rsidRDefault="003949B7" w:rsidP="00D66738">
      <w:pPr>
        <w:pStyle w:val="Heading3"/>
        <w:numPr>
          <w:ilvl w:val="2"/>
          <w:numId w:val="150"/>
        </w:numPr>
        <w:ind w:left="0" w:firstLine="0"/>
        <w:jc w:val="both"/>
      </w:pPr>
      <w:bookmarkStart w:id="356" w:name="_Toc479844501"/>
      <w:bookmarkStart w:id="357" w:name="_Toc479940819"/>
      <w:r w:rsidRPr="004248A8">
        <w:t>Taxation</w:t>
      </w:r>
      <w:bookmarkEnd w:id="356"/>
      <w:bookmarkEnd w:id="357"/>
    </w:p>
    <w:p w14:paraId="5A2603A8" w14:textId="77777777" w:rsidR="003949B7" w:rsidRPr="00F209B7" w:rsidRDefault="003949B7" w:rsidP="00D66738">
      <w:pPr>
        <w:jc w:val="both"/>
      </w:pPr>
      <w:r>
        <w:t xml:space="preserve">With regards to </w:t>
      </w:r>
      <w:r w:rsidRPr="00F209B7">
        <w:t>tax administration</w:t>
      </w:r>
      <w:r>
        <w:t>, a number of issues arise. The most important are:</w:t>
      </w:r>
    </w:p>
    <w:p w14:paraId="7F6732D9" w14:textId="77777777" w:rsidR="003949B7" w:rsidRPr="00E47A0A" w:rsidRDefault="003949B7" w:rsidP="00D66738">
      <w:pPr>
        <w:numPr>
          <w:ilvl w:val="0"/>
          <w:numId w:val="32"/>
        </w:numPr>
        <w:jc w:val="both"/>
      </w:pPr>
      <w:r>
        <w:t>Delays and unpredictability around refunds of Value Added Tax (</w:t>
      </w:r>
      <w:r w:rsidRPr="00E47A0A">
        <w:t>VAT</w:t>
      </w:r>
      <w:r>
        <w:t>) payments, often as a result of audits</w:t>
      </w:r>
      <w:r w:rsidRPr="00E47A0A">
        <w:t>; and</w:t>
      </w:r>
    </w:p>
    <w:p w14:paraId="3516A179" w14:textId="77777777" w:rsidR="003949B7" w:rsidRPr="00E47A0A" w:rsidRDefault="003949B7" w:rsidP="00D66738">
      <w:pPr>
        <w:numPr>
          <w:ilvl w:val="0"/>
          <w:numId w:val="32"/>
        </w:numPr>
        <w:jc w:val="both"/>
      </w:pPr>
      <w:r>
        <w:t xml:space="preserve">Shortcomings in the </w:t>
      </w:r>
      <w:r w:rsidRPr="00E47A0A">
        <w:t xml:space="preserve">income tax regime </w:t>
      </w:r>
      <w:r>
        <w:t xml:space="preserve">established </w:t>
      </w:r>
      <w:r w:rsidRPr="00E47A0A">
        <w:t>for small business.</w:t>
      </w:r>
    </w:p>
    <w:p w14:paraId="403D755A" w14:textId="77777777" w:rsidR="003949B7" w:rsidRDefault="003949B7" w:rsidP="00D66738">
      <w:pPr>
        <w:jc w:val="both"/>
      </w:pPr>
      <w:r>
        <w:t xml:space="preserve">VAT refunds tend to be larger relative to turnover for smaller businesses than for larger ones. For businesses with under R1 million in turnover, VAT refunds totalled almost R4 billion in 2015/6. That equalled over 95% of their VAT payments and 7% of their aggregate turnover. For businesses with R1 million to R10 million turnover, VAT refunds totalled R10 billion, equal to a quarter of their VAT payments and 1,3% of turnover. Businesses with over R10 billion turnover had almost R150 billion in refunds, with was equal to 60% of their VAT payments and 1,4% of their turnover. </w:t>
      </w:r>
    </w:p>
    <w:p w14:paraId="10CBC1BC" w14:textId="77777777" w:rsidR="003949B7" w:rsidRDefault="003949B7" w:rsidP="00D66738">
      <w:pPr>
        <w:jc w:val="both"/>
      </w:pPr>
      <w:r>
        <w:t xml:space="preserve">Given the importance of VAT refunds for small businesses, delays can have a significant impact on cash flow. This is especially true when they are unpredictable, making it more difficult to plan around them. </w:t>
      </w:r>
    </w:p>
    <w:p w14:paraId="73D3FA13" w14:textId="58A31A64" w:rsidR="003949B7" w:rsidRDefault="003949B7" w:rsidP="00D66738">
      <w:pPr>
        <w:jc w:val="both"/>
      </w:pPr>
      <w:r>
        <w:t xml:space="preserve">SARS reports that in 2015/6, the average turnaround time for VAT refunds was 33 working days, although SARS’s target was 21. Although over half of refunds were paid within 48 hours (up from 3% ten years earlier) and two thirds within 14 working days, some were delayed over three months. SARS reports found that the delays were mainly due to inflated claims where VAT returns were not properly filled out. For informants, the main cause of delayed VAT refunds was that businesses were being put under audits, which was adding to the delay as SARS turnaround times for audits are between three and 12 months. SARS argues that VAT fraud was a key risk for its operations, with sole-traders seen as particularly challenging in this regard. </w:t>
      </w:r>
    </w:p>
    <w:p w14:paraId="262D8E42" w14:textId="77777777" w:rsidR="003949B7" w:rsidRDefault="003949B7" w:rsidP="00D66738">
      <w:pPr>
        <w:jc w:val="both"/>
      </w:pPr>
      <w:r>
        <w:t xml:space="preserve">To address the challenges faced by small business, the </w:t>
      </w:r>
      <w:r w:rsidRPr="00F209B7">
        <w:t xml:space="preserve">preferred option is for small businesses to receive a mandatory refund after a </w:t>
      </w:r>
      <w:r>
        <w:t xml:space="preserve">specified </w:t>
      </w:r>
      <w:r w:rsidRPr="00F209B7">
        <w:t>period (</w:t>
      </w:r>
      <w:r>
        <w:t>for instance</w:t>
      </w:r>
      <w:r w:rsidRPr="00F209B7">
        <w:t xml:space="preserve"> 90 days)</w:t>
      </w:r>
      <w:r>
        <w:t>, even if they are still under audit. This measure would both</w:t>
      </w:r>
      <w:r w:rsidRPr="00F209B7">
        <w:t xml:space="preserve"> </w:t>
      </w:r>
      <w:r>
        <w:t xml:space="preserve">improve predictability and cash flow for small businesses affected by audits, </w:t>
      </w:r>
      <w:r w:rsidRPr="00F209B7">
        <w:t>an</w:t>
      </w:r>
      <w:r>
        <w:t>d incentive</w:t>
      </w:r>
      <w:r w:rsidRPr="00F209B7">
        <w:t xml:space="preserve"> S</w:t>
      </w:r>
      <w:r>
        <w:t>ARS</w:t>
      </w:r>
      <w:r w:rsidRPr="00F209B7">
        <w:t xml:space="preserve"> to </w:t>
      </w:r>
      <w:r>
        <w:t xml:space="preserve">avoid unnecessary delays in audits and refunds. If an audit took more than the specified time, SARS could withhold later refunds if it uncovered excess payments. </w:t>
      </w:r>
    </w:p>
    <w:p w14:paraId="3CB74E45" w14:textId="77777777" w:rsidR="003949B7" w:rsidRPr="0095239D" w:rsidRDefault="003949B7" w:rsidP="00D66738">
      <w:pPr>
        <w:jc w:val="both"/>
      </w:pPr>
      <w:r>
        <w:t xml:space="preserve">The main </w:t>
      </w:r>
      <w:r w:rsidRPr="00F209B7">
        <w:t xml:space="preserve">risk is that other taxpayers </w:t>
      </w:r>
      <w:r>
        <w:t xml:space="preserve">would </w:t>
      </w:r>
      <w:r w:rsidRPr="00F209B7">
        <w:t xml:space="preserve">lobby for the same benefit. SARS would have to create </w:t>
      </w:r>
      <w:r>
        <w:t xml:space="preserve">clear criteria to prioritise </w:t>
      </w:r>
      <w:r w:rsidRPr="00F209B7">
        <w:t xml:space="preserve">audits </w:t>
      </w:r>
      <w:r>
        <w:t>according to size in order to avoid charges of discrimination.</w:t>
      </w:r>
    </w:p>
    <w:p w14:paraId="5F42942B" w14:textId="32E63C6E" w:rsidR="003949B7" w:rsidRDefault="003949B7" w:rsidP="00D66738">
      <w:pPr>
        <w:spacing w:after="240"/>
        <w:jc w:val="both"/>
      </w:pPr>
      <w:r>
        <w:t xml:space="preserve">In terms of the tax regime for small business, South Africa has adopted an approach of having a differentiated tax system for small business. National Treasury and SARS have long sought ways to reduce administrative costs without reducing revenues. Research indicates that the median small business requires </w:t>
      </w:r>
      <w:r w:rsidR="005D5A67">
        <w:t xml:space="preserve">the equivalent of over eight full working days a year </w:t>
      </w:r>
      <w:r>
        <w:t>to comply with the full panoply of tax requirements, including company income tax, VAT and administration of Pay</w:t>
      </w:r>
      <w:r w:rsidR="002C1E62">
        <w:t>-As-You-</w:t>
      </w:r>
      <w:r>
        <w:t xml:space="preserve">Earn taxes on employees. </w:t>
      </w:r>
    </w:p>
    <w:p w14:paraId="183B0D11" w14:textId="77777777" w:rsidR="003949B7" w:rsidRDefault="003949B7" w:rsidP="00D66738">
      <w:pPr>
        <w:spacing w:after="240"/>
        <w:jc w:val="both"/>
      </w:pPr>
      <w:r>
        <w:lastRenderedPageBreak/>
        <w:t xml:space="preserve">Businesses with taxable earnings below R1 million pay around 4% of total company income tax, although they constitute 94% of all company taxpayers.  They account for around 80% of companies that pay VAT, but contribute just 15% of VAT revenue. Businesses with taxable earnings of R1 million to R10 million account for 5% of income-tax payments but 12% of income-tax payers. In terms of VAT, they contribute 23% of payments but constitute only 15% of taxpayers. Companies with over R10 million in profits account for 1% of income-tax payers and 3% of VAT payers, but pay 84% of company income tax and 62% of VAT. </w:t>
      </w:r>
    </w:p>
    <w:p w14:paraId="2C70F7AE" w14:textId="77777777" w:rsidR="003949B7" w:rsidRDefault="003949B7" w:rsidP="00D66738">
      <w:pPr>
        <w:spacing w:after="240"/>
        <w:jc w:val="both"/>
      </w:pPr>
      <w:r>
        <w:t xml:space="preserve">In 2009, SARS introduced the turnover tax regime to simplify the filing process. Under this regime, micro businesses with turnover under R1 million a year pay a percentage of turnover, rather than filing separately for income, VAT, capital gains and dividends tax. The maximum rate was initially 6%, but it was reduced to 3% in 2015.  </w:t>
      </w:r>
    </w:p>
    <w:p w14:paraId="04DA9206" w14:textId="4FC467E5" w:rsidR="003949B7" w:rsidRDefault="003949B7" w:rsidP="00D66738">
      <w:pPr>
        <w:spacing w:after="240"/>
        <w:jc w:val="both"/>
      </w:pPr>
      <w:r>
        <w:t xml:space="preserve">SARS sees the turnover tax regime as a </w:t>
      </w:r>
      <w:r w:rsidR="003C181B">
        <w:t>regime</w:t>
      </w:r>
      <w:r>
        <w:t xml:space="preserve"> that reduces administrative costs for small business but diverts some of the savings i</w:t>
      </w:r>
      <w:r w:rsidR="003C181B">
        <w:t>nto tax revenues. However, the regime has not had the expected support from small businesses</w:t>
      </w:r>
      <w:r>
        <w:t xml:space="preserve">. Informants </w:t>
      </w:r>
      <w:r w:rsidR="00DB47DC">
        <w:t xml:space="preserve">perceive </w:t>
      </w:r>
      <w:r>
        <w:t xml:space="preserve">that the system does not reduce their tax costs and in some cases may even increase them relative to the normal requirements. This was particularly likely in the case of the original 6% maximum rate, which would likely end up with a higher bill unless </w:t>
      </w:r>
      <w:r w:rsidR="00083DDA">
        <w:t>taxable income was</w:t>
      </w:r>
      <w:r>
        <w:t xml:space="preserve"> equal to at least 20% of turnover. As noted, the average margin on turnover for small business was around 10% in 2015. </w:t>
      </w:r>
    </w:p>
    <w:p w14:paraId="5020B26A" w14:textId="1EC543EB" w:rsidR="003949B7" w:rsidRPr="00F209B7" w:rsidRDefault="003949B7" w:rsidP="00D66738">
      <w:pPr>
        <w:spacing w:after="240"/>
        <w:jc w:val="both"/>
      </w:pPr>
      <w:r w:rsidRPr="00F209B7">
        <w:t>The preferred option is to</w:t>
      </w:r>
      <w:r>
        <w:t xml:space="preserve"> ensure that the rate charged under the Turnover Tax is always lower than the rate under other tax regimes.  This would require monitoring the actual tax paid compared to turnover for micro enterprise under the recently introduced 3% rate. In effect, the turnover tax regime would shift from aiming solely to reduce administrative burdens to a commitment to avoiding higher </w:t>
      </w:r>
      <w:r w:rsidR="00DB47DC">
        <w:t>taxation in return.</w:t>
      </w:r>
      <w:r>
        <w:t xml:space="preserve"> </w:t>
      </w:r>
    </w:p>
    <w:p w14:paraId="11697C3B" w14:textId="7B7F85E5" w:rsidR="003949B7" w:rsidRDefault="003949B7" w:rsidP="00D66738">
      <w:pPr>
        <w:spacing w:after="240"/>
        <w:jc w:val="both"/>
      </w:pPr>
      <w:r>
        <w:t>SARS and National Treasury would have to establish a system to monitor the impact of the turnover tax. They w</w:t>
      </w:r>
      <w:r w:rsidR="00DB47DC">
        <w:t>ould also have to agree with this approach</w:t>
      </w:r>
      <w:r>
        <w:t xml:space="preserve">. </w:t>
      </w:r>
    </w:p>
    <w:p w14:paraId="16CF903E" w14:textId="366D85D0" w:rsidR="003949B7" w:rsidRDefault="003949B7" w:rsidP="00D66738">
      <w:pPr>
        <w:spacing w:after="240"/>
        <w:jc w:val="both"/>
      </w:pPr>
      <w:r>
        <w:t>National Treasury is in the process of reviewing the tax regime for small busin</w:t>
      </w:r>
      <w:r w:rsidR="00D266D5">
        <w:t xml:space="preserve">esses. DSBD should coordinate </w:t>
      </w:r>
      <w:r>
        <w:t xml:space="preserve">with National Treasury on this as a joint task team. </w:t>
      </w:r>
    </w:p>
    <w:p w14:paraId="33DD65D4" w14:textId="22288DE6" w:rsidR="003949B7" w:rsidRPr="004248A8" w:rsidRDefault="003949B7" w:rsidP="00D66738">
      <w:pPr>
        <w:pStyle w:val="Heading3"/>
        <w:numPr>
          <w:ilvl w:val="2"/>
          <w:numId w:val="150"/>
        </w:numPr>
        <w:ind w:left="0" w:firstLine="0"/>
        <w:jc w:val="both"/>
      </w:pPr>
      <w:bookmarkStart w:id="358" w:name="_Toc479844502"/>
      <w:bookmarkStart w:id="359" w:name="_Toc479940820"/>
      <w:r w:rsidRPr="004248A8">
        <w:t>Labour registration: UIF, the Compensation Fund and the skills levy</w:t>
      </w:r>
      <w:bookmarkEnd w:id="358"/>
      <w:bookmarkEnd w:id="359"/>
    </w:p>
    <w:p w14:paraId="4F983E8C" w14:textId="77777777" w:rsidR="003949B7" w:rsidRDefault="003949B7" w:rsidP="00D66738">
      <w:pPr>
        <w:spacing w:after="160"/>
        <w:jc w:val="both"/>
        <w:rPr>
          <w:rFonts w:ascii="Calibri" w:eastAsia="Calibri" w:hAnsi="Calibri" w:cs="Times New Roman"/>
          <w:szCs w:val="24"/>
        </w:rPr>
      </w:pPr>
      <w:r>
        <w:rPr>
          <w:rFonts w:ascii="Calibri" w:eastAsia="Calibri" w:hAnsi="Calibri" w:cs="Times New Roman"/>
          <w:szCs w:val="24"/>
        </w:rPr>
        <w:t xml:space="preserve">The labour laws function in part by delegating administrative functions to employers. These functions appear when employers are required to register workers for unemployment and compensation insurance and for the skills levy as well as for the PAYE. From the standpoint of society, these requirements impose costs on both employers and employees in return for a variety of benefits that, ultimately, support a more productive and cohesive society.  </w:t>
      </w:r>
    </w:p>
    <w:p w14:paraId="1EA4541B" w14:textId="77777777" w:rsidR="003949B7" w:rsidRPr="00F209B7" w:rsidRDefault="003949B7" w:rsidP="00D66738">
      <w:pPr>
        <w:spacing w:after="160"/>
        <w:jc w:val="both"/>
        <w:rPr>
          <w:rFonts w:ascii="Calibri" w:eastAsia="Calibri" w:hAnsi="Calibri" w:cs="Times New Roman"/>
          <w:szCs w:val="24"/>
        </w:rPr>
      </w:pPr>
      <w:r>
        <w:rPr>
          <w:rFonts w:ascii="Calibri" w:eastAsia="Calibri" w:hAnsi="Calibri" w:cs="Times New Roman"/>
          <w:szCs w:val="24"/>
        </w:rPr>
        <w:t>Informants directed the study toward three issues:</w:t>
      </w:r>
    </w:p>
    <w:p w14:paraId="213B6215" w14:textId="65390EBB" w:rsidR="003949B7" w:rsidRDefault="003949B7" w:rsidP="00D66738">
      <w:pPr>
        <w:numPr>
          <w:ilvl w:val="0"/>
          <w:numId w:val="32"/>
        </w:numPr>
        <w:jc w:val="both"/>
      </w:pPr>
      <w:r>
        <w:t xml:space="preserve">The difficulties involved in accessing </w:t>
      </w:r>
      <w:r w:rsidR="004B5DAA">
        <w:t>the benefits of the skills development levy</w:t>
      </w:r>
      <w:r>
        <w:t>,</w:t>
      </w:r>
    </w:p>
    <w:p w14:paraId="7E2E8409" w14:textId="77777777" w:rsidR="003949B7" w:rsidRDefault="003949B7" w:rsidP="00D66738">
      <w:pPr>
        <w:numPr>
          <w:ilvl w:val="0"/>
          <w:numId w:val="32"/>
        </w:numPr>
        <w:spacing w:after="120"/>
        <w:ind w:left="357" w:hanging="357"/>
        <w:jc w:val="both"/>
      </w:pPr>
      <w:r>
        <w:t xml:space="preserve">The risk assessment process for COIDA, and </w:t>
      </w:r>
    </w:p>
    <w:p w14:paraId="598C4740" w14:textId="77777777" w:rsidR="003949B7" w:rsidRPr="009A3C37" w:rsidRDefault="003949B7" w:rsidP="00D66738">
      <w:pPr>
        <w:numPr>
          <w:ilvl w:val="0"/>
          <w:numId w:val="32"/>
        </w:numPr>
        <w:spacing w:after="240"/>
        <w:jc w:val="both"/>
      </w:pPr>
      <w:r w:rsidRPr="009A3C37">
        <w:t xml:space="preserve">The procedures </w:t>
      </w:r>
      <w:r>
        <w:t xml:space="preserve">for </w:t>
      </w:r>
      <w:r w:rsidRPr="009A3C37">
        <w:t xml:space="preserve">obtaining </w:t>
      </w:r>
      <w:r>
        <w:t xml:space="preserve">Private Employment Agency </w:t>
      </w:r>
      <w:r w:rsidRPr="009A3C37">
        <w:t>certificate</w:t>
      </w:r>
      <w:r>
        <w:t>s.</w:t>
      </w:r>
    </w:p>
    <w:p w14:paraId="7596575C" w14:textId="21F55AC0" w:rsidR="003949B7" w:rsidRDefault="004B5DAA" w:rsidP="00D66738">
      <w:pPr>
        <w:jc w:val="both"/>
      </w:pPr>
      <w:r>
        <w:lastRenderedPageBreak/>
        <w:t xml:space="preserve">The Skills Development Act prescribes that businesses with a salary bill of over R500 000 a year must pay 1% as a skills levy. However, evidence suggests that </w:t>
      </w:r>
      <w:r w:rsidR="003949B7" w:rsidRPr="00F209B7">
        <w:t xml:space="preserve">only 37% of </w:t>
      </w:r>
      <w:r w:rsidR="003949B7">
        <w:t xml:space="preserve">small businesses that pay the skills levy are able to access funds for </w:t>
      </w:r>
      <w:r w:rsidR="003949B7" w:rsidRPr="00F209B7">
        <w:t xml:space="preserve">training. </w:t>
      </w:r>
      <w:r w:rsidR="003949B7">
        <w:t>Only companies that pay less than R500 000 for employees – which effectively means they have from one to ten workers</w:t>
      </w:r>
      <w:r w:rsidR="00083DDA">
        <w:rPr>
          <w:rStyle w:val="FootnoteReference"/>
        </w:rPr>
        <w:footnoteReference w:id="2"/>
      </w:r>
      <w:r w:rsidR="003949B7">
        <w:t xml:space="preserve"> – are exempt from the levy. </w:t>
      </w:r>
    </w:p>
    <w:p w14:paraId="23A260F4" w14:textId="7ABC0D9E" w:rsidR="003949B7" w:rsidRDefault="004B5DAA" w:rsidP="00D66738">
      <w:pPr>
        <w:jc w:val="both"/>
      </w:pPr>
      <w:r>
        <w:t>Various factors explain this</w:t>
      </w:r>
      <w:r w:rsidR="003949B7">
        <w:t xml:space="preserve"> lack of access. First, small business may find it difficult to claim from their Sector Education and Training Authorities (SETAs) because they cannot comply with requirements for skills planning due to a lack of capacity. Second, SETA training seeks to ensure workers’ skills are transferable and </w:t>
      </w:r>
      <w:r>
        <w:t xml:space="preserve">can </w:t>
      </w:r>
      <w:r w:rsidR="003949B7">
        <w:t>support certification. It may t</w:t>
      </w:r>
      <w:r>
        <w:t xml:space="preserve">herefore require considerable technical </w:t>
      </w:r>
      <w:r w:rsidR="003949B7">
        <w:t>proficiency, which may seem unnecessary and excessively time-consuming to sma</w:t>
      </w:r>
      <w:r>
        <w:t>ll employers. A</w:t>
      </w:r>
      <w:r w:rsidR="003949B7">
        <w:t xml:space="preserve">ccredited learnerships require at least a year, which may seem excessive to small businesses, which would prefer shorter internships. </w:t>
      </w:r>
    </w:p>
    <w:p w14:paraId="276E4623" w14:textId="77777777" w:rsidR="003949B7" w:rsidRDefault="003949B7" w:rsidP="00D66738">
      <w:pPr>
        <w:jc w:val="both"/>
      </w:pPr>
      <w:r>
        <w:t xml:space="preserve">Proposals to reform the skills system to meet the needs of small employers generally focus on ensuring more flexible, focused and short-term training that would effectively do less to raise sectoral skill levels but would reduce the cost to employers. If this trade-off is accepted, then National Treasury and the Department of Higher Education and Training (DHET) could increase the threshold for small business. DHET could also introduce more flexible requirements for training for small business employees, with shorter modules that are less tied to accreditation and human capital development. </w:t>
      </w:r>
    </w:p>
    <w:p w14:paraId="4C8569DB" w14:textId="77777777" w:rsidR="003949B7" w:rsidRDefault="003949B7" w:rsidP="00D66738">
      <w:pPr>
        <w:jc w:val="both"/>
        <w:rPr>
          <w:rFonts w:ascii="Calibri" w:eastAsia="Calibri" w:hAnsi="Calibri" w:cs="Times New Roman"/>
          <w:szCs w:val="24"/>
        </w:rPr>
      </w:pPr>
      <w:r>
        <w:rPr>
          <w:rFonts w:ascii="Calibri" w:eastAsia="Calibri" w:hAnsi="Calibri" w:cs="Times New Roman"/>
          <w:szCs w:val="24"/>
        </w:rPr>
        <w:t xml:space="preserve">These modifications essentially aim to enhance training to benefit small businesses. That contrasts with the existing aims of the skills system, which are primarily to improve career mobility for workers and meet sector skills needs. There would therefore likely be some opposition from unions and policymakers in the skills field. </w:t>
      </w:r>
    </w:p>
    <w:p w14:paraId="353AD8CA" w14:textId="77777777" w:rsidR="003949B7" w:rsidRDefault="003949B7" w:rsidP="00D66738">
      <w:pPr>
        <w:jc w:val="both"/>
      </w:pPr>
      <w:r>
        <w:t xml:space="preserve">The Compensation Fund functions as an insurance fund, with legally required payments through the employer. Informants raised concerns around delays and arbitrary risk assessments (which affect the amounts levied from employers). At the same time, the Fund is clearly over-charging members, with an annual surplus that is more than equal to its total pay-outs. In 2016/17, it budgeted for investment revenue at R11 billion, revenue from assessments of businesses at R8 billion, but payments for compensation at just R4 billion. That means it would generate a surplus of R13 billion, which it planned to re-invest.  </w:t>
      </w:r>
    </w:p>
    <w:p w14:paraId="2D9B9C3E" w14:textId="77777777" w:rsidR="003949B7" w:rsidRDefault="003949B7" w:rsidP="00D66738">
      <w:pPr>
        <w:jc w:val="both"/>
      </w:pPr>
      <w:r>
        <w:t xml:space="preserve">The Fund has only around 480 000 registered companies, even though almost all private employers outside of mining are legally required to join. It seems likely that many smaller businesses are not members at all, which means they do not pay but also that they do not benefit from the insurance provided to workers.  </w:t>
      </w:r>
    </w:p>
    <w:p w14:paraId="45C5CEB7" w14:textId="77777777" w:rsidR="003949B7" w:rsidRDefault="003949B7" w:rsidP="00D66738">
      <w:pPr>
        <w:jc w:val="both"/>
      </w:pPr>
      <w:r>
        <w:t>The preferred options for improving services from the Compensation Fund for smaller employers include:</w:t>
      </w:r>
    </w:p>
    <w:p w14:paraId="5098144D" w14:textId="77777777" w:rsidR="003949B7" w:rsidRDefault="003949B7" w:rsidP="00D66738">
      <w:pPr>
        <w:pStyle w:val="ListParagraph"/>
        <w:numPr>
          <w:ilvl w:val="0"/>
          <w:numId w:val="71"/>
        </w:numPr>
        <w:jc w:val="both"/>
      </w:pPr>
      <w:r>
        <w:t>Reviewing the amounts paid by small business especially in light of the current large and unnecessary surplus, and</w:t>
      </w:r>
    </w:p>
    <w:p w14:paraId="754FB54C" w14:textId="77777777" w:rsidR="003949B7" w:rsidRDefault="003949B7" w:rsidP="00D66738">
      <w:pPr>
        <w:pStyle w:val="ListParagraph"/>
        <w:numPr>
          <w:ilvl w:val="0"/>
          <w:numId w:val="71"/>
        </w:numPr>
        <w:jc w:val="both"/>
      </w:pPr>
      <w:r>
        <w:t xml:space="preserve">Establishing an appeals system with short and efficient turnaround times for appealing against risk assessments. </w:t>
      </w:r>
    </w:p>
    <w:p w14:paraId="0DEB10F6" w14:textId="77777777" w:rsidR="003949B7" w:rsidRDefault="003949B7" w:rsidP="00D66738">
      <w:pPr>
        <w:jc w:val="both"/>
      </w:pPr>
      <w:r>
        <w:lastRenderedPageBreak/>
        <w:t xml:space="preserve">There would likely be opposition from the Compensation Fund to proposals that it should reduce assessments, although it might be more amenable to establishment of an appeals system on risk allocation. In addition, some unions might argue that the Fund should raise benefits rather than cutting levies on employers. </w:t>
      </w:r>
    </w:p>
    <w:p w14:paraId="0DF65382" w14:textId="77777777" w:rsidR="003949B7" w:rsidRDefault="003949B7" w:rsidP="00D66738">
      <w:pPr>
        <w:jc w:val="both"/>
      </w:pPr>
      <w:r>
        <w:t xml:space="preserve">Finally, informants from the employment agencies argued that that the procedures for obtaining a </w:t>
      </w:r>
      <w:r w:rsidRPr="00F209B7">
        <w:t>Private Employment Agency (PEA) certificate</w:t>
      </w:r>
      <w:r>
        <w:t xml:space="preserve"> are unnecessarily onerous and long drawn out. They require paper letters from Department of Labour regional offices for good standing on UIF and COIDA, which may take over a year to obtain, as well as site visits by inspectors. </w:t>
      </w:r>
    </w:p>
    <w:p w14:paraId="3DEE6729" w14:textId="7EE10F9A" w:rsidR="003949B7" w:rsidRDefault="003949B7" w:rsidP="00D66738">
      <w:pPr>
        <w:jc w:val="both"/>
      </w:pPr>
      <w:r>
        <w:t xml:space="preserve">Representatives of the employment agencies’ business association, the </w:t>
      </w:r>
      <w:r w:rsidR="00FC11C0">
        <w:t xml:space="preserve">Federation of </w:t>
      </w:r>
      <w:r>
        <w:t>African Professional Staffing Organisation</w:t>
      </w:r>
      <w:r w:rsidR="00FC11C0">
        <w:t>s</w:t>
      </w:r>
      <w:r>
        <w:t xml:space="preserve"> (APSO) argue that as a result a number of private employment agencies end up operating illegally. It is estimated that 3000 enterprises operate as employment agencies, but many are unlicensed. In effect, the unnecessarily slow and arduous registration process means that many agencies do not comply with any standards.  </w:t>
      </w:r>
    </w:p>
    <w:p w14:paraId="7DF86DED" w14:textId="77777777" w:rsidR="003949B7" w:rsidRDefault="003949B7" w:rsidP="00D66738">
      <w:pPr>
        <w:jc w:val="both"/>
      </w:pPr>
      <w:r>
        <w:t xml:space="preserve">It is proposed that the letters on COIDA and the UIF be digitised and allocated a short turnaround time, and site inspections be randomised rather than a pre-condition for registration. Implementing these options will require that the Department of Labour develop the appropriate capacity to issue the letters more rapidly, and that its inspectorates are able to undertake random inspections sufficiently often to maintain standards.  </w:t>
      </w:r>
    </w:p>
    <w:p w14:paraId="3E9E1BBA" w14:textId="77777777" w:rsidR="003949B7" w:rsidRPr="004248A8" w:rsidRDefault="003949B7" w:rsidP="00D66738">
      <w:pPr>
        <w:pStyle w:val="Heading2"/>
        <w:numPr>
          <w:ilvl w:val="1"/>
          <w:numId w:val="149"/>
        </w:numPr>
        <w:ind w:left="0" w:firstLine="0"/>
        <w:jc w:val="both"/>
      </w:pPr>
      <w:bookmarkStart w:id="360" w:name="_Toc479843879"/>
      <w:bookmarkStart w:id="361" w:name="_Toc479844503"/>
      <w:bookmarkStart w:id="362" w:name="_Toc479940821"/>
      <w:r w:rsidRPr="004248A8">
        <w:t>State procurement</w:t>
      </w:r>
      <w:bookmarkEnd w:id="360"/>
      <w:bookmarkEnd w:id="361"/>
      <w:bookmarkEnd w:id="362"/>
    </w:p>
    <w:p w14:paraId="5849211C" w14:textId="60579790" w:rsidR="00F92EEE" w:rsidRPr="00F209B7" w:rsidRDefault="00F92EEE" w:rsidP="00D66738">
      <w:pPr>
        <w:jc w:val="both"/>
      </w:pPr>
      <w:r w:rsidRPr="00F209B7">
        <w:t xml:space="preserve">State procurement of goods and services accounts for </w:t>
      </w:r>
      <w:r>
        <w:t>around a tenth of the GDP.</w:t>
      </w:r>
      <w:r w:rsidRPr="00F209B7">
        <w:t xml:space="preserve"> Small businesses, however, often argue that </w:t>
      </w:r>
      <w:r w:rsidR="002C1E62">
        <w:t>they are restricted from supplier opportunities created by</w:t>
      </w:r>
      <w:r w:rsidRPr="00F209B7">
        <w:t xml:space="preserve"> government </w:t>
      </w:r>
      <w:r w:rsidR="002C1E62">
        <w:t xml:space="preserve">procurement </w:t>
      </w:r>
      <w:r w:rsidRPr="00F209B7">
        <w:t xml:space="preserve">in part because of inappropriate regulatory frameworks that impose excessive burdens. </w:t>
      </w:r>
    </w:p>
    <w:p w14:paraId="088810A8" w14:textId="1FA43971" w:rsidR="00F92EEE" w:rsidRPr="00F209B7" w:rsidRDefault="00F92EEE" w:rsidP="00D66738">
      <w:pPr>
        <w:jc w:val="both"/>
      </w:pPr>
      <w:r w:rsidRPr="00F209B7">
        <w:t xml:space="preserve">In an effort to prevent corruption and improve value for money, the </w:t>
      </w:r>
      <w:r>
        <w:t xml:space="preserve">procurement </w:t>
      </w:r>
      <w:r w:rsidRPr="00F209B7">
        <w:t xml:space="preserve">laws aim to ensure that state agencies must buy the lowest-cost product that meets quality requirements, </w:t>
      </w:r>
      <w:r w:rsidR="002C1E62">
        <w:t>regardless of</w:t>
      </w:r>
      <w:r w:rsidRPr="00F209B7">
        <w:t xml:space="preserve"> who </w:t>
      </w:r>
      <w:r w:rsidR="002C1E62">
        <w:t xml:space="preserve">supplies </w:t>
      </w:r>
      <w:r w:rsidRPr="00F209B7">
        <w:t xml:space="preserve">it. </w:t>
      </w:r>
      <w:r w:rsidR="002C1E62">
        <w:t xml:space="preserve">In order to achieve that end, </w:t>
      </w:r>
      <w:r w:rsidR="002C1E62" w:rsidRPr="00F209B7">
        <w:t>supply-chain procedures</w:t>
      </w:r>
      <w:r w:rsidR="002C1E62">
        <w:t xml:space="preserve"> are regulation</w:t>
      </w:r>
      <w:r w:rsidRPr="00F209B7">
        <w:t xml:space="preserve"> tightly</w:t>
      </w:r>
      <w:r w:rsidR="002C1E62">
        <w:t>. Regulations detail</w:t>
      </w:r>
      <w:r w:rsidRPr="00F209B7">
        <w:t xml:space="preserve"> requirements around the kinds of information required from suppliers </w:t>
      </w:r>
      <w:r w:rsidR="009F7FD9">
        <w:t xml:space="preserve">in order to legitimise supplier agreements </w:t>
      </w:r>
      <w:r w:rsidRPr="00F209B7">
        <w:t xml:space="preserve">and the way </w:t>
      </w:r>
      <w:r w:rsidR="009F7FD9">
        <w:t xml:space="preserve">in which </w:t>
      </w:r>
      <w:r w:rsidRPr="00F209B7">
        <w:t xml:space="preserve">procurement is managed depending on the </w:t>
      </w:r>
      <w:r w:rsidR="009F7FD9">
        <w:t>size of tender</w:t>
      </w:r>
      <w:r w:rsidRPr="00F209B7">
        <w:t xml:space="preserve">. </w:t>
      </w:r>
    </w:p>
    <w:p w14:paraId="66F3BC92" w14:textId="0A250E5C" w:rsidR="00F92EEE" w:rsidRPr="00F209B7" w:rsidRDefault="00F92EEE" w:rsidP="00D66738">
      <w:pPr>
        <w:jc w:val="both"/>
      </w:pPr>
      <w:r>
        <w:t xml:space="preserve">A number of </w:t>
      </w:r>
      <w:r w:rsidRPr="00F209B7">
        <w:t xml:space="preserve">measures have been instituted </w:t>
      </w:r>
      <w:r w:rsidR="009F7FD9">
        <w:t xml:space="preserve">recently by government in order </w:t>
      </w:r>
      <w:r w:rsidRPr="00F209B7">
        <w:t xml:space="preserve">to promote new suppliers and local </w:t>
      </w:r>
      <w:r w:rsidR="00B40470">
        <w:t>procurement.</w:t>
      </w:r>
      <w:r w:rsidRPr="00F209B7">
        <w:t xml:space="preserve"> </w:t>
      </w:r>
      <w:r>
        <w:t xml:space="preserve">They include providing points for preferential procurement; the designation of </w:t>
      </w:r>
      <w:r w:rsidRPr="00F209B7">
        <w:t>some strategic products for local procurement</w:t>
      </w:r>
      <w:r>
        <w:t xml:space="preserve">; the requirement that government </w:t>
      </w:r>
      <w:r w:rsidRPr="00F209B7">
        <w:t>pay suppliers within 30 days of invoicing</w:t>
      </w:r>
      <w:r>
        <w:t xml:space="preserve">; and the BBBEE Codes, which include some incentives for local and small suppliers. </w:t>
      </w:r>
    </w:p>
    <w:p w14:paraId="2F960814" w14:textId="4B0148A0" w:rsidR="00F92EEE" w:rsidRDefault="009F7FD9" w:rsidP="00D66738">
      <w:pPr>
        <w:jc w:val="both"/>
      </w:pPr>
      <w:r>
        <w:t xml:space="preserve">In practice, </w:t>
      </w:r>
      <w:r w:rsidR="00F92EEE" w:rsidRPr="00F209B7">
        <w:t>procurement legislation places considerable burdens on</w:t>
      </w:r>
      <w:r>
        <w:t xml:space="preserve"> </w:t>
      </w:r>
      <w:r w:rsidR="00F92EEE" w:rsidRPr="00F209B7">
        <w:t>suppliers, which appear particularly onerous for smaller produc</w:t>
      </w:r>
      <w:r w:rsidR="00F92EEE">
        <w:t>ers. They include:</w:t>
      </w:r>
    </w:p>
    <w:p w14:paraId="29C0B558" w14:textId="0856C1DB" w:rsidR="00F92EEE" w:rsidRDefault="009F7FD9" w:rsidP="00D66738">
      <w:pPr>
        <w:pStyle w:val="ListParagraph"/>
        <w:numPr>
          <w:ilvl w:val="0"/>
          <w:numId w:val="151"/>
        </w:numPr>
        <w:jc w:val="both"/>
      </w:pPr>
      <w:r>
        <w:t>Delays in payments,</w:t>
      </w:r>
      <w:r w:rsidR="00F92EEE">
        <w:t xml:space="preserve"> with around 2,5% of the value of spending on goods and serv</w:t>
      </w:r>
      <w:r>
        <w:t>ices at national level</w:t>
      </w:r>
      <w:r w:rsidR="00F92EEE">
        <w:t xml:space="preserve"> and almost 25% at provincial level, paid more than 30 days after invoicing; </w:t>
      </w:r>
    </w:p>
    <w:p w14:paraId="60F9AEC8" w14:textId="77777777" w:rsidR="00F92EEE" w:rsidRDefault="00F92EEE" w:rsidP="00D66738">
      <w:pPr>
        <w:pStyle w:val="ListParagraph"/>
        <w:numPr>
          <w:ilvl w:val="0"/>
          <w:numId w:val="151"/>
        </w:numPr>
        <w:jc w:val="both"/>
      </w:pPr>
      <w:r>
        <w:t>The ban on up-front payment on tenders, which may shut out small businesses with limited liquidity; and</w:t>
      </w:r>
    </w:p>
    <w:p w14:paraId="65B3293D" w14:textId="29A5BF2D" w:rsidR="00F92EEE" w:rsidRPr="00F209B7" w:rsidRDefault="00F92EEE" w:rsidP="00D66738">
      <w:pPr>
        <w:pStyle w:val="ListParagraph"/>
        <w:numPr>
          <w:ilvl w:val="0"/>
          <w:numId w:val="151"/>
        </w:numPr>
        <w:jc w:val="both"/>
      </w:pPr>
      <w:r>
        <w:lastRenderedPageBreak/>
        <w:t xml:space="preserve">The lack of </w:t>
      </w:r>
      <w:r w:rsidR="00083DDA">
        <w:t xml:space="preserve">regulation to protect </w:t>
      </w:r>
      <w:r>
        <w:t xml:space="preserve">subcontractors on government tenders, which can lead to abuses such as </w:t>
      </w:r>
      <w:r w:rsidRPr="00F209B7">
        <w:t xml:space="preserve">delayed or non-existent payments; demands for delivery beyond the original agreement; and exploitative terms. </w:t>
      </w:r>
    </w:p>
    <w:p w14:paraId="2541E94C" w14:textId="4E5E15B9" w:rsidR="00F92EEE" w:rsidRDefault="00F92EEE" w:rsidP="00D66738">
      <w:pPr>
        <w:pStyle w:val="Caption"/>
        <w:jc w:val="both"/>
        <w:rPr>
          <w:b w:val="0"/>
        </w:rPr>
      </w:pPr>
      <w:r w:rsidRPr="00225F34">
        <w:rPr>
          <w:b w:val="0"/>
        </w:rPr>
        <w:t xml:space="preserve">The </w:t>
      </w:r>
      <w:r>
        <w:rPr>
          <w:b w:val="0"/>
        </w:rPr>
        <w:t xml:space="preserve">preferred options </w:t>
      </w:r>
      <w:r w:rsidR="009F7FD9">
        <w:rPr>
          <w:b w:val="0"/>
        </w:rPr>
        <w:t xml:space="preserve">recommended in this report </w:t>
      </w:r>
      <w:r>
        <w:rPr>
          <w:b w:val="0"/>
        </w:rPr>
        <w:t>are</w:t>
      </w:r>
      <w:r w:rsidR="009F7FD9">
        <w:rPr>
          <w:b w:val="0"/>
        </w:rPr>
        <w:t>:</w:t>
      </w:r>
      <w:r>
        <w:rPr>
          <w:b w:val="0"/>
        </w:rPr>
        <w:t xml:space="preserve"> </w:t>
      </w:r>
    </w:p>
    <w:p w14:paraId="6C9FBDCE" w14:textId="3C5128B1" w:rsidR="00F92EEE" w:rsidRDefault="00F92EEE" w:rsidP="00D66738">
      <w:pPr>
        <w:pStyle w:val="Caption"/>
        <w:numPr>
          <w:ilvl w:val="0"/>
          <w:numId w:val="110"/>
        </w:numPr>
        <w:jc w:val="both"/>
        <w:rPr>
          <w:b w:val="0"/>
        </w:rPr>
      </w:pPr>
      <w:r>
        <w:rPr>
          <w:b w:val="0"/>
        </w:rPr>
        <w:t xml:space="preserve">To </w:t>
      </w:r>
      <w:r w:rsidR="001F6443">
        <w:rPr>
          <w:b w:val="0"/>
        </w:rPr>
        <w:t>supplement</w:t>
      </w:r>
      <w:r w:rsidR="00083DDA">
        <w:rPr>
          <w:b w:val="0"/>
        </w:rPr>
        <w:t xml:space="preserve"> the</w:t>
      </w:r>
      <w:r>
        <w:rPr>
          <w:b w:val="0"/>
        </w:rPr>
        <w:t xml:space="preserve"> timeline for payments </w:t>
      </w:r>
      <w:r w:rsidR="001F6443">
        <w:rPr>
          <w:b w:val="0"/>
        </w:rPr>
        <w:t xml:space="preserve">with </w:t>
      </w:r>
      <w:r w:rsidR="00083DDA">
        <w:rPr>
          <w:b w:val="0"/>
        </w:rPr>
        <w:t xml:space="preserve">set </w:t>
      </w:r>
      <w:r w:rsidR="008A44A6">
        <w:rPr>
          <w:b w:val="0"/>
        </w:rPr>
        <w:t>timeframes</w:t>
      </w:r>
      <w:r>
        <w:rPr>
          <w:b w:val="0"/>
        </w:rPr>
        <w:t xml:space="preserve"> for disputes and appeals; </w:t>
      </w:r>
    </w:p>
    <w:p w14:paraId="474186B0" w14:textId="77777777" w:rsidR="00F92EEE" w:rsidRDefault="00F92EEE" w:rsidP="00D66738">
      <w:pPr>
        <w:pStyle w:val="Caption"/>
        <w:numPr>
          <w:ilvl w:val="0"/>
          <w:numId w:val="110"/>
        </w:numPr>
        <w:jc w:val="both"/>
        <w:rPr>
          <w:b w:val="0"/>
        </w:rPr>
      </w:pPr>
      <w:r>
        <w:rPr>
          <w:b w:val="0"/>
        </w:rPr>
        <w:t>To permit up-front payments of up to 25% in contracts with small business; and</w:t>
      </w:r>
    </w:p>
    <w:p w14:paraId="37D8FBB5" w14:textId="78ED6EE3" w:rsidR="00F92EEE" w:rsidRPr="00644C05" w:rsidRDefault="00F92EEE" w:rsidP="00D66738">
      <w:pPr>
        <w:pStyle w:val="ListParagraph"/>
        <w:numPr>
          <w:ilvl w:val="0"/>
          <w:numId w:val="110"/>
        </w:numPr>
        <w:jc w:val="both"/>
      </w:pPr>
      <w:r>
        <w:t xml:space="preserve">To </w:t>
      </w:r>
      <w:r w:rsidR="008A44A6">
        <w:t>develop</w:t>
      </w:r>
      <w:r>
        <w:t xml:space="preserve"> and enforce a Code of Good Practice for subcontracting. </w:t>
      </w:r>
    </w:p>
    <w:p w14:paraId="529A875C" w14:textId="77777777" w:rsidR="003949B7" w:rsidRPr="004248A8" w:rsidRDefault="003949B7" w:rsidP="00D66738">
      <w:pPr>
        <w:pStyle w:val="Heading2"/>
        <w:numPr>
          <w:ilvl w:val="1"/>
          <w:numId w:val="149"/>
        </w:numPr>
        <w:ind w:left="0" w:firstLine="0"/>
        <w:jc w:val="both"/>
      </w:pPr>
      <w:bookmarkStart w:id="363" w:name="_Toc479843880"/>
      <w:bookmarkStart w:id="364" w:name="_Toc479844504"/>
      <w:bookmarkStart w:id="365" w:name="_Toc479940822"/>
      <w:r w:rsidRPr="004248A8">
        <w:t>Construction</w:t>
      </w:r>
      <w:bookmarkEnd w:id="363"/>
      <w:bookmarkEnd w:id="364"/>
      <w:bookmarkEnd w:id="365"/>
    </w:p>
    <w:p w14:paraId="0D48BA2F" w14:textId="4FAB85D1" w:rsidR="005D5A67" w:rsidRPr="00F209B7" w:rsidRDefault="00083DDA" w:rsidP="00D66738">
      <w:pPr>
        <w:jc w:val="both"/>
      </w:pPr>
      <w:r>
        <w:t>The construction industry has a disproportionate share of small businesses</w:t>
      </w:r>
      <w:r w:rsidR="005D5A67" w:rsidRPr="00F209B7">
        <w:t xml:space="preserve">. Many small </w:t>
      </w:r>
      <w:r w:rsidR="002B45C8">
        <w:t xml:space="preserve">contractors </w:t>
      </w:r>
      <w:r w:rsidR="005D5A67" w:rsidRPr="00F209B7">
        <w:t xml:space="preserve">argue </w:t>
      </w:r>
      <w:r w:rsidR="002B45C8" w:rsidRPr="00F209B7">
        <w:t xml:space="preserve">however </w:t>
      </w:r>
      <w:r w:rsidR="005D5A67" w:rsidRPr="00F209B7">
        <w:t xml:space="preserve">that they find it difficult </w:t>
      </w:r>
      <w:r w:rsidR="002B45C8">
        <w:t xml:space="preserve">to break into formal production. This is due to in part difficult sector specific regulations and general challenges in accessing </w:t>
      </w:r>
      <w:r w:rsidR="00BF267B">
        <w:t>tenders from</w:t>
      </w:r>
      <w:r w:rsidR="005D5A67" w:rsidRPr="00F209B7">
        <w:t xml:space="preserve"> government entities. This </w:t>
      </w:r>
      <w:r w:rsidR="005D5A67">
        <w:t xml:space="preserve">study </w:t>
      </w:r>
      <w:r w:rsidR="00BF267B">
        <w:t>has a section focused</w:t>
      </w:r>
      <w:r w:rsidR="005D5A67" w:rsidRPr="00F209B7">
        <w:t xml:space="preserve"> on the CIDB Act</w:t>
      </w:r>
      <w:r w:rsidR="005D5A67">
        <w:t xml:space="preserve">, which is </w:t>
      </w:r>
      <w:r w:rsidR="00BF267B">
        <w:t>a sector specific regulation aimed at facilitating</w:t>
      </w:r>
      <w:r w:rsidR="005D5A67">
        <w:t xml:space="preserve"> access to government tenders for small</w:t>
      </w:r>
      <w:r w:rsidR="00226CE4">
        <w:t xml:space="preserve"> </w:t>
      </w:r>
      <w:r w:rsidR="00B72B52">
        <w:t>construction contractors</w:t>
      </w:r>
      <w:r w:rsidR="005D5A67">
        <w:t xml:space="preserve">. </w:t>
      </w:r>
      <w:r w:rsidR="005D5A67" w:rsidRPr="00F209B7">
        <w:t xml:space="preserve"> </w:t>
      </w:r>
    </w:p>
    <w:p w14:paraId="3A1B45D6" w14:textId="77777777" w:rsidR="005D5A67" w:rsidRPr="00F209B7" w:rsidRDefault="005D5A67" w:rsidP="00D66738">
      <w:pPr>
        <w:jc w:val="both"/>
      </w:pPr>
      <w:r w:rsidRPr="00F209B7">
        <w:t xml:space="preserve">The CIDB Act provides for the establishment of the CIDB in order to implement an integrated strategy for the reconstruction, growth and development of the construction industry. Specifically, </w:t>
      </w:r>
    </w:p>
    <w:p w14:paraId="4352F563" w14:textId="77777777" w:rsidR="005D5A67" w:rsidRPr="00F209B7" w:rsidRDefault="005D5A67" w:rsidP="00D66738">
      <w:pPr>
        <w:pStyle w:val="ListParagraph"/>
        <w:numPr>
          <w:ilvl w:val="0"/>
          <w:numId w:val="58"/>
        </w:numPr>
        <w:jc w:val="both"/>
      </w:pPr>
      <w:r w:rsidRPr="00F209B7">
        <w:t xml:space="preserve">Businesses that want to bid for government construction tenders are required to register with the CIDB and, for larger tenders, to demonstrate appropriate competency. </w:t>
      </w:r>
    </w:p>
    <w:p w14:paraId="609CBE37" w14:textId="77777777" w:rsidR="005D5A67" w:rsidRPr="00F209B7" w:rsidRDefault="005D5A67" w:rsidP="00D66738">
      <w:pPr>
        <w:pStyle w:val="ListParagraph"/>
        <w:numPr>
          <w:ilvl w:val="0"/>
          <w:numId w:val="58"/>
        </w:numPr>
        <w:jc w:val="both"/>
      </w:pPr>
      <w:r w:rsidRPr="00F209B7">
        <w:t>Government departments are expected to take the CIDB rating into account in construction tender processes.</w:t>
      </w:r>
    </w:p>
    <w:p w14:paraId="783A295B" w14:textId="77777777" w:rsidR="005D5A67" w:rsidRPr="00F209B7" w:rsidRDefault="005D5A67" w:rsidP="00D66738">
      <w:pPr>
        <w:pStyle w:val="ListParagraph"/>
        <w:numPr>
          <w:ilvl w:val="0"/>
          <w:numId w:val="58"/>
        </w:numPr>
        <w:jc w:val="both"/>
      </w:pPr>
      <w:r w:rsidRPr="00F209B7">
        <w:t xml:space="preserve">The CIDB provides some mentoring and support for emerging construction businesses so that they can gradually improve their competencies and bid for larger tenders. </w:t>
      </w:r>
    </w:p>
    <w:p w14:paraId="6A517F0B" w14:textId="50948AEA" w:rsidR="005D5A67" w:rsidRDefault="005D5A67" w:rsidP="00D66738">
      <w:pPr>
        <w:jc w:val="both"/>
      </w:pPr>
      <w:r>
        <w:t xml:space="preserve">Registration with the CIDB requires extensive documentation and is only paper based, which imposes significant costs in terms of time. Moreover, contractors have to </w:t>
      </w:r>
      <w:r w:rsidR="008A44A6">
        <w:t>demonstrate</w:t>
      </w:r>
      <w:r>
        <w:t xml:space="preserve"> their </w:t>
      </w:r>
      <w:r w:rsidR="008A44A6">
        <w:t>capacity</w:t>
      </w:r>
      <w:r>
        <w:t xml:space="preserve"> to manage contracts in financial and technical terms, which is often difficult. For instance, for a small business to qualify for contracts valued at up to R6,5 million, it has to demonstrate adequate financial capacity through one of the following: </w:t>
      </w:r>
    </w:p>
    <w:p w14:paraId="5383B3EB" w14:textId="77777777" w:rsidR="005D5A67" w:rsidRDefault="005D5A67" w:rsidP="00D66738">
      <w:pPr>
        <w:pStyle w:val="ListParagraph"/>
        <w:numPr>
          <w:ilvl w:val="0"/>
          <w:numId w:val="91"/>
        </w:numPr>
        <w:jc w:val="both"/>
      </w:pPr>
      <w:r>
        <w:t xml:space="preserve">It has had turnover of at least R3,3 million in one of the past five years; </w:t>
      </w:r>
    </w:p>
    <w:p w14:paraId="7E9A1FED" w14:textId="77777777" w:rsidR="005D5A67" w:rsidRDefault="005D5A67" w:rsidP="00D66738">
      <w:pPr>
        <w:pStyle w:val="ListParagraph"/>
        <w:numPr>
          <w:ilvl w:val="0"/>
          <w:numId w:val="91"/>
        </w:numPr>
        <w:jc w:val="both"/>
      </w:pPr>
      <w:r>
        <w:t xml:space="preserve">It completed a contract worth R1,6 million in the past five years; or </w:t>
      </w:r>
    </w:p>
    <w:p w14:paraId="79C7B3F7" w14:textId="77777777" w:rsidR="005D5A67" w:rsidRDefault="005D5A67" w:rsidP="00D66738">
      <w:pPr>
        <w:pStyle w:val="ListParagraph"/>
        <w:numPr>
          <w:ilvl w:val="0"/>
          <w:numId w:val="91"/>
        </w:numPr>
        <w:jc w:val="both"/>
      </w:pPr>
      <w:r>
        <w:t>It has access to R700 000 in capital.</w:t>
      </w:r>
    </w:p>
    <w:p w14:paraId="7D500815" w14:textId="7E96D6B0" w:rsidR="005D5A67" w:rsidRDefault="005D5A67" w:rsidP="00D66738">
      <w:pPr>
        <w:jc w:val="both"/>
      </w:pPr>
      <w:r>
        <w:t xml:space="preserve">In effect, the need to meet capital requires </w:t>
      </w:r>
      <w:r w:rsidRPr="00F209B7">
        <w:t>generates a vicious cycle: contractors cannot accumulate capital because they do not get tenders, but then they cannot get tenders because they have not accumulated capital. The situation ultimately arises because</w:t>
      </w:r>
      <w:r>
        <w:t>, as noted in the discussion on procurement</w:t>
      </w:r>
      <w:r w:rsidRPr="00F209B7">
        <w:t xml:space="preserve">, government agencies </w:t>
      </w:r>
      <w:r>
        <w:t xml:space="preserve">may </w:t>
      </w:r>
      <w:r w:rsidRPr="00F209B7">
        <w:t>not provide up-front financing.</w:t>
      </w:r>
      <w:r>
        <w:t xml:space="preserve"> </w:t>
      </w:r>
    </w:p>
    <w:p w14:paraId="0253097D" w14:textId="5A8A9E51" w:rsidR="005D5A67" w:rsidRPr="00F209B7" w:rsidRDefault="005D5A67" w:rsidP="00D66738">
      <w:pPr>
        <w:jc w:val="both"/>
      </w:pPr>
      <w:r w:rsidRPr="00F209B7">
        <w:t>Informants were mostly concerned that there seemed to be little payback</w:t>
      </w:r>
      <w:r>
        <w:t xml:space="preserve"> </w:t>
      </w:r>
      <w:r w:rsidR="00083DDA">
        <w:t xml:space="preserve">to compensate </w:t>
      </w:r>
      <w:r>
        <w:t xml:space="preserve">for the effort </w:t>
      </w:r>
      <w:r w:rsidR="00083DDA">
        <w:t>of</w:t>
      </w:r>
      <w:r>
        <w:t xml:space="preserve"> registering</w:t>
      </w:r>
      <w:r w:rsidRPr="00F209B7">
        <w:t xml:space="preserve">. </w:t>
      </w:r>
      <w:r>
        <w:t xml:space="preserve"> Specifically, government tenders were still hard to get, which meant that </w:t>
      </w:r>
      <w:r w:rsidRPr="00F209B7">
        <w:t>the adm</w:t>
      </w:r>
      <w:r>
        <w:t xml:space="preserve">inistrative costs loomed </w:t>
      </w:r>
      <w:r w:rsidR="008A44A6">
        <w:t>large. The</w:t>
      </w:r>
      <w:r>
        <w:t xml:space="preserve"> CIDB itself estimates that the 650 </w:t>
      </w:r>
      <w:r>
        <w:lastRenderedPageBreak/>
        <w:t xml:space="preserve">enterprises on levels 8 and 9 account for 80% of the value of all tenders, out of a total of 150 000 registered (mostly on level 1) in 2016. </w:t>
      </w:r>
    </w:p>
    <w:p w14:paraId="469FBDA0" w14:textId="77777777" w:rsidR="005D5A67" w:rsidRDefault="005D5A67" w:rsidP="00D66738">
      <w:pPr>
        <w:jc w:val="both"/>
      </w:pPr>
      <w:r>
        <w:t xml:space="preserve">The lack of access to tenders could be addressed in part by requiring specified levels of subcontracting on larger tenders combined with regulations to ensure minimum standards for subcontractors. There should however be an effective mechanism to enable contractors to appeal against the requirement where an integrated process is technically imperative. </w:t>
      </w:r>
    </w:p>
    <w:p w14:paraId="0D47B7A1" w14:textId="01066F7B" w:rsidR="003949B7" w:rsidRPr="004248A8" w:rsidRDefault="003949B7" w:rsidP="00D66738">
      <w:pPr>
        <w:pStyle w:val="Heading2"/>
        <w:numPr>
          <w:ilvl w:val="1"/>
          <w:numId w:val="149"/>
        </w:numPr>
        <w:ind w:left="0" w:firstLine="0"/>
        <w:jc w:val="both"/>
      </w:pPr>
      <w:bookmarkStart w:id="366" w:name="_Toc479843881"/>
      <w:bookmarkStart w:id="367" w:name="_Toc479844505"/>
      <w:bookmarkStart w:id="368" w:name="_Toc479940823"/>
      <w:r w:rsidRPr="004248A8">
        <w:t>Broad-Based Black Economic Empowerment</w:t>
      </w:r>
      <w:bookmarkEnd w:id="366"/>
      <w:bookmarkEnd w:id="367"/>
      <w:bookmarkEnd w:id="368"/>
    </w:p>
    <w:p w14:paraId="135C61D9" w14:textId="77777777" w:rsidR="003949B7" w:rsidRDefault="003949B7" w:rsidP="00D66738">
      <w:pPr>
        <w:jc w:val="both"/>
      </w:pPr>
      <w:r>
        <w:t xml:space="preserve">The </w:t>
      </w:r>
      <w:r w:rsidRPr="00F209B7">
        <w:t xml:space="preserve">Broad-Based Black Economic Empowerment Act </w:t>
      </w:r>
      <w:r>
        <w:t xml:space="preserve">of 2003 support black-owned business, most of which is small, both by ensuring a preference in </w:t>
      </w:r>
      <w:r w:rsidRPr="00F209B7">
        <w:t xml:space="preserve">government procurement and </w:t>
      </w:r>
      <w:r>
        <w:t xml:space="preserve">by incentivising large </w:t>
      </w:r>
      <w:r w:rsidRPr="00F209B7">
        <w:t>businesses</w:t>
      </w:r>
      <w:r>
        <w:t xml:space="preserve"> to support black-owned suppliers</w:t>
      </w:r>
      <w:r w:rsidRPr="00F209B7">
        <w:t>.</w:t>
      </w:r>
      <w:r>
        <w:t xml:space="preserve"> At the same time, it may impose costs on white-owned small business, at least when they are competing with black-owned or empowered enterprises.  </w:t>
      </w:r>
    </w:p>
    <w:p w14:paraId="5A228AD0" w14:textId="7739D64F" w:rsidR="003949B7" w:rsidRPr="00F209B7" w:rsidRDefault="003949B7" w:rsidP="00D66738">
      <w:pPr>
        <w:jc w:val="both"/>
      </w:pPr>
      <w:r>
        <w:t>The</w:t>
      </w:r>
      <w:r w:rsidRPr="00D40FDE">
        <w:rPr>
          <w:b/>
        </w:rPr>
        <w:t xml:space="preserve"> dti</w:t>
      </w:r>
      <w:r>
        <w:t xml:space="preserve"> has sought to reduce the burden on micro and black-owned small enterprise </w:t>
      </w:r>
      <w:r w:rsidR="00D40FDE">
        <w:t>of obtaining a certificate of B</w:t>
      </w:r>
      <w:r>
        <w:t xml:space="preserve">BBEE compliance by permitting them to provide an affidavit. In contrast, larger businesses and white-owned small business must get a formal certification, which can prove costly and time consuming. Verification agencies are largely unregulated, and the amount of time </w:t>
      </w:r>
      <w:proofErr w:type="gramStart"/>
      <w:r>
        <w:t>required</w:t>
      </w:r>
      <w:proofErr w:type="gramEnd"/>
      <w:r>
        <w:t xml:space="preserve"> and the cost of a certificate varies widely. </w:t>
      </w:r>
    </w:p>
    <w:p w14:paraId="7A342440" w14:textId="77777777" w:rsidR="003949B7" w:rsidRDefault="003949B7" w:rsidP="00D66738">
      <w:pPr>
        <w:jc w:val="both"/>
      </w:pPr>
      <w:r>
        <w:t>The research was unable to quantify the substantive cost of BBBEE for white-owned enterprises, or the benefits to black-owned or empowered businesses. In terms of certification, the preferred options are:</w:t>
      </w:r>
    </w:p>
    <w:p w14:paraId="3D5FB186" w14:textId="77777777" w:rsidR="003949B7" w:rsidRDefault="003949B7" w:rsidP="00D66738">
      <w:pPr>
        <w:pStyle w:val="ListParagraph"/>
        <w:numPr>
          <w:ilvl w:val="0"/>
          <w:numId w:val="72"/>
        </w:numPr>
        <w:jc w:val="both"/>
      </w:pPr>
      <w:r>
        <w:t xml:space="preserve">The National Treasury should be requested to issue a directive requiring procurement officers to accept affidavits for qualifying small enterprises, and the DSBD should set up a hotline for complaints on the issue. </w:t>
      </w:r>
    </w:p>
    <w:p w14:paraId="5E2DE5BD" w14:textId="77777777" w:rsidR="00557004" w:rsidRDefault="003949B7" w:rsidP="00D66738">
      <w:pPr>
        <w:numPr>
          <w:ilvl w:val="0"/>
          <w:numId w:val="32"/>
        </w:numPr>
        <w:spacing w:after="240"/>
        <w:jc w:val="both"/>
      </w:pPr>
      <w:r>
        <w:t xml:space="preserve">The </w:t>
      </w:r>
      <w:r w:rsidRPr="00D40FDE">
        <w:rPr>
          <w:b/>
        </w:rPr>
        <w:t>dti</w:t>
      </w:r>
      <w:r>
        <w:t xml:space="preserve"> should be requested to issue regulations on the amount of time and cost of certification, and all verification agencies should be </w:t>
      </w:r>
      <w:r w:rsidR="00736831">
        <w:t>publishing</w:t>
      </w:r>
      <w:r>
        <w:t xml:space="preserve"> a list of fees according to specified criteria (for instance, the size of the enterprise and its sector). </w:t>
      </w:r>
      <w:bookmarkStart w:id="369" w:name="_Toc479843882"/>
      <w:bookmarkStart w:id="370" w:name="_Toc479844506"/>
    </w:p>
    <w:p w14:paraId="45520230" w14:textId="77777777" w:rsidR="00557004" w:rsidRDefault="00557004" w:rsidP="00D66738">
      <w:pPr>
        <w:spacing w:before="0" w:after="200" w:line="276" w:lineRule="auto"/>
        <w:jc w:val="both"/>
      </w:pPr>
      <w:r>
        <w:br w:type="page"/>
      </w:r>
    </w:p>
    <w:p w14:paraId="3681E48F" w14:textId="21D3618C" w:rsidR="00861B8C" w:rsidRPr="00D66738" w:rsidRDefault="00FF3571" w:rsidP="00D66738">
      <w:pPr>
        <w:pStyle w:val="Heading1"/>
        <w:spacing w:after="240"/>
        <w:rPr>
          <w:rFonts w:asciiTheme="minorHAnsi" w:hAnsiTheme="minorHAnsi"/>
          <w:color w:val="1B5068"/>
          <w:sz w:val="44"/>
        </w:rPr>
      </w:pPr>
      <w:bookmarkStart w:id="371" w:name="_Toc479940824"/>
      <w:r w:rsidRPr="00D66738">
        <w:rPr>
          <w:rFonts w:asciiTheme="minorHAnsi" w:hAnsiTheme="minorHAnsi"/>
          <w:color w:val="1B5068"/>
          <w:sz w:val="44"/>
        </w:rPr>
        <w:lastRenderedPageBreak/>
        <w:t>REGULATORY BURDENS ON SMALL BUSINESS: OPTIONS FOR IMPROVEMENT</w:t>
      </w:r>
      <w:bookmarkEnd w:id="369"/>
      <w:bookmarkEnd w:id="370"/>
      <w:bookmarkEnd w:id="371"/>
    </w:p>
    <w:p w14:paraId="5B8BA5D3" w14:textId="056EDCF9" w:rsidR="00522D77" w:rsidRPr="00CC0F97" w:rsidRDefault="00FC03C7" w:rsidP="00D66738">
      <w:pPr>
        <w:pStyle w:val="Heading1"/>
        <w:numPr>
          <w:ilvl w:val="0"/>
          <w:numId w:val="118"/>
        </w:numPr>
        <w:spacing w:after="160" w:line="259" w:lineRule="auto"/>
        <w:jc w:val="both"/>
        <w:rPr>
          <w:rFonts w:ascii="Calibri" w:hAnsi="Calibri"/>
          <w:caps/>
          <w:color w:val="1B5068"/>
        </w:rPr>
      </w:pPr>
      <w:bookmarkStart w:id="372" w:name="_Toc479843883"/>
      <w:bookmarkStart w:id="373" w:name="_Toc479844507"/>
      <w:bookmarkStart w:id="374" w:name="_Toc479940825"/>
      <w:r w:rsidRPr="00CC0F97">
        <w:rPr>
          <w:rFonts w:ascii="Calibri" w:hAnsi="Calibri"/>
          <w:caps/>
          <w:color w:val="1B5068"/>
        </w:rPr>
        <w:t>Aims and deliverables</w:t>
      </w:r>
      <w:bookmarkEnd w:id="372"/>
      <w:bookmarkEnd w:id="373"/>
      <w:bookmarkEnd w:id="374"/>
    </w:p>
    <w:p w14:paraId="17657C14" w14:textId="6D6B4623" w:rsidR="00FC03C7" w:rsidRPr="00F209B7" w:rsidRDefault="00FC03C7" w:rsidP="00D66738">
      <w:pPr>
        <w:jc w:val="both"/>
      </w:pPr>
      <w:r w:rsidRPr="00F209B7">
        <w:t xml:space="preserve">At the request of </w:t>
      </w:r>
      <w:r w:rsidR="006B0356">
        <w:t xml:space="preserve">the Department of </w:t>
      </w:r>
      <w:r w:rsidR="003C2F77">
        <w:t>Planning,</w:t>
      </w:r>
      <w:r w:rsidR="006B0356">
        <w:t xml:space="preserve"> Monitoring and Evaluation (</w:t>
      </w:r>
      <w:r w:rsidRPr="00F209B7">
        <w:t>DPME</w:t>
      </w:r>
      <w:r w:rsidR="006B0356">
        <w:t>)</w:t>
      </w:r>
      <w:r w:rsidRPr="00F209B7">
        <w:t xml:space="preserve"> and </w:t>
      </w:r>
      <w:r w:rsidR="006B0356">
        <w:t>Department of Small Business Development (</w:t>
      </w:r>
      <w:r w:rsidR="0081366D">
        <w:t>D</w:t>
      </w:r>
      <w:r w:rsidRPr="00F209B7">
        <w:t>S</w:t>
      </w:r>
      <w:r w:rsidR="0081366D">
        <w:t>B</w:t>
      </w:r>
      <w:r w:rsidRPr="00F209B7">
        <w:t>D</w:t>
      </w:r>
      <w:r w:rsidR="006B0356">
        <w:t>)</w:t>
      </w:r>
      <w:r w:rsidRPr="00F209B7">
        <w:t xml:space="preserve">, the Employment Promotion Programme (EPP) contracted Trade </w:t>
      </w:r>
      <w:r w:rsidR="0081366D">
        <w:t>&amp; Industrial Policy Strategies</w:t>
      </w:r>
      <w:r w:rsidRPr="00F209B7">
        <w:t xml:space="preserve"> (TIPS)</w:t>
      </w:r>
      <w:r w:rsidRPr="00F209B7">
        <w:rPr>
          <w:rStyle w:val="FootnoteReference"/>
        </w:rPr>
        <w:footnoteReference w:id="3"/>
      </w:r>
      <w:r w:rsidRPr="00F209B7">
        <w:t xml:space="preserve"> to assist in developing measures to reduce the regulatory burden on small business. </w:t>
      </w:r>
      <w:r w:rsidR="006669E1" w:rsidRPr="00F209B7">
        <w:t>Specifically, TIPS was tasked:</w:t>
      </w:r>
    </w:p>
    <w:p w14:paraId="2B55B860" w14:textId="77777777" w:rsidR="00FC03C7" w:rsidRPr="00F209B7" w:rsidRDefault="00FC03C7" w:rsidP="00D66738">
      <w:pPr>
        <w:pStyle w:val="ListParagraph"/>
        <w:numPr>
          <w:ilvl w:val="0"/>
          <w:numId w:val="5"/>
        </w:numPr>
        <w:jc w:val="both"/>
      </w:pPr>
      <w:r w:rsidRPr="00F209B7">
        <w:t xml:space="preserve">To research the administrative burden on </w:t>
      </w:r>
      <w:r w:rsidR="00B14897" w:rsidRPr="00F209B7">
        <w:t>small business</w:t>
      </w:r>
      <w:r w:rsidR="006669E1" w:rsidRPr="00F209B7">
        <w:t>,</w:t>
      </w:r>
      <w:r w:rsidRPr="00F209B7">
        <w:t xml:space="preserve"> </w:t>
      </w:r>
    </w:p>
    <w:p w14:paraId="128EFBB1" w14:textId="77777777" w:rsidR="006669E1" w:rsidRPr="00F209B7" w:rsidRDefault="006669E1" w:rsidP="00D66738">
      <w:pPr>
        <w:pStyle w:val="ListParagraph"/>
        <w:numPr>
          <w:ilvl w:val="0"/>
          <w:numId w:val="5"/>
        </w:numPr>
        <w:jc w:val="both"/>
      </w:pPr>
      <w:r w:rsidRPr="00F209B7">
        <w:t>On that basis, t</w:t>
      </w:r>
      <w:r w:rsidR="00FC03C7" w:rsidRPr="00F209B7">
        <w:t xml:space="preserve">o </w:t>
      </w:r>
      <w:r w:rsidRPr="00F209B7">
        <w:t>identify specific, practical changes in rules and systems in order to reduce the regulatory burden on small business, and</w:t>
      </w:r>
    </w:p>
    <w:p w14:paraId="125A6D5A" w14:textId="662ACC21" w:rsidR="00FC03C7" w:rsidRPr="00F209B7" w:rsidRDefault="006669E1" w:rsidP="00D66738">
      <w:pPr>
        <w:pStyle w:val="ListParagraph"/>
        <w:numPr>
          <w:ilvl w:val="0"/>
          <w:numId w:val="5"/>
        </w:numPr>
        <w:jc w:val="both"/>
      </w:pPr>
      <w:r w:rsidRPr="00F209B7">
        <w:t>To indicate the main costs, benefits and risks to other stak</w:t>
      </w:r>
      <w:r w:rsidR="0081366D">
        <w:t>eholders of the proposed options</w:t>
      </w:r>
      <w:r w:rsidRPr="00F209B7">
        <w:t xml:space="preserve">. </w:t>
      </w:r>
    </w:p>
    <w:p w14:paraId="3221C414" w14:textId="429D2707" w:rsidR="006669E1" w:rsidRPr="00F209B7" w:rsidRDefault="006669E1" w:rsidP="00D66738">
      <w:pPr>
        <w:jc w:val="both"/>
      </w:pPr>
      <w:r w:rsidRPr="00F209B7">
        <w:t xml:space="preserve">It is however not </w:t>
      </w:r>
      <w:r w:rsidR="0081366D">
        <w:t>feasible</w:t>
      </w:r>
      <w:r w:rsidRPr="00F209B7">
        <w:t xml:space="preserve"> to analyse and propose amendments to all regulations that affect small business in one project. For this reason, the project also aimed to develop and test a methodology that would enable on-going work </w:t>
      </w:r>
      <w:r w:rsidR="0081366D">
        <w:t xml:space="preserve">within government </w:t>
      </w:r>
      <w:r w:rsidRPr="00F209B7">
        <w:t xml:space="preserve">to review regulatory burdens for small business with a view to identifying specific interventions to reduce them. </w:t>
      </w:r>
    </w:p>
    <w:p w14:paraId="546BF773" w14:textId="00BDB702" w:rsidR="00522D77" w:rsidRPr="00F209B7" w:rsidRDefault="006669E1" w:rsidP="00D66738">
      <w:pPr>
        <w:jc w:val="both"/>
      </w:pPr>
      <w:r w:rsidRPr="00F209B7">
        <w:t>While addressing the regulatory burden on sm</w:t>
      </w:r>
      <w:r w:rsidR="0081366D">
        <w:t>all business is important, it is</w:t>
      </w:r>
      <w:r w:rsidRPr="00F209B7">
        <w:t xml:space="preserve"> not sufficient</w:t>
      </w:r>
      <w:r w:rsidR="0081366D">
        <w:t xml:space="preserve"> as it does not</w:t>
      </w:r>
      <w:r w:rsidRPr="00F209B7">
        <w:t xml:space="preserve"> address </w:t>
      </w:r>
      <w:r w:rsidR="0081366D">
        <w:t xml:space="preserve">all of </w:t>
      </w:r>
      <w:r w:rsidRPr="00F209B7">
        <w:t xml:space="preserve">the underlying structural </w:t>
      </w:r>
      <w:r w:rsidR="003B09F3">
        <w:t>constraints</w:t>
      </w:r>
      <w:r w:rsidRPr="00F209B7">
        <w:t xml:space="preserve"> that they face. These </w:t>
      </w:r>
      <w:r w:rsidR="009F4CBE">
        <w:t xml:space="preserve">constraints </w:t>
      </w:r>
      <w:r w:rsidR="009F4CBE" w:rsidRPr="00F209B7">
        <w:t>include</w:t>
      </w:r>
      <w:r w:rsidRPr="00F209B7">
        <w:t xml:space="preserve"> </w:t>
      </w:r>
      <w:r w:rsidR="005776B8">
        <w:t>inadequate access to</w:t>
      </w:r>
      <w:r w:rsidR="0081366D" w:rsidRPr="00F209B7">
        <w:t xml:space="preserve"> finance</w:t>
      </w:r>
      <w:r w:rsidR="005776B8">
        <w:t>,</w:t>
      </w:r>
      <w:r w:rsidR="0081366D" w:rsidRPr="00F209B7">
        <w:t xml:space="preserve"> </w:t>
      </w:r>
      <w:r w:rsidR="005776B8" w:rsidRPr="00F209B7">
        <w:t xml:space="preserve">assets </w:t>
      </w:r>
      <w:r w:rsidR="0081366D" w:rsidRPr="00F209B7">
        <w:t xml:space="preserve">and </w:t>
      </w:r>
      <w:r w:rsidR="005776B8">
        <w:t>infrastructure;</w:t>
      </w:r>
      <w:r w:rsidR="0081366D" w:rsidRPr="00F209B7">
        <w:t xml:space="preserve"> </w:t>
      </w:r>
      <w:r w:rsidRPr="00F209B7">
        <w:t>the lack of a</w:t>
      </w:r>
      <w:r w:rsidR="005776B8">
        <w:t>ppropriate market institutions;</w:t>
      </w:r>
      <w:r w:rsidRPr="00F209B7">
        <w:t xml:space="preserve"> and skills shortages. </w:t>
      </w:r>
      <w:r w:rsidR="00825AC1" w:rsidRPr="00F209B7">
        <w:t xml:space="preserve">From this standpoint, the proposals arising from this study </w:t>
      </w:r>
      <w:r w:rsidR="007E426E">
        <w:t>should</w:t>
      </w:r>
      <w:r w:rsidR="00825AC1" w:rsidRPr="00F209B7">
        <w:t xml:space="preserve"> support growth in small business, but </w:t>
      </w:r>
      <w:r w:rsidR="007E426E">
        <w:t xml:space="preserve">they </w:t>
      </w:r>
      <w:r w:rsidR="00825AC1" w:rsidRPr="00F209B7">
        <w:t xml:space="preserve">will not </w:t>
      </w:r>
      <w:r w:rsidR="007E426E">
        <w:t xml:space="preserve">by themselves </w:t>
      </w:r>
      <w:r w:rsidR="00825AC1" w:rsidRPr="00F209B7">
        <w:t xml:space="preserve">unlock growth. </w:t>
      </w:r>
    </w:p>
    <w:p w14:paraId="4D00DBDB" w14:textId="6A1EA60A" w:rsidR="00FC03C7" w:rsidRPr="00F209B7" w:rsidRDefault="00EA6BA3" w:rsidP="00D66738">
      <w:pPr>
        <w:jc w:val="both"/>
      </w:pPr>
      <w:r w:rsidRPr="00F209B7">
        <w:t xml:space="preserve">The study was </w:t>
      </w:r>
      <w:r w:rsidR="00526175" w:rsidRPr="00F209B7">
        <w:t>assisted</w:t>
      </w:r>
      <w:r w:rsidRPr="00F209B7">
        <w:t xml:space="preserve"> by inputs from the </w:t>
      </w:r>
      <w:r w:rsidR="003B09F3">
        <w:t xml:space="preserve">DSBD and </w:t>
      </w:r>
      <w:r w:rsidRPr="00F209B7">
        <w:t>EPP Steering Committee</w:t>
      </w:r>
      <w:r w:rsidR="003B09F3">
        <w:t>s</w:t>
      </w:r>
      <w:r w:rsidRPr="00F209B7">
        <w:t xml:space="preserve">. In this context, it </w:t>
      </w:r>
      <w:r w:rsidR="00825AC1" w:rsidRPr="00F209B7">
        <w:t>was a</w:t>
      </w:r>
      <w:r w:rsidR="00FC03C7" w:rsidRPr="00F209B7">
        <w:t xml:space="preserve">greed that </w:t>
      </w:r>
      <w:r w:rsidR="00825AC1" w:rsidRPr="00F209B7">
        <w:t xml:space="preserve">the study </w:t>
      </w:r>
      <w:r w:rsidR="00FC03C7" w:rsidRPr="00F209B7">
        <w:t>would focus on four areas:</w:t>
      </w:r>
    </w:p>
    <w:p w14:paraId="34FF3BAC" w14:textId="66A13011" w:rsidR="00FC03C7" w:rsidRPr="00F209B7" w:rsidRDefault="00FC03C7" w:rsidP="00D66738">
      <w:pPr>
        <w:pStyle w:val="ListParagraph"/>
        <w:numPr>
          <w:ilvl w:val="0"/>
          <w:numId w:val="6"/>
        </w:numPr>
        <w:jc w:val="both"/>
      </w:pPr>
      <w:r w:rsidRPr="00F209B7">
        <w:t>Registration and reporting under tax, company registration and labour laws</w:t>
      </w:r>
      <w:r w:rsidR="003B09F3">
        <w:t>;</w:t>
      </w:r>
    </w:p>
    <w:p w14:paraId="3EA10A87" w14:textId="09510C49" w:rsidR="00EA6BA3" w:rsidRPr="00F209B7" w:rsidRDefault="00EA6BA3" w:rsidP="00D66738">
      <w:pPr>
        <w:pStyle w:val="ListParagraph"/>
        <w:numPr>
          <w:ilvl w:val="0"/>
          <w:numId w:val="6"/>
        </w:numPr>
        <w:jc w:val="both"/>
      </w:pPr>
      <w:r w:rsidRPr="00F209B7">
        <w:t>State procurement</w:t>
      </w:r>
      <w:r w:rsidR="003B09F3">
        <w:t>;</w:t>
      </w:r>
    </w:p>
    <w:p w14:paraId="431DBD1A" w14:textId="7BA3D2E2" w:rsidR="00EA6BA3" w:rsidRPr="00F209B7" w:rsidRDefault="00EA6BA3" w:rsidP="00D66738">
      <w:pPr>
        <w:pStyle w:val="ListParagraph"/>
        <w:numPr>
          <w:ilvl w:val="0"/>
          <w:numId w:val="6"/>
        </w:numPr>
        <w:jc w:val="both"/>
      </w:pPr>
      <w:r w:rsidRPr="00F209B7">
        <w:t>Construction</w:t>
      </w:r>
      <w:r w:rsidR="003B09F3">
        <w:t>; and</w:t>
      </w:r>
    </w:p>
    <w:p w14:paraId="66EC630A" w14:textId="34D4B329" w:rsidR="00FC03C7" w:rsidRPr="00F209B7" w:rsidRDefault="00EA6BA3" w:rsidP="00D66738">
      <w:pPr>
        <w:pStyle w:val="ListParagraph"/>
        <w:numPr>
          <w:ilvl w:val="0"/>
          <w:numId w:val="6"/>
        </w:numPr>
        <w:jc w:val="both"/>
      </w:pPr>
      <w:r w:rsidRPr="00F209B7">
        <w:t>Broad-Based Black Economic Empowerment (BBBEE).</w:t>
      </w:r>
    </w:p>
    <w:p w14:paraId="15A0533F" w14:textId="77777777" w:rsidR="00EA6BA3" w:rsidRPr="00F209B7" w:rsidRDefault="00EA6BA3" w:rsidP="00D66738">
      <w:pPr>
        <w:jc w:val="both"/>
      </w:pPr>
      <w:r w:rsidRPr="00F209B7">
        <w:t xml:space="preserve">It was agreed that the project would provide five deliverables: </w:t>
      </w:r>
    </w:p>
    <w:p w14:paraId="42A65ED8" w14:textId="77777777" w:rsidR="00522D77" w:rsidRPr="00F209B7" w:rsidRDefault="00EA6BA3" w:rsidP="00D66738">
      <w:pPr>
        <w:pStyle w:val="ListParagraph"/>
        <w:numPr>
          <w:ilvl w:val="0"/>
          <w:numId w:val="60"/>
        </w:numPr>
        <w:jc w:val="both"/>
      </w:pPr>
      <w:r w:rsidRPr="00F209B7">
        <w:t>An i</w:t>
      </w:r>
      <w:r w:rsidR="00522D77" w:rsidRPr="00F209B7">
        <w:t>nception report</w:t>
      </w:r>
    </w:p>
    <w:p w14:paraId="2A685190" w14:textId="275053B8" w:rsidR="00E7462B" w:rsidRDefault="00E7462B" w:rsidP="00D66738">
      <w:pPr>
        <w:pStyle w:val="ListParagraph"/>
        <w:numPr>
          <w:ilvl w:val="0"/>
          <w:numId w:val="60"/>
        </w:numPr>
        <w:jc w:val="both"/>
      </w:pPr>
      <w:r>
        <w:t>A draft research report, which includes a literature review on</w:t>
      </w:r>
      <w:r w:rsidRPr="00E7462B">
        <w:t xml:space="preserve"> the existing research on the regulatory burdens on small busi</w:t>
      </w:r>
      <w:r>
        <w:t xml:space="preserve">ness in South Africa and outlines the </w:t>
      </w:r>
      <w:r w:rsidRPr="00E7462B">
        <w:t>proposed research framework</w:t>
      </w:r>
    </w:p>
    <w:p w14:paraId="03915ED6" w14:textId="7D05056A" w:rsidR="00522D77" w:rsidRPr="00F209B7" w:rsidRDefault="00E7462B" w:rsidP="00D66738">
      <w:pPr>
        <w:pStyle w:val="ListParagraph"/>
        <w:numPr>
          <w:ilvl w:val="0"/>
          <w:numId w:val="60"/>
        </w:numPr>
        <w:jc w:val="both"/>
      </w:pPr>
      <w:r>
        <w:lastRenderedPageBreak/>
        <w:t>A progress report, that includes a</w:t>
      </w:r>
      <w:r w:rsidR="00EA6BA3" w:rsidRPr="00F209B7">
        <w:t xml:space="preserve"> t</w:t>
      </w:r>
      <w:r w:rsidR="00522D77" w:rsidRPr="00F209B7">
        <w:t>extual analysis</w:t>
      </w:r>
      <w:r w:rsidR="00EA6BA3" w:rsidRPr="00F209B7">
        <w:t xml:space="preserve"> of the relevant laws and regulations</w:t>
      </w:r>
    </w:p>
    <w:p w14:paraId="7AEFED76" w14:textId="77777777" w:rsidR="00522D77" w:rsidRPr="00F209B7" w:rsidRDefault="00EA6BA3" w:rsidP="00D66738">
      <w:pPr>
        <w:pStyle w:val="ListParagraph"/>
        <w:numPr>
          <w:ilvl w:val="0"/>
          <w:numId w:val="60"/>
        </w:numPr>
        <w:jc w:val="both"/>
      </w:pPr>
      <w:r w:rsidRPr="00F209B7">
        <w:t>A d</w:t>
      </w:r>
      <w:r w:rsidR="00522D77" w:rsidRPr="00F209B7">
        <w:t>raft final report</w:t>
      </w:r>
      <w:r w:rsidRPr="00F209B7">
        <w:t xml:space="preserve"> that would be circulated for comment to the DSBD and the EPP Steering Committee</w:t>
      </w:r>
    </w:p>
    <w:p w14:paraId="7E76349A" w14:textId="1CC6A16E" w:rsidR="009F4CBE" w:rsidRDefault="00EA6BA3" w:rsidP="00D66738">
      <w:pPr>
        <w:pStyle w:val="ListParagraph"/>
        <w:numPr>
          <w:ilvl w:val="0"/>
          <w:numId w:val="60"/>
        </w:numPr>
        <w:jc w:val="both"/>
      </w:pPr>
      <w:r w:rsidRPr="00F209B7">
        <w:t>A f</w:t>
      </w:r>
      <w:r w:rsidR="00522D77" w:rsidRPr="00F209B7">
        <w:t>inal report</w:t>
      </w:r>
      <w:r w:rsidRPr="00F209B7">
        <w:t xml:space="preserve">, </w:t>
      </w:r>
      <w:r w:rsidR="00E7462B">
        <w:t>with findings, recommendations and a</w:t>
      </w:r>
      <w:r w:rsidRPr="00F209B7">
        <w:t xml:space="preserve"> set of </w:t>
      </w:r>
      <w:r w:rsidR="000A2899">
        <w:t>briefing notes on options.</w:t>
      </w:r>
    </w:p>
    <w:p w14:paraId="744533C6" w14:textId="7A047E20" w:rsidR="00E5099D" w:rsidRPr="00F209B7" w:rsidRDefault="00E5099D" w:rsidP="00D66738">
      <w:pPr>
        <w:spacing w:after="240"/>
        <w:jc w:val="both"/>
      </w:pPr>
      <w:r w:rsidRPr="00F209B7">
        <w:t>This study</w:t>
      </w:r>
      <w:r w:rsidR="007E426E">
        <w:t>, which constitutes the final deliverable,</w:t>
      </w:r>
      <w:r w:rsidRPr="00F209B7">
        <w:t xml:space="preserve"> starts with a brief assessment of the extent and </w:t>
      </w:r>
      <w:r w:rsidR="00767E97" w:rsidRPr="00F209B7">
        <w:t>nature of small business, which sets the context and motivation. It then reviews existing studies on small business in South Africa and indicates how this research takes them forward, and outlines the methodology used.</w:t>
      </w:r>
      <w:r w:rsidR="005776B8">
        <w:t xml:space="preserve"> Section five to</w:t>
      </w:r>
      <w:r w:rsidR="006666E2">
        <w:t xml:space="preserve"> eight</w:t>
      </w:r>
      <w:r w:rsidR="00767E97" w:rsidRPr="00F209B7">
        <w:t xml:space="preserve">, which constitutes the bulk of the study, provides an in-depth analysis of </w:t>
      </w:r>
      <w:r w:rsidR="006666E2">
        <w:t xml:space="preserve">the </w:t>
      </w:r>
      <w:r w:rsidR="00767E97" w:rsidRPr="00F209B7">
        <w:t xml:space="preserve">four main regulatory areas, with </w:t>
      </w:r>
      <w:r w:rsidR="006666E2">
        <w:t xml:space="preserve">respective </w:t>
      </w:r>
      <w:r w:rsidR="00767E97" w:rsidRPr="00F209B7">
        <w:t xml:space="preserve">proposals for regulatory reform.  The final section provides a summary of the </w:t>
      </w:r>
      <w:r w:rsidR="006666E2">
        <w:t xml:space="preserve">options and </w:t>
      </w:r>
      <w:r w:rsidR="00767E97" w:rsidRPr="00F209B7">
        <w:t xml:space="preserve">findings from the study. </w:t>
      </w:r>
    </w:p>
    <w:p w14:paraId="0BE3BCA9" w14:textId="57D3B726" w:rsidR="000F5D81" w:rsidRPr="00424006" w:rsidRDefault="000F5D81" w:rsidP="00D66738">
      <w:pPr>
        <w:pStyle w:val="Heading1"/>
        <w:numPr>
          <w:ilvl w:val="0"/>
          <w:numId w:val="118"/>
        </w:numPr>
        <w:spacing w:after="160" w:line="259" w:lineRule="auto"/>
        <w:jc w:val="both"/>
        <w:rPr>
          <w:rFonts w:ascii="Calibri" w:hAnsi="Calibri"/>
          <w:caps/>
          <w:color w:val="1B5068"/>
        </w:rPr>
      </w:pPr>
      <w:bookmarkStart w:id="375" w:name="_Toc479940826"/>
      <w:r w:rsidRPr="00424006">
        <w:rPr>
          <w:rFonts w:ascii="Calibri" w:hAnsi="Calibri"/>
          <w:caps/>
          <w:color w:val="1B5068"/>
        </w:rPr>
        <w:t xml:space="preserve">Problem Statement: The </w:t>
      </w:r>
      <w:r w:rsidR="00861B8C" w:rsidRPr="00424006">
        <w:rPr>
          <w:rFonts w:ascii="Calibri" w:hAnsi="Calibri"/>
          <w:caps/>
          <w:color w:val="1B5068"/>
        </w:rPr>
        <w:t xml:space="preserve">small business </w:t>
      </w:r>
      <w:r w:rsidRPr="00424006">
        <w:rPr>
          <w:rFonts w:ascii="Calibri" w:hAnsi="Calibri"/>
          <w:caps/>
          <w:color w:val="1B5068"/>
        </w:rPr>
        <w:t>shortfall in South Africa</w:t>
      </w:r>
      <w:bookmarkEnd w:id="375"/>
    </w:p>
    <w:p w14:paraId="71A2763C" w14:textId="7E603CC2" w:rsidR="00B56FC6" w:rsidRPr="00F209B7" w:rsidRDefault="000F5D81" w:rsidP="00D66738">
      <w:pPr>
        <w:jc w:val="both"/>
        <w:rPr>
          <w:szCs w:val="24"/>
        </w:rPr>
      </w:pPr>
      <w:r w:rsidRPr="00F209B7">
        <w:rPr>
          <w:szCs w:val="24"/>
        </w:rPr>
        <w:t xml:space="preserve">South Africa has </w:t>
      </w:r>
      <w:r w:rsidR="002B78BA" w:rsidRPr="00F209B7">
        <w:rPr>
          <w:szCs w:val="24"/>
        </w:rPr>
        <w:t>an</w:t>
      </w:r>
      <w:r>
        <w:rPr>
          <w:szCs w:val="24"/>
        </w:rPr>
        <w:t xml:space="preserve"> </w:t>
      </w:r>
      <w:r w:rsidRPr="00F209B7">
        <w:rPr>
          <w:szCs w:val="24"/>
        </w:rPr>
        <w:t xml:space="preserve">unusually </w:t>
      </w:r>
      <w:r>
        <w:rPr>
          <w:szCs w:val="24"/>
        </w:rPr>
        <w:t>low share</w:t>
      </w:r>
      <w:r w:rsidRPr="00F209B7">
        <w:rPr>
          <w:szCs w:val="24"/>
        </w:rPr>
        <w:t xml:space="preserve"> of </w:t>
      </w:r>
      <w:r w:rsidR="002B78BA" w:rsidRPr="00F209B7">
        <w:rPr>
          <w:szCs w:val="24"/>
        </w:rPr>
        <w:t xml:space="preserve">employers and </w:t>
      </w:r>
      <w:r w:rsidRPr="00F209B7">
        <w:rPr>
          <w:szCs w:val="24"/>
        </w:rPr>
        <w:t xml:space="preserve">self-employed </w:t>
      </w:r>
      <w:r>
        <w:rPr>
          <w:szCs w:val="24"/>
        </w:rPr>
        <w:t>people</w:t>
      </w:r>
      <w:r w:rsidRPr="00F209B7">
        <w:rPr>
          <w:szCs w:val="24"/>
        </w:rPr>
        <w:t xml:space="preserve"> in the labour force</w:t>
      </w:r>
      <w:r w:rsidR="002B78BA" w:rsidRPr="00F209B7">
        <w:rPr>
          <w:szCs w:val="24"/>
        </w:rPr>
        <w:t xml:space="preserve">, and a relatively low share of working age adults in employment at all. </w:t>
      </w:r>
      <w:r w:rsidR="00B56FC6" w:rsidRPr="00F209B7">
        <w:rPr>
          <w:szCs w:val="24"/>
        </w:rPr>
        <w:t>That in itself is</w:t>
      </w:r>
      <w:r w:rsidRPr="00F209B7">
        <w:rPr>
          <w:szCs w:val="24"/>
        </w:rPr>
        <w:t xml:space="preserve"> a major factor behind high joblessness and the associated inequality and economic exclusion</w:t>
      </w:r>
      <w:r w:rsidR="00B56FC6" w:rsidRPr="00F209B7">
        <w:rPr>
          <w:szCs w:val="24"/>
        </w:rPr>
        <w:t xml:space="preserve">. </w:t>
      </w:r>
    </w:p>
    <w:p w14:paraId="3D95B826" w14:textId="766813B5" w:rsidR="000F5D81" w:rsidRPr="00F209B7" w:rsidRDefault="00767E97" w:rsidP="00D66738">
      <w:pPr>
        <w:jc w:val="both"/>
        <w:rPr>
          <w:szCs w:val="24"/>
        </w:rPr>
      </w:pPr>
      <w:r w:rsidRPr="00F209B7">
        <w:rPr>
          <w:szCs w:val="24"/>
        </w:rPr>
        <w:t xml:space="preserve">This chapter first </w:t>
      </w:r>
      <w:r w:rsidR="007F5C44" w:rsidRPr="00F209B7">
        <w:rPr>
          <w:szCs w:val="24"/>
        </w:rPr>
        <w:t xml:space="preserve">reviews </w:t>
      </w:r>
      <w:r w:rsidR="00B00C15" w:rsidRPr="00F209B7">
        <w:rPr>
          <w:szCs w:val="24"/>
        </w:rPr>
        <w:t xml:space="preserve">why the relatively small share of small business in the </w:t>
      </w:r>
      <w:r w:rsidR="000F5D81">
        <w:rPr>
          <w:szCs w:val="24"/>
        </w:rPr>
        <w:t>economy</w:t>
      </w:r>
      <w:r w:rsidR="00B00C15" w:rsidRPr="00F209B7">
        <w:rPr>
          <w:szCs w:val="24"/>
        </w:rPr>
        <w:t xml:space="preserve"> poses a broader challenge for social and economic development. </w:t>
      </w:r>
      <w:r w:rsidR="007F5C44" w:rsidRPr="00F209B7">
        <w:rPr>
          <w:szCs w:val="24"/>
        </w:rPr>
        <w:t>It then outlines trends in the development and nature of small business in South Africa.</w:t>
      </w:r>
      <w:r w:rsidR="000F5D81" w:rsidRPr="00F209B7">
        <w:rPr>
          <w:szCs w:val="24"/>
        </w:rPr>
        <w:t xml:space="preserve"> </w:t>
      </w:r>
    </w:p>
    <w:p w14:paraId="5EF4AB13" w14:textId="3BCE330D" w:rsidR="000F5D81" w:rsidRPr="00384C4F" w:rsidRDefault="007A5850" w:rsidP="00D66738">
      <w:pPr>
        <w:pStyle w:val="Heading2"/>
        <w:ind w:left="0" w:firstLine="0"/>
        <w:jc w:val="both"/>
      </w:pPr>
      <w:bookmarkStart w:id="376" w:name="_Toc479843884"/>
      <w:bookmarkStart w:id="377" w:name="_Toc479844508"/>
      <w:bookmarkStart w:id="378" w:name="_Toc479940827"/>
      <w:r w:rsidRPr="00384C4F">
        <w:t>The implications of limited small business</w:t>
      </w:r>
      <w:bookmarkEnd w:id="376"/>
      <w:bookmarkEnd w:id="377"/>
      <w:bookmarkEnd w:id="378"/>
    </w:p>
    <w:p w14:paraId="6B53E286" w14:textId="03D7D5A6" w:rsidR="000F5D81" w:rsidRPr="00F209B7" w:rsidRDefault="000F5D81" w:rsidP="00D66738">
      <w:pPr>
        <w:jc w:val="both"/>
        <w:rPr>
          <w:szCs w:val="24"/>
        </w:rPr>
      </w:pPr>
      <w:r w:rsidRPr="00F209B7">
        <w:rPr>
          <w:szCs w:val="24"/>
        </w:rPr>
        <w:t>In South Africa, less than 20% of all employed people are self-employed</w:t>
      </w:r>
      <w:r>
        <w:rPr>
          <w:szCs w:val="24"/>
        </w:rPr>
        <w:t xml:space="preserve"> (</w:t>
      </w:r>
      <w:r>
        <w:t>an individual</w:t>
      </w:r>
      <w:r w:rsidRPr="00F209B7">
        <w:t xml:space="preserve"> </w:t>
      </w:r>
      <w:r>
        <w:t xml:space="preserve">working independently </w:t>
      </w:r>
      <w:r w:rsidRPr="00F209B7">
        <w:t>with no employees</w:t>
      </w:r>
      <w:r>
        <w:t xml:space="preserve">) and </w:t>
      </w:r>
      <w:r w:rsidR="00EB1E48">
        <w:rPr>
          <w:szCs w:val="24"/>
        </w:rPr>
        <w:t xml:space="preserve">employers. In </w:t>
      </w:r>
      <w:r w:rsidR="00557CFD">
        <w:rPr>
          <w:szCs w:val="24"/>
        </w:rPr>
        <w:t xml:space="preserve">contrast, </w:t>
      </w:r>
      <w:r w:rsidR="00557CFD" w:rsidRPr="00F209B7">
        <w:rPr>
          <w:szCs w:val="24"/>
        </w:rPr>
        <w:t>the</w:t>
      </w:r>
      <w:r w:rsidRPr="00F209B7">
        <w:rPr>
          <w:szCs w:val="24"/>
        </w:rPr>
        <w:t xml:space="preserve"> norm for upper middle income economies, excluding China, is around 40%. The evidence suggests that the lower</w:t>
      </w:r>
      <w:r>
        <w:rPr>
          <w:szCs w:val="24"/>
        </w:rPr>
        <w:t xml:space="preserve"> the share of self-employment is related to </w:t>
      </w:r>
      <w:r w:rsidRPr="00F209B7">
        <w:rPr>
          <w:szCs w:val="24"/>
        </w:rPr>
        <w:t>the lower the level of employment overall</w:t>
      </w:r>
      <w:r>
        <w:rPr>
          <w:szCs w:val="24"/>
        </w:rPr>
        <w:t>, measured in the ratio of employment to working age population</w:t>
      </w:r>
      <w:r w:rsidRPr="00F209B7">
        <w:rPr>
          <w:szCs w:val="24"/>
        </w:rPr>
        <w:t>.</w:t>
      </w:r>
      <w:r w:rsidR="006666E2">
        <w:rPr>
          <w:szCs w:val="24"/>
        </w:rPr>
        <w:t xml:space="preserve"> Only</w:t>
      </w:r>
      <w:r w:rsidRPr="00F209B7">
        <w:rPr>
          <w:szCs w:val="24"/>
        </w:rPr>
        <w:t xml:space="preserve"> 40% of South African adults have income-generating work, compared to almost 60% in other upper-mi</w:t>
      </w:r>
      <w:r w:rsidR="006666E2">
        <w:rPr>
          <w:szCs w:val="24"/>
        </w:rPr>
        <w:t>ddle-income economies excluding</w:t>
      </w:r>
      <w:r w:rsidRPr="00F209B7">
        <w:rPr>
          <w:szCs w:val="24"/>
        </w:rPr>
        <w:t xml:space="preserve"> China. </w:t>
      </w:r>
    </w:p>
    <w:p w14:paraId="0C261ABB" w14:textId="4551094F" w:rsidR="000F5D81" w:rsidRPr="00A5173F" w:rsidRDefault="000F5D81" w:rsidP="00D66738">
      <w:pPr>
        <w:pStyle w:val="Caption"/>
        <w:jc w:val="both"/>
      </w:pPr>
      <w:bookmarkStart w:id="379" w:name="_Toc479845218"/>
      <w:bookmarkStart w:id="380" w:name="_Toc479940943"/>
      <w:r w:rsidRPr="00A5173F">
        <w:lastRenderedPageBreak/>
        <w:t xml:space="preserve">Figure </w:t>
      </w:r>
      <w:fldSimple w:instr=" SEQ Figure \* ARABIC ">
        <w:r w:rsidR="005062E7">
          <w:rPr>
            <w:noProof/>
          </w:rPr>
          <w:t>1</w:t>
        </w:r>
      </w:fldSimple>
      <w:r w:rsidRPr="00A5173F">
        <w:t>. Share of employees in employment, employment ratio (a) and linear trend for share of employees in employment (b)</w:t>
      </w:r>
      <w:bookmarkEnd w:id="379"/>
      <w:bookmarkEnd w:id="380"/>
      <w:r w:rsidRPr="00A5173F">
        <w:t xml:space="preserve"> </w:t>
      </w:r>
    </w:p>
    <w:p w14:paraId="2CDC28B7" w14:textId="77777777" w:rsidR="000F5D81" w:rsidRPr="00F209B7" w:rsidRDefault="000F5D81" w:rsidP="00D66738">
      <w:pPr>
        <w:pStyle w:val="charts"/>
        <w:jc w:val="both"/>
      </w:pPr>
      <w:r w:rsidRPr="00F209B7">
        <w:rPr>
          <w:noProof/>
          <w:lang w:eastAsia="en-ZA"/>
        </w:rPr>
        <w:drawing>
          <wp:inline distT="0" distB="0" distL="0" distR="0" wp14:anchorId="2E5A54CE" wp14:editId="5A74322A">
            <wp:extent cx="5731510" cy="2697981"/>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697981"/>
                    </a:xfrm>
                    <a:prstGeom prst="rect">
                      <a:avLst/>
                    </a:prstGeom>
                    <a:noFill/>
                    <a:ln>
                      <a:noFill/>
                    </a:ln>
                  </pic:spPr>
                </pic:pic>
              </a:graphicData>
            </a:graphic>
          </wp:inline>
        </w:drawing>
      </w:r>
    </w:p>
    <w:p w14:paraId="1512B17A" w14:textId="77777777" w:rsidR="000F5D81" w:rsidRPr="00F209B7" w:rsidRDefault="000F5D81" w:rsidP="00D66738">
      <w:pPr>
        <w:spacing w:before="0"/>
        <w:jc w:val="both"/>
        <w:rPr>
          <w:sz w:val="20"/>
          <w:szCs w:val="20"/>
        </w:rPr>
      </w:pPr>
      <w:r w:rsidRPr="00F209B7">
        <w:rPr>
          <w:i/>
          <w:sz w:val="20"/>
          <w:szCs w:val="20"/>
        </w:rPr>
        <w:t xml:space="preserve">Source: </w:t>
      </w:r>
      <w:r w:rsidRPr="00F209B7">
        <w:rPr>
          <w:sz w:val="20"/>
          <w:szCs w:val="20"/>
        </w:rPr>
        <w:t xml:space="preserve">World Bank. World Development Indicators. Electronic database. Series on Wage and salaried workers, total (% of total employed) and Employment to population ratio 15+, modelled ILO estimate. Downloaded from www.worldbank.org in June 2016. </w:t>
      </w:r>
    </w:p>
    <w:p w14:paraId="092F4341" w14:textId="77777777" w:rsidR="000F5D81" w:rsidRPr="00F209B7" w:rsidRDefault="000F5D81" w:rsidP="00D66738">
      <w:pPr>
        <w:spacing w:before="0"/>
        <w:jc w:val="both"/>
        <w:rPr>
          <w:sz w:val="20"/>
          <w:szCs w:val="20"/>
        </w:rPr>
      </w:pPr>
      <w:r w:rsidRPr="00F209B7">
        <w:rPr>
          <w:i/>
          <w:sz w:val="20"/>
          <w:szCs w:val="20"/>
        </w:rPr>
        <w:t xml:space="preserve">Notes: </w:t>
      </w:r>
      <w:r w:rsidRPr="00F209B7">
        <w:rPr>
          <w:sz w:val="20"/>
          <w:szCs w:val="20"/>
        </w:rPr>
        <w:t>(a) Share of employed in all working age adults. (b) Latest year from 2007 to 2013; most in 2010 to 2013.</w:t>
      </w:r>
    </w:p>
    <w:p w14:paraId="7533D559" w14:textId="2F1F3C73" w:rsidR="000F5D81" w:rsidRPr="00F209B7" w:rsidRDefault="000F5D81" w:rsidP="00D66738">
      <w:pPr>
        <w:jc w:val="both"/>
        <w:rPr>
          <w:szCs w:val="24"/>
        </w:rPr>
      </w:pPr>
      <w:r w:rsidRPr="00F209B7">
        <w:rPr>
          <w:szCs w:val="24"/>
        </w:rPr>
        <w:t>A similar picture emerges if we compare South Africa with the ten countries that account for 80% of the population of the upper-middle-income economies.</w:t>
      </w:r>
    </w:p>
    <w:p w14:paraId="608CB523" w14:textId="26C9A364" w:rsidR="000F5D81" w:rsidRPr="00A5173F" w:rsidRDefault="000F5D81" w:rsidP="00D66738">
      <w:pPr>
        <w:pStyle w:val="Caption"/>
        <w:jc w:val="both"/>
      </w:pPr>
      <w:bookmarkStart w:id="381" w:name="_Toc479845219"/>
      <w:bookmarkStart w:id="382" w:name="_Toc479940944"/>
      <w:r w:rsidRPr="00A5173F">
        <w:t xml:space="preserve">Figure </w:t>
      </w:r>
      <w:fldSimple w:instr=" SEQ Figure \* ARABIC ">
        <w:r w:rsidR="005062E7">
          <w:rPr>
            <w:noProof/>
          </w:rPr>
          <w:t>2</w:t>
        </w:r>
      </w:fldSimple>
      <w:r w:rsidRPr="00A5173F">
        <w:t>. Share of employees in employment and employment ratio (a) for largest upper-middle-income economies (by population) with available figures (b)</w:t>
      </w:r>
      <w:bookmarkEnd w:id="381"/>
      <w:bookmarkEnd w:id="382"/>
    </w:p>
    <w:p w14:paraId="110DD8A8" w14:textId="77777777" w:rsidR="000F5D81" w:rsidRPr="00F209B7" w:rsidRDefault="000F5D81" w:rsidP="00D66738">
      <w:pPr>
        <w:spacing w:before="0"/>
        <w:jc w:val="both"/>
        <w:rPr>
          <w:sz w:val="20"/>
          <w:szCs w:val="20"/>
        </w:rPr>
      </w:pPr>
      <w:r w:rsidRPr="00F209B7">
        <w:rPr>
          <w:noProof/>
          <w:lang w:eastAsia="en-ZA"/>
        </w:rPr>
        <w:drawing>
          <wp:inline distT="0" distB="0" distL="0" distR="0" wp14:anchorId="36B564AD" wp14:editId="67E41E82">
            <wp:extent cx="5731510" cy="28657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rsidRPr="00F209B7">
        <w:rPr>
          <w:i/>
        </w:rPr>
        <w:t xml:space="preserve"> </w:t>
      </w:r>
      <w:r w:rsidRPr="00F209B7">
        <w:rPr>
          <w:i/>
          <w:sz w:val="20"/>
          <w:szCs w:val="20"/>
        </w:rPr>
        <w:t xml:space="preserve">Source: </w:t>
      </w:r>
      <w:r w:rsidRPr="00F209B7">
        <w:rPr>
          <w:sz w:val="20"/>
          <w:szCs w:val="20"/>
        </w:rPr>
        <w:t xml:space="preserve">World Bank. World Development Indicators. Electronic database. Series on Wage and salaried workers, total (% of total employed) and Employment to population ratio 15+, modelled ILO estimate. Downloaded from www.worldbank.org in June 2016. </w:t>
      </w:r>
    </w:p>
    <w:p w14:paraId="5B3D6FCF" w14:textId="24B97D3A" w:rsidR="000F5D81" w:rsidRPr="00F209B7" w:rsidRDefault="000F5D81" w:rsidP="00D66738">
      <w:pPr>
        <w:spacing w:before="0"/>
        <w:jc w:val="both"/>
        <w:rPr>
          <w:sz w:val="20"/>
          <w:szCs w:val="20"/>
        </w:rPr>
      </w:pPr>
      <w:r w:rsidRPr="00F209B7">
        <w:rPr>
          <w:i/>
          <w:sz w:val="20"/>
          <w:szCs w:val="20"/>
        </w:rPr>
        <w:t xml:space="preserve">Notes: </w:t>
      </w:r>
      <w:r w:rsidRPr="00F209B7">
        <w:rPr>
          <w:sz w:val="20"/>
          <w:szCs w:val="20"/>
        </w:rPr>
        <w:t>(a) Share of employed in all w</w:t>
      </w:r>
      <w:r w:rsidR="002867DE">
        <w:rPr>
          <w:sz w:val="20"/>
          <w:szCs w:val="20"/>
        </w:rPr>
        <w:t xml:space="preserve">orking age adults </w:t>
      </w:r>
      <w:r w:rsidRPr="00F209B7">
        <w:rPr>
          <w:sz w:val="20"/>
          <w:szCs w:val="20"/>
        </w:rPr>
        <w:t>(b) Latest year from 2007 to 2013; most in 2010 to 2013.</w:t>
      </w:r>
    </w:p>
    <w:p w14:paraId="5EF73CAD" w14:textId="7CFB948E" w:rsidR="000F5D81" w:rsidRPr="00F209B7" w:rsidRDefault="000F5D81" w:rsidP="00D66738">
      <w:pPr>
        <w:jc w:val="both"/>
        <w:rPr>
          <w:szCs w:val="24"/>
        </w:rPr>
      </w:pPr>
      <w:r w:rsidRPr="00F209B7">
        <w:rPr>
          <w:szCs w:val="24"/>
        </w:rPr>
        <w:lastRenderedPageBreak/>
        <w:t>Historically, the shortfall in small business and self-employment in South Africa derives directly from apartheid. Apartheid laws suppressed small business in a number of ways, which can b</w:t>
      </w:r>
      <w:r>
        <w:rPr>
          <w:szCs w:val="24"/>
        </w:rPr>
        <w:t xml:space="preserve">e summarised – </w:t>
      </w:r>
      <w:r w:rsidR="007F5C44" w:rsidRPr="00F209B7">
        <w:rPr>
          <w:szCs w:val="24"/>
        </w:rPr>
        <w:t xml:space="preserve">rather </w:t>
      </w:r>
      <w:r>
        <w:rPr>
          <w:szCs w:val="24"/>
        </w:rPr>
        <w:t>schematically – as follows</w:t>
      </w:r>
      <w:r w:rsidR="007F5C44" w:rsidRPr="00F209B7">
        <w:rPr>
          <w:szCs w:val="24"/>
        </w:rPr>
        <w:t xml:space="preserve">. </w:t>
      </w:r>
    </w:p>
    <w:p w14:paraId="4DDFA8F1" w14:textId="75FFBD34" w:rsidR="000F5D81" w:rsidRPr="00F209B7" w:rsidRDefault="000F5D81" w:rsidP="00D66738">
      <w:pPr>
        <w:pStyle w:val="ListParagraph"/>
        <w:numPr>
          <w:ilvl w:val="0"/>
          <w:numId w:val="8"/>
        </w:numPr>
        <w:spacing w:after="160" w:line="259" w:lineRule="auto"/>
        <w:jc w:val="both"/>
        <w:rPr>
          <w:szCs w:val="24"/>
        </w:rPr>
      </w:pPr>
      <w:r w:rsidRPr="00F209B7">
        <w:rPr>
          <w:szCs w:val="24"/>
        </w:rPr>
        <w:t xml:space="preserve">During apartheid, black people in general and Africans in particular were largely </w:t>
      </w:r>
      <w:r w:rsidR="003E2936">
        <w:rPr>
          <w:szCs w:val="24"/>
        </w:rPr>
        <w:t>prevented from</w:t>
      </w:r>
      <w:r w:rsidRPr="00F209B7">
        <w:rPr>
          <w:szCs w:val="24"/>
        </w:rPr>
        <w:t xml:space="preserve"> conducting small-scale production and trade. They were </w:t>
      </w:r>
      <w:r w:rsidR="003E2936">
        <w:rPr>
          <w:szCs w:val="24"/>
        </w:rPr>
        <w:t xml:space="preserve">also </w:t>
      </w:r>
      <w:r w:rsidRPr="00F209B7">
        <w:rPr>
          <w:szCs w:val="24"/>
        </w:rPr>
        <w:t xml:space="preserve">prevented from owning most kinds of land, most notoriously for farming but also retail and industrial sites in economic centres; had only limited access to credit; often did not receive key infrastructure such as roads, electricity and piped water; and faced myriad legal obstacles to economic activity. </w:t>
      </w:r>
    </w:p>
    <w:p w14:paraId="1860F534" w14:textId="77777777" w:rsidR="000F5D81" w:rsidRPr="00F209B7" w:rsidRDefault="000F5D81" w:rsidP="00D66738">
      <w:pPr>
        <w:pStyle w:val="ListParagraph"/>
        <w:numPr>
          <w:ilvl w:val="0"/>
          <w:numId w:val="8"/>
        </w:numPr>
        <w:spacing w:after="160" w:line="259" w:lineRule="auto"/>
        <w:jc w:val="both"/>
        <w:rPr>
          <w:szCs w:val="24"/>
        </w:rPr>
      </w:pPr>
      <w:r w:rsidRPr="00F209B7">
        <w:rPr>
          <w:szCs w:val="24"/>
        </w:rPr>
        <w:t xml:space="preserve">The suppression of small black-owned business was made possible in part by the strength of the mining sector. On the one hand, mining tended to attract skilled people and encourage contestation around the sharing of rents, rather than investment in new kinds of production. On the other, it laid the basis for a state industrialisation policy from the 1920s that generally focused support on large formal and energy-intensive ore and coal refineries and metals-based industries. </w:t>
      </w:r>
    </w:p>
    <w:p w14:paraId="5AAB8296" w14:textId="163493FA" w:rsidR="000F5D81" w:rsidRPr="00F209B7" w:rsidRDefault="000F5D81" w:rsidP="00D66738">
      <w:pPr>
        <w:pStyle w:val="ListParagraph"/>
        <w:numPr>
          <w:ilvl w:val="0"/>
          <w:numId w:val="8"/>
        </w:numPr>
        <w:spacing w:after="160" w:line="259" w:lineRule="auto"/>
        <w:jc w:val="both"/>
        <w:rPr>
          <w:szCs w:val="24"/>
        </w:rPr>
      </w:pPr>
      <w:r w:rsidRPr="00F209B7">
        <w:rPr>
          <w:szCs w:val="24"/>
        </w:rPr>
        <w:t>Under apartheid, work organisation was generally designed to generate European incomes for owners and senior managers. The resulting workplaces tended to depend on a few highly skilled (and well-paid) individuals combined with low skill levels for most workers. Expectations of high incomes for owners and entrepreneurs have persisted into democracy, affecting investors’ risk appetite and the kinds of enterprise they will support as well as staffing levels and work organisation.</w:t>
      </w:r>
    </w:p>
    <w:p w14:paraId="00BDA543" w14:textId="77811BA1" w:rsidR="000F5D81" w:rsidRPr="00F209B7" w:rsidRDefault="000F5D81" w:rsidP="00D66738">
      <w:pPr>
        <w:jc w:val="both"/>
        <w:rPr>
          <w:szCs w:val="24"/>
        </w:rPr>
      </w:pPr>
      <w:r w:rsidRPr="00F209B7">
        <w:rPr>
          <w:szCs w:val="24"/>
        </w:rPr>
        <w:t xml:space="preserve">These factors </w:t>
      </w:r>
      <w:r w:rsidR="003E2936">
        <w:rPr>
          <w:szCs w:val="24"/>
        </w:rPr>
        <w:t>above</w:t>
      </w:r>
      <w:r w:rsidRPr="00F209B7">
        <w:rPr>
          <w:szCs w:val="24"/>
        </w:rPr>
        <w:t xml:space="preserve"> meant that democratic South Africa </w:t>
      </w:r>
      <w:r w:rsidR="007F5C44" w:rsidRPr="00F209B7">
        <w:rPr>
          <w:szCs w:val="24"/>
        </w:rPr>
        <w:t>started out</w:t>
      </w:r>
      <w:r w:rsidRPr="00F209B7">
        <w:rPr>
          <w:szCs w:val="24"/>
        </w:rPr>
        <w:t xml:space="preserve"> with a smaller class of established small business than its peers. In other countries, small-scale entrepreneurs could build on long-standing family business assets, m</w:t>
      </w:r>
      <w:r w:rsidR="003E2936">
        <w:rPr>
          <w:szCs w:val="24"/>
        </w:rPr>
        <w:t xml:space="preserve">arket connections and customers. A </w:t>
      </w:r>
      <w:proofErr w:type="gramStart"/>
      <w:r w:rsidR="003E2936">
        <w:rPr>
          <w:szCs w:val="24"/>
        </w:rPr>
        <w:t>vast amount South African entrepreneurs</w:t>
      </w:r>
      <w:proofErr w:type="gramEnd"/>
      <w:r w:rsidR="003E2936">
        <w:rPr>
          <w:szCs w:val="24"/>
        </w:rPr>
        <w:t xml:space="preserve"> </w:t>
      </w:r>
      <w:r w:rsidRPr="00F209B7">
        <w:rPr>
          <w:szCs w:val="24"/>
        </w:rPr>
        <w:t xml:space="preserve">often started without these advantages. </w:t>
      </w:r>
    </w:p>
    <w:p w14:paraId="0679BCFB" w14:textId="77777777" w:rsidR="000F5D81" w:rsidRPr="00F209B7" w:rsidRDefault="000F5D81" w:rsidP="00D66738">
      <w:pPr>
        <w:jc w:val="both"/>
        <w:rPr>
          <w:szCs w:val="24"/>
        </w:rPr>
      </w:pPr>
      <w:r w:rsidRPr="00F209B7">
        <w:rPr>
          <w:szCs w:val="24"/>
        </w:rPr>
        <w:t>Moreover, in South Africa the institutions to support small businesses, in general but especially for black entrepreneurs, are variable and often simply absent. Large companies and government agencies often have procurement systems designed to acquire goods on a scale beyond the scope of small businesses; major providers of business services and credit focus on established clients; and emerging black entrepreneurs themselves often do not have social networks that can provide advice, contacts or financial support.</w:t>
      </w:r>
    </w:p>
    <w:p w14:paraId="0753A129" w14:textId="0D820BE6" w:rsidR="000F5D81" w:rsidRPr="00F209B7" w:rsidRDefault="00042C2A" w:rsidP="00D66738">
      <w:pPr>
        <w:jc w:val="both"/>
        <w:rPr>
          <w:szCs w:val="24"/>
        </w:rPr>
      </w:pPr>
      <w:r>
        <w:rPr>
          <w:szCs w:val="24"/>
        </w:rPr>
        <w:t>In this context</w:t>
      </w:r>
      <w:r w:rsidR="000F5D81" w:rsidRPr="00F209B7">
        <w:rPr>
          <w:szCs w:val="24"/>
        </w:rPr>
        <w:t xml:space="preserve">, </w:t>
      </w:r>
      <w:r w:rsidR="007F5C44" w:rsidRPr="00F209B7">
        <w:rPr>
          <w:szCs w:val="24"/>
        </w:rPr>
        <w:t xml:space="preserve">this </w:t>
      </w:r>
      <w:r>
        <w:rPr>
          <w:szCs w:val="24"/>
        </w:rPr>
        <w:t xml:space="preserve">study </w:t>
      </w:r>
      <w:r w:rsidR="000F5D81" w:rsidRPr="00F209B7">
        <w:rPr>
          <w:szCs w:val="24"/>
        </w:rPr>
        <w:t>focuses on whether the current regulatory framework continues to impose unnecessary or inappropriate burdens on small business. Addressing these burdens will not in itself re-shape exclusionary economic systems</w:t>
      </w:r>
      <w:r w:rsidR="003E2936">
        <w:rPr>
          <w:szCs w:val="24"/>
        </w:rPr>
        <w:t>. However,</w:t>
      </w:r>
      <w:r w:rsidR="000F5D81" w:rsidRPr="00F209B7">
        <w:rPr>
          <w:szCs w:val="24"/>
        </w:rPr>
        <w:t xml:space="preserve"> it should improve the environment for small business to a</w:t>
      </w:r>
      <w:r w:rsidR="003E2936">
        <w:rPr>
          <w:szCs w:val="24"/>
        </w:rPr>
        <w:t xml:space="preserve"> certain extent</w:t>
      </w:r>
      <w:r w:rsidR="000F5D81" w:rsidRPr="00F209B7">
        <w:rPr>
          <w:szCs w:val="24"/>
        </w:rPr>
        <w:t xml:space="preserve">. </w:t>
      </w:r>
    </w:p>
    <w:p w14:paraId="0FB01CA4" w14:textId="3EA5ABA9" w:rsidR="002B78BA" w:rsidRPr="00384C4F" w:rsidRDefault="002B78BA" w:rsidP="00D66738">
      <w:pPr>
        <w:pStyle w:val="Heading2"/>
        <w:ind w:left="0" w:firstLine="0"/>
        <w:jc w:val="both"/>
      </w:pPr>
      <w:bookmarkStart w:id="383" w:name="_Ref477848207"/>
      <w:bookmarkStart w:id="384" w:name="_Ref479588909"/>
      <w:bookmarkStart w:id="385" w:name="_Ref479588954"/>
      <w:bookmarkStart w:id="386" w:name="_Ref479706804"/>
      <w:bookmarkStart w:id="387" w:name="_Toc479843885"/>
      <w:bookmarkStart w:id="388" w:name="_Toc479844509"/>
      <w:bookmarkStart w:id="389" w:name="_Toc479940828"/>
      <w:r w:rsidRPr="00384C4F">
        <w:t xml:space="preserve">The </w:t>
      </w:r>
      <w:r w:rsidR="00E5099D" w:rsidRPr="00384C4F">
        <w:t>extent and nature of small business</w:t>
      </w:r>
      <w:r w:rsidR="0037460E" w:rsidRPr="00384C4F">
        <w:t xml:space="preserve"> in </w:t>
      </w:r>
      <w:bookmarkEnd w:id="383"/>
      <w:r w:rsidR="0037460E" w:rsidRPr="00384C4F">
        <w:t>SA</w:t>
      </w:r>
      <w:bookmarkEnd w:id="384"/>
      <w:bookmarkEnd w:id="385"/>
      <w:bookmarkEnd w:id="386"/>
      <w:bookmarkEnd w:id="387"/>
      <w:bookmarkEnd w:id="388"/>
      <w:bookmarkEnd w:id="389"/>
    </w:p>
    <w:p w14:paraId="01DC0DAF" w14:textId="0B99CE65" w:rsidR="0037460E" w:rsidRPr="0077536F" w:rsidRDefault="0037460E" w:rsidP="00D66738">
      <w:pPr>
        <w:jc w:val="both"/>
      </w:pPr>
      <w:r w:rsidRPr="0077536F">
        <w:t xml:space="preserve">The effects of regulations </w:t>
      </w:r>
      <w:r w:rsidR="005D5452" w:rsidRPr="00F209B7">
        <w:t xml:space="preserve">on </w:t>
      </w:r>
      <w:r w:rsidRPr="0077536F">
        <w:t xml:space="preserve">small business vary depending on their size, sector, formalisation, regional location and ownership. </w:t>
      </w:r>
      <w:r w:rsidR="00B00C15" w:rsidRPr="00F209B7">
        <w:t xml:space="preserve">To </w:t>
      </w:r>
      <w:r w:rsidR="00042C2A">
        <w:t xml:space="preserve">contextualise the regulatory </w:t>
      </w:r>
      <w:r w:rsidR="00B00C15" w:rsidRPr="00F209B7">
        <w:t>analysis</w:t>
      </w:r>
      <w:r w:rsidR="003E4E65">
        <w:t xml:space="preserve"> to follow</w:t>
      </w:r>
      <w:r w:rsidR="00042C2A">
        <w:t>, t</w:t>
      </w:r>
      <w:r w:rsidR="003E4E65">
        <w:t>his section</w:t>
      </w:r>
      <w:r w:rsidR="005D5452" w:rsidRPr="00F209B7">
        <w:t xml:space="preserve"> </w:t>
      </w:r>
      <w:r w:rsidRPr="0077536F">
        <w:t xml:space="preserve">maps </w:t>
      </w:r>
      <w:r w:rsidR="005D5452" w:rsidRPr="00F209B7">
        <w:t>the small business landscape</w:t>
      </w:r>
      <w:r w:rsidR="003E4E65">
        <w:t xml:space="preserve"> in South Africa</w:t>
      </w:r>
      <w:r w:rsidR="00B00C15" w:rsidRPr="00F209B7">
        <w:t xml:space="preserve">. It </w:t>
      </w:r>
      <w:r w:rsidR="005D5452" w:rsidRPr="00F209B7">
        <w:t xml:space="preserve">reviews trends in </w:t>
      </w:r>
      <w:r w:rsidR="00B00C15" w:rsidRPr="00F209B7">
        <w:t>the number of small businesses</w:t>
      </w:r>
      <w:r w:rsidRPr="0077536F">
        <w:t xml:space="preserve"> and </w:t>
      </w:r>
      <w:r w:rsidR="005D5452" w:rsidRPr="00F209B7">
        <w:t>their differentiation</w:t>
      </w:r>
      <w:r w:rsidRPr="0077536F">
        <w:t xml:space="preserve"> by size, </w:t>
      </w:r>
      <w:r w:rsidR="00B00C15" w:rsidRPr="00F209B7">
        <w:t>industry</w:t>
      </w:r>
      <w:r w:rsidRPr="0077536F">
        <w:t xml:space="preserve">, demography, </w:t>
      </w:r>
      <w:r w:rsidRPr="0077536F">
        <w:lastRenderedPageBreak/>
        <w:t xml:space="preserve">earnings, location and </w:t>
      </w:r>
      <w:r w:rsidR="00042C2A">
        <w:t>human capital.</w:t>
      </w:r>
      <w:r w:rsidR="00BD33FA">
        <w:t xml:space="preserve"> The analysis draws primarily from</w:t>
      </w:r>
      <w:r w:rsidR="005D5452" w:rsidRPr="00F209B7">
        <w:t xml:space="preserve"> Statistics South Africa’s Labour Market Dynamics (LMD) </w:t>
      </w:r>
      <w:r w:rsidR="005A630F" w:rsidRPr="00F209B7">
        <w:t>database</w:t>
      </w:r>
      <w:r w:rsidR="005D5452" w:rsidRPr="00F209B7">
        <w:t>, which starts in 2008.</w:t>
      </w:r>
      <w:r w:rsidR="00042C2A" w:rsidRPr="00042C2A">
        <w:rPr>
          <w:rStyle w:val="FootnoteReference"/>
        </w:rPr>
        <w:t xml:space="preserve"> </w:t>
      </w:r>
      <w:r w:rsidR="00042C2A">
        <w:rPr>
          <w:rStyle w:val="FootnoteReference"/>
        </w:rPr>
        <w:footnoteReference w:id="4"/>
      </w:r>
      <w:r w:rsidRPr="0077536F">
        <w:t xml:space="preserve"> </w:t>
      </w:r>
    </w:p>
    <w:p w14:paraId="2856577E" w14:textId="77777777" w:rsidR="00BF1243" w:rsidRPr="00BF1243" w:rsidRDefault="00BF1243" w:rsidP="00D66738">
      <w:pPr>
        <w:pStyle w:val="ListParagraph"/>
        <w:keepNext/>
        <w:keepLines/>
        <w:numPr>
          <w:ilvl w:val="1"/>
          <w:numId w:val="113"/>
        </w:numPr>
        <w:spacing w:before="200"/>
        <w:jc w:val="both"/>
        <w:outlineLvl w:val="2"/>
        <w:rPr>
          <w:rFonts w:ascii="Calibri" w:eastAsia="Calibri" w:hAnsi="Calibri" w:cs="Times New Roman"/>
          <w:b/>
          <w:vanish/>
          <w:color w:val="1B5068"/>
          <w:sz w:val="22"/>
        </w:rPr>
      </w:pPr>
      <w:bookmarkStart w:id="390" w:name="_Toc479846020"/>
      <w:bookmarkStart w:id="391" w:name="_Toc479846232"/>
      <w:bookmarkStart w:id="392" w:name="_Toc479846355"/>
      <w:bookmarkStart w:id="393" w:name="_Toc479846478"/>
      <w:bookmarkStart w:id="394" w:name="_Toc479846601"/>
      <w:bookmarkStart w:id="395" w:name="_Toc479846724"/>
      <w:bookmarkStart w:id="396" w:name="_Toc479846847"/>
      <w:bookmarkStart w:id="397" w:name="_Toc479849507"/>
      <w:bookmarkStart w:id="398" w:name="_Toc479849969"/>
      <w:bookmarkStart w:id="399" w:name="_Toc479850113"/>
      <w:bookmarkStart w:id="400" w:name="_Toc479853582"/>
      <w:bookmarkStart w:id="401" w:name="_Toc479853737"/>
      <w:bookmarkStart w:id="402" w:name="_Toc479862456"/>
      <w:bookmarkStart w:id="403" w:name="_Toc479864101"/>
      <w:bookmarkStart w:id="404" w:name="_Toc479939881"/>
      <w:bookmarkStart w:id="405" w:name="_Toc479940206"/>
      <w:bookmarkStart w:id="406" w:name="_Toc479940829"/>
      <w:bookmarkStart w:id="407" w:name="_Toc479843886"/>
      <w:bookmarkStart w:id="408" w:name="_Toc479844510"/>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E0B1B5C" w14:textId="77777777" w:rsidR="00BF1243" w:rsidRPr="00BF1243" w:rsidRDefault="00BF1243" w:rsidP="00D66738">
      <w:pPr>
        <w:pStyle w:val="ListParagraph"/>
        <w:keepNext/>
        <w:keepLines/>
        <w:numPr>
          <w:ilvl w:val="1"/>
          <w:numId w:val="113"/>
        </w:numPr>
        <w:spacing w:before="200"/>
        <w:jc w:val="both"/>
        <w:outlineLvl w:val="2"/>
        <w:rPr>
          <w:rFonts w:ascii="Calibri" w:eastAsia="Calibri" w:hAnsi="Calibri" w:cs="Times New Roman"/>
          <w:b/>
          <w:vanish/>
          <w:color w:val="1B5068"/>
          <w:sz w:val="22"/>
        </w:rPr>
      </w:pPr>
      <w:bookmarkStart w:id="409" w:name="_Toc479846021"/>
      <w:bookmarkStart w:id="410" w:name="_Toc479846233"/>
      <w:bookmarkStart w:id="411" w:name="_Toc479846356"/>
      <w:bookmarkStart w:id="412" w:name="_Toc479846479"/>
      <w:bookmarkStart w:id="413" w:name="_Toc479846602"/>
      <w:bookmarkStart w:id="414" w:name="_Toc479846725"/>
      <w:bookmarkStart w:id="415" w:name="_Toc479846848"/>
      <w:bookmarkStart w:id="416" w:name="_Toc479849508"/>
      <w:bookmarkStart w:id="417" w:name="_Toc479849970"/>
      <w:bookmarkStart w:id="418" w:name="_Toc479850114"/>
      <w:bookmarkStart w:id="419" w:name="_Toc479853583"/>
      <w:bookmarkStart w:id="420" w:name="_Toc479853738"/>
      <w:bookmarkStart w:id="421" w:name="_Toc479862457"/>
      <w:bookmarkStart w:id="422" w:name="_Toc479864102"/>
      <w:bookmarkStart w:id="423" w:name="_Toc479939882"/>
      <w:bookmarkStart w:id="424" w:name="_Toc479940207"/>
      <w:bookmarkStart w:id="425" w:name="_Toc479940830"/>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5A55E832" w14:textId="77777777" w:rsidR="00384C4F" w:rsidRPr="00384C4F" w:rsidRDefault="00384C4F" w:rsidP="00D66738">
      <w:pPr>
        <w:pStyle w:val="ListParagraph"/>
        <w:keepNext/>
        <w:keepLines/>
        <w:numPr>
          <w:ilvl w:val="0"/>
          <w:numId w:val="119"/>
        </w:numPr>
        <w:spacing w:before="200"/>
        <w:jc w:val="both"/>
        <w:outlineLvl w:val="1"/>
        <w:rPr>
          <w:rFonts w:ascii="Calibri" w:eastAsiaTheme="majorEastAsia" w:hAnsi="Calibri" w:cstheme="majorBidi"/>
          <w:b/>
          <w:bCs/>
          <w:vanish/>
          <w:color w:val="1F497D" w:themeColor="text2"/>
          <w:sz w:val="26"/>
          <w:szCs w:val="26"/>
        </w:rPr>
      </w:pPr>
      <w:bookmarkStart w:id="426" w:name="_Toc479849509"/>
      <w:bookmarkStart w:id="427" w:name="_Toc479849971"/>
      <w:bookmarkStart w:id="428" w:name="_Toc479850115"/>
      <w:bookmarkStart w:id="429" w:name="_Toc479853584"/>
      <w:bookmarkStart w:id="430" w:name="_Toc479853739"/>
      <w:bookmarkStart w:id="431" w:name="_Toc479862458"/>
      <w:bookmarkStart w:id="432" w:name="_Toc479864103"/>
      <w:bookmarkStart w:id="433" w:name="_Toc479939883"/>
      <w:bookmarkStart w:id="434" w:name="_Toc479940208"/>
      <w:bookmarkStart w:id="435" w:name="_Toc479940831"/>
      <w:bookmarkEnd w:id="426"/>
      <w:bookmarkEnd w:id="427"/>
      <w:bookmarkEnd w:id="428"/>
      <w:bookmarkEnd w:id="429"/>
      <w:bookmarkEnd w:id="430"/>
      <w:bookmarkEnd w:id="431"/>
      <w:bookmarkEnd w:id="432"/>
      <w:bookmarkEnd w:id="433"/>
      <w:bookmarkEnd w:id="434"/>
      <w:bookmarkEnd w:id="435"/>
    </w:p>
    <w:p w14:paraId="68029A9F" w14:textId="77777777" w:rsidR="00384C4F" w:rsidRPr="00384C4F" w:rsidRDefault="00384C4F" w:rsidP="00D66738">
      <w:pPr>
        <w:pStyle w:val="ListParagraph"/>
        <w:keepNext/>
        <w:keepLines/>
        <w:numPr>
          <w:ilvl w:val="1"/>
          <w:numId w:val="119"/>
        </w:numPr>
        <w:spacing w:before="200"/>
        <w:jc w:val="both"/>
        <w:outlineLvl w:val="1"/>
        <w:rPr>
          <w:rFonts w:ascii="Calibri" w:eastAsiaTheme="majorEastAsia" w:hAnsi="Calibri" w:cstheme="majorBidi"/>
          <w:b/>
          <w:bCs/>
          <w:vanish/>
          <w:color w:val="1F497D" w:themeColor="text2"/>
          <w:sz w:val="26"/>
          <w:szCs w:val="26"/>
        </w:rPr>
      </w:pPr>
      <w:bookmarkStart w:id="436" w:name="_Toc479849510"/>
      <w:bookmarkStart w:id="437" w:name="_Toc479849972"/>
      <w:bookmarkStart w:id="438" w:name="_Toc479850116"/>
      <w:bookmarkStart w:id="439" w:name="_Toc479853585"/>
      <w:bookmarkStart w:id="440" w:name="_Toc479853740"/>
      <w:bookmarkStart w:id="441" w:name="_Toc479862459"/>
      <w:bookmarkStart w:id="442" w:name="_Toc479864104"/>
      <w:bookmarkStart w:id="443" w:name="_Toc479939884"/>
      <w:bookmarkStart w:id="444" w:name="_Toc479940209"/>
      <w:bookmarkStart w:id="445" w:name="_Toc479940832"/>
      <w:bookmarkEnd w:id="436"/>
      <w:bookmarkEnd w:id="437"/>
      <w:bookmarkEnd w:id="438"/>
      <w:bookmarkEnd w:id="439"/>
      <w:bookmarkEnd w:id="440"/>
      <w:bookmarkEnd w:id="441"/>
      <w:bookmarkEnd w:id="442"/>
      <w:bookmarkEnd w:id="443"/>
      <w:bookmarkEnd w:id="444"/>
      <w:bookmarkEnd w:id="445"/>
    </w:p>
    <w:p w14:paraId="65AADF90" w14:textId="77777777" w:rsidR="00384C4F" w:rsidRPr="00384C4F" w:rsidRDefault="00384C4F" w:rsidP="00D66738">
      <w:pPr>
        <w:pStyle w:val="ListParagraph"/>
        <w:keepNext/>
        <w:keepLines/>
        <w:numPr>
          <w:ilvl w:val="1"/>
          <w:numId w:val="119"/>
        </w:numPr>
        <w:spacing w:before="200"/>
        <w:jc w:val="both"/>
        <w:outlineLvl w:val="1"/>
        <w:rPr>
          <w:rFonts w:ascii="Calibri" w:eastAsiaTheme="majorEastAsia" w:hAnsi="Calibri" w:cstheme="majorBidi"/>
          <w:b/>
          <w:bCs/>
          <w:vanish/>
          <w:color w:val="1F497D" w:themeColor="text2"/>
          <w:sz w:val="26"/>
          <w:szCs w:val="26"/>
        </w:rPr>
      </w:pPr>
      <w:bookmarkStart w:id="446" w:name="_Toc479849511"/>
      <w:bookmarkStart w:id="447" w:name="_Toc479849973"/>
      <w:bookmarkStart w:id="448" w:name="_Toc479850117"/>
      <w:bookmarkStart w:id="449" w:name="_Toc479853586"/>
      <w:bookmarkStart w:id="450" w:name="_Toc479853741"/>
      <w:bookmarkStart w:id="451" w:name="_Toc479862460"/>
      <w:bookmarkStart w:id="452" w:name="_Toc479864105"/>
      <w:bookmarkStart w:id="453" w:name="_Toc479939885"/>
      <w:bookmarkStart w:id="454" w:name="_Toc479940210"/>
      <w:bookmarkStart w:id="455" w:name="_Toc479940833"/>
      <w:bookmarkEnd w:id="446"/>
      <w:bookmarkEnd w:id="447"/>
      <w:bookmarkEnd w:id="448"/>
      <w:bookmarkEnd w:id="449"/>
      <w:bookmarkEnd w:id="450"/>
      <w:bookmarkEnd w:id="451"/>
      <w:bookmarkEnd w:id="452"/>
      <w:bookmarkEnd w:id="453"/>
      <w:bookmarkEnd w:id="454"/>
      <w:bookmarkEnd w:id="455"/>
    </w:p>
    <w:p w14:paraId="720597D0" w14:textId="46F2A4D8" w:rsidR="0037460E" w:rsidRPr="00B57E85" w:rsidRDefault="0037460E" w:rsidP="00D66738">
      <w:pPr>
        <w:pStyle w:val="Heading3"/>
        <w:numPr>
          <w:ilvl w:val="2"/>
          <w:numId w:val="123"/>
        </w:numPr>
        <w:ind w:left="0" w:firstLine="0"/>
        <w:jc w:val="both"/>
        <w:rPr>
          <w:rFonts w:eastAsia="Calibri"/>
        </w:rPr>
      </w:pPr>
      <w:bookmarkStart w:id="456" w:name="_Toc479940834"/>
      <w:r w:rsidRPr="00B57E85">
        <w:rPr>
          <w:rFonts w:eastAsia="Calibri"/>
        </w:rPr>
        <w:t>Categories and data sources</w:t>
      </w:r>
      <w:bookmarkEnd w:id="407"/>
      <w:bookmarkEnd w:id="408"/>
      <w:bookmarkEnd w:id="456"/>
    </w:p>
    <w:p w14:paraId="5B9DEAF8" w14:textId="538CE645" w:rsidR="0037460E" w:rsidRPr="0077536F" w:rsidRDefault="0037460E" w:rsidP="00D66738">
      <w:pPr>
        <w:jc w:val="both"/>
      </w:pPr>
      <w:r w:rsidRPr="0077536F">
        <w:t xml:space="preserve">The 1996 Small Business Act categorises </w:t>
      </w:r>
      <w:r w:rsidR="00042C2A">
        <w:t>medium, small and micro enterprise</w:t>
      </w:r>
      <w:r w:rsidRPr="0077536F">
        <w:t xml:space="preserve"> according to employment size, turnover and asset value, with slight variations by sector. The </w:t>
      </w:r>
      <w:r w:rsidR="00152FC5">
        <w:t xml:space="preserve">publicly </w:t>
      </w:r>
      <w:r w:rsidRPr="0077536F">
        <w:t xml:space="preserve">available transactional data on </w:t>
      </w:r>
      <w:r w:rsidR="00B00C15" w:rsidRPr="00F209B7">
        <w:t>small business</w:t>
      </w:r>
      <w:r w:rsidRPr="0077536F">
        <w:t xml:space="preserve"> turnover and asset value</w:t>
      </w:r>
      <w:r w:rsidR="00B00C15" w:rsidRPr="00F209B7">
        <w:t>, however,</w:t>
      </w:r>
      <w:r w:rsidRPr="0077536F">
        <w:t xml:space="preserve"> do not distinguish systematically by industry and tend to leave out the informal sector altogether. In contrast, the</w:t>
      </w:r>
      <w:r w:rsidR="00152FC5">
        <w:t xml:space="preserve"> </w:t>
      </w:r>
      <w:r w:rsidR="00042C2A">
        <w:t>LMD</w:t>
      </w:r>
      <w:r w:rsidRPr="0077536F">
        <w:t xml:space="preserve"> provides information on the industry, income, location and formalisation of employers and the self-employed according to the number employed. It is therefore used here to indicate key characteristics of different</w:t>
      </w:r>
      <w:r w:rsidR="00042C2A">
        <w:t xml:space="preserve"> business groups</w:t>
      </w:r>
      <w:r w:rsidRPr="0077536F">
        <w:t xml:space="preserve">. </w:t>
      </w:r>
    </w:p>
    <w:p w14:paraId="49F5B1F5" w14:textId="5CF6AA87" w:rsidR="0037460E" w:rsidRDefault="0037460E" w:rsidP="00D66738">
      <w:pPr>
        <w:jc w:val="both"/>
      </w:pPr>
      <w:r w:rsidRPr="0077536F">
        <w:t>The LMD employment categories are similar, although not identical, to those in the current Small Business Act. For most of this analysis, the sizes used will be self-employed; one to 19 employees; 20 to 49; and 50 or more. These categories correspond reasonably well to the Act’s categories of micro (zero to five employees) and very small (six to 20); small (21 to 50); and medium (50 to 100 or 200, depend</w:t>
      </w:r>
      <w:r w:rsidR="00152FC5">
        <w:t xml:space="preserve">ing on the sector) and large.  </w:t>
      </w:r>
    </w:p>
    <w:p w14:paraId="00517B34" w14:textId="410C963A" w:rsidR="006A7D84" w:rsidRPr="008B0C35" w:rsidRDefault="006A7D84" w:rsidP="00D66738">
      <w:pPr>
        <w:pStyle w:val="Heading3"/>
        <w:numPr>
          <w:ilvl w:val="2"/>
          <w:numId w:val="123"/>
        </w:numPr>
        <w:ind w:left="0" w:firstLine="0"/>
        <w:jc w:val="both"/>
        <w:rPr>
          <w:rFonts w:eastAsia="Calibri"/>
        </w:rPr>
      </w:pPr>
      <w:bookmarkStart w:id="457" w:name="_Toc479843887"/>
      <w:bookmarkStart w:id="458" w:name="_Toc479844511"/>
      <w:bookmarkStart w:id="459" w:name="_Toc479940835"/>
      <w:r w:rsidRPr="008B0C35">
        <w:rPr>
          <w:rFonts w:eastAsia="Calibri"/>
        </w:rPr>
        <w:t>The number of small business and employment</w:t>
      </w:r>
      <w:bookmarkEnd w:id="457"/>
      <w:bookmarkEnd w:id="458"/>
      <w:bookmarkEnd w:id="459"/>
    </w:p>
    <w:p w14:paraId="50F03276" w14:textId="79364405" w:rsidR="006A7D84" w:rsidRPr="00F209B7" w:rsidRDefault="006A7D84" w:rsidP="00D66738">
      <w:pPr>
        <w:jc w:val="both"/>
      </w:pPr>
      <w:r w:rsidRPr="00F209B7">
        <w:t>The 2015 LMD found around</w:t>
      </w:r>
      <w:r>
        <w:t xml:space="preserve"> </w:t>
      </w:r>
      <w:r w:rsidRPr="00F209B7">
        <w:t xml:space="preserve">1,2 million self-employed people (also called “own-account” workers) </w:t>
      </w:r>
      <w:r>
        <w:t xml:space="preserve">and </w:t>
      </w:r>
      <w:r w:rsidRPr="00F209B7">
        <w:t>830 000 employ</w:t>
      </w:r>
      <w:r>
        <w:t>ers with under 50 employees</w:t>
      </w:r>
      <w:r w:rsidRPr="00F209B7">
        <w:t xml:space="preserve">. </w:t>
      </w:r>
      <w:r>
        <w:t>These figures are</w:t>
      </w:r>
      <w:r w:rsidRPr="00F209B7">
        <w:t xml:space="preserve"> reasonably well aligned with SARS data </w:t>
      </w:r>
      <w:r w:rsidR="00042C2A">
        <w:t xml:space="preserve">for </w:t>
      </w:r>
      <w:r w:rsidRPr="00F209B7">
        <w:t xml:space="preserve">company income tax, which reported </w:t>
      </w:r>
      <w:r>
        <w:t xml:space="preserve">a </w:t>
      </w:r>
      <w:r w:rsidRPr="00F209B7">
        <w:t xml:space="preserve">total </w:t>
      </w:r>
      <w:r>
        <w:t xml:space="preserve">of </w:t>
      </w:r>
      <w:r w:rsidRPr="00F209B7">
        <w:t>702</w:t>
      </w:r>
      <w:r>
        <w:t> </w:t>
      </w:r>
      <w:r w:rsidRPr="00F209B7">
        <w:t>000</w:t>
      </w:r>
      <w:r>
        <w:t xml:space="preserve"> companies registered for tax</w:t>
      </w:r>
      <w:r w:rsidR="00042C2A">
        <w:t xml:space="preserve">. Of these, </w:t>
      </w:r>
      <w:r w:rsidRPr="00F209B7">
        <w:t xml:space="preserve">almost 650 000 had taxable income between –R250 000 and R20 million. </w:t>
      </w:r>
    </w:p>
    <w:p w14:paraId="05D7E4CA" w14:textId="77777777" w:rsidR="009B5BC4" w:rsidRPr="00F209B7" w:rsidRDefault="009B5BC4" w:rsidP="00D66738">
      <w:pPr>
        <w:jc w:val="both"/>
      </w:pPr>
      <w:r w:rsidRPr="00F209B7">
        <w:t xml:space="preserve">In 2015, two thirds of businesspeople were self-employed, while almost a quarter employed fewer than five workers. One in ten employed between five and 19 workers, which would rate them as very small under the </w:t>
      </w:r>
      <w:r w:rsidRPr="00D40FDE">
        <w:rPr>
          <w:b/>
        </w:rPr>
        <w:t xml:space="preserve">dti </w:t>
      </w:r>
      <w:r w:rsidRPr="00F209B7">
        <w:t xml:space="preserve">definition. Just 3% of all employers had more than 20 employees. </w:t>
      </w:r>
    </w:p>
    <w:p w14:paraId="4670C25E" w14:textId="1952FB7D" w:rsidR="009B5BC4" w:rsidRPr="00F209B7" w:rsidRDefault="0094747D" w:rsidP="00D66738">
      <w:pPr>
        <w:pStyle w:val="Caption"/>
        <w:jc w:val="both"/>
      </w:pPr>
      <w:bookmarkStart w:id="460" w:name="_Toc479845220"/>
      <w:bookmarkStart w:id="461" w:name="_Toc479940945"/>
      <w:r>
        <w:lastRenderedPageBreak/>
        <w:t xml:space="preserve">Figure </w:t>
      </w:r>
      <w:fldSimple w:instr=" SEQ Figure \* ARABIC ">
        <w:r w:rsidR="005062E7">
          <w:rPr>
            <w:noProof/>
          </w:rPr>
          <w:t>3</w:t>
        </w:r>
      </w:fldSimple>
      <w:r>
        <w:t xml:space="preserve">. </w:t>
      </w:r>
      <w:r w:rsidR="009B5BC4" w:rsidRPr="00F209B7">
        <w:t>Employers by number of workers employed, 2015</w:t>
      </w:r>
      <w:bookmarkEnd w:id="460"/>
      <w:bookmarkEnd w:id="461"/>
    </w:p>
    <w:p w14:paraId="6EDD77B2" w14:textId="21D1A15E" w:rsidR="009B5BC4" w:rsidRPr="00F209B7" w:rsidRDefault="009B5BC4" w:rsidP="00D66738">
      <w:pPr>
        <w:pStyle w:val="source"/>
        <w:jc w:val="both"/>
      </w:pPr>
      <w:r w:rsidRPr="00F209B7">
        <w:rPr>
          <w:noProof/>
          <w:lang w:eastAsia="en-ZA"/>
        </w:rPr>
        <w:drawing>
          <wp:inline distT="0" distB="0" distL="0" distR="0" wp14:anchorId="4145E8EA" wp14:editId="32053F96">
            <wp:extent cx="5731510" cy="2455524"/>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455524"/>
                    </a:xfrm>
                    <a:prstGeom prst="rect">
                      <a:avLst/>
                    </a:prstGeom>
                    <a:noFill/>
                    <a:ln>
                      <a:noFill/>
                    </a:ln>
                  </pic:spPr>
                </pic:pic>
              </a:graphicData>
            </a:graphic>
          </wp:inline>
        </w:drawing>
      </w:r>
      <w:r w:rsidRPr="00F209B7">
        <w:t xml:space="preserve"> </w:t>
      </w:r>
      <w:r w:rsidRPr="00F209B7">
        <w:rPr>
          <w:i/>
        </w:rPr>
        <w:t xml:space="preserve">Source: </w:t>
      </w:r>
      <w:r w:rsidRPr="00F209B7">
        <w:t>Calculated from Statistics South Africa. Labour Mar</w:t>
      </w:r>
      <w:r>
        <w:t xml:space="preserve">ket Dynamics database for </w:t>
      </w:r>
      <w:r w:rsidR="006B2096">
        <w:t>2015</w:t>
      </w:r>
      <w:r w:rsidR="006B2096" w:rsidRPr="00F209B7">
        <w:t>.</w:t>
      </w:r>
      <w:r w:rsidRPr="00F209B7">
        <w:t xml:space="preserve"> Series on number of employees and main work. Downloaded from Nesstar facility at </w:t>
      </w:r>
      <w:r w:rsidRPr="007E67A7">
        <w:t>www.statssa.gov.za</w:t>
      </w:r>
      <w:r w:rsidRPr="00F209B7">
        <w:t xml:space="preserve"> in February 2017.</w:t>
      </w:r>
    </w:p>
    <w:p w14:paraId="5EE47FB6" w14:textId="77777777" w:rsidR="006A7D84" w:rsidRPr="008B0C35" w:rsidRDefault="006A7D84" w:rsidP="00D66738">
      <w:pPr>
        <w:pStyle w:val="Heading3"/>
        <w:numPr>
          <w:ilvl w:val="2"/>
          <w:numId w:val="123"/>
        </w:numPr>
        <w:ind w:left="0" w:firstLine="0"/>
        <w:jc w:val="both"/>
        <w:rPr>
          <w:rFonts w:eastAsia="Calibri"/>
        </w:rPr>
      </w:pPr>
      <w:bookmarkStart w:id="462" w:name="_Toc479843888"/>
      <w:bookmarkStart w:id="463" w:name="_Toc479844512"/>
      <w:bookmarkStart w:id="464" w:name="_Toc479940836"/>
      <w:r w:rsidRPr="008B0C35">
        <w:rPr>
          <w:rFonts w:eastAsia="Calibri"/>
        </w:rPr>
        <w:t>Formal and informal small business</w:t>
      </w:r>
      <w:bookmarkEnd w:id="462"/>
      <w:bookmarkEnd w:id="463"/>
      <w:bookmarkEnd w:id="464"/>
    </w:p>
    <w:p w14:paraId="7F045D41" w14:textId="29D3FBC4" w:rsidR="006A7D84" w:rsidRPr="00F209B7" w:rsidRDefault="006A7D84" w:rsidP="00D66738">
      <w:pPr>
        <w:jc w:val="both"/>
      </w:pPr>
      <w:r w:rsidRPr="00F209B7">
        <w:t xml:space="preserve">In terms of the regulatory impact, informal enterprises generally are less affected by most national laws, such as tax, company registration and </w:t>
      </w:r>
      <w:r w:rsidR="00F87570">
        <w:t>BBBEE</w:t>
      </w:r>
      <w:r w:rsidRPr="00F209B7">
        <w:t xml:space="preserve">. If they have employees, however, they are bound by the labour laws. </w:t>
      </w:r>
    </w:p>
    <w:p w14:paraId="575FB0B1" w14:textId="2CA73660" w:rsidR="00B00C15" w:rsidRPr="00F209B7" w:rsidRDefault="003A6C5C" w:rsidP="00D66738">
      <w:pPr>
        <w:jc w:val="both"/>
      </w:pPr>
      <w:r w:rsidRPr="00F209B7">
        <w:t xml:space="preserve">The vast majority of small employers were in the formal sector, while most informal enterprise had no employees. </w:t>
      </w:r>
      <w:r w:rsidR="00B00C15" w:rsidRPr="00F209B7">
        <w:t xml:space="preserve">The formal sector had </w:t>
      </w:r>
      <w:r w:rsidR="00742E09" w:rsidRPr="00F209B7">
        <w:t>50</w:t>
      </w:r>
      <w:r w:rsidR="00B00C15" w:rsidRPr="00F209B7">
        <w:t xml:space="preserve">0 000 employers </w:t>
      </w:r>
      <w:r w:rsidR="00742E09" w:rsidRPr="00F209B7">
        <w:t xml:space="preserve">(including commercial farmers) </w:t>
      </w:r>
      <w:r w:rsidR="00B00C15" w:rsidRPr="00F209B7">
        <w:t>and 1</w:t>
      </w:r>
      <w:r w:rsidR="00742E09" w:rsidRPr="00F209B7">
        <w:t>90</w:t>
      </w:r>
      <w:r w:rsidR="00B00C15" w:rsidRPr="00F209B7">
        <w:t xml:space="preserve"> 000 own-account workers. The informal sector </w:t>
      </w:r>
      <w:r w:rsidR="0094747D">
        <w:t>contained</w:t>
      </w:r>
      <w:r w:rsidR="00B00C15" w:rsidRPr="00F209B7">
        <w:t xml:space="preserve"> 1,</w:t>
      </w:r>
      <w:r w:rsidR="00742E09" w:rsidRPr="00F209B7">
        <w:t>2</w:t>
      </w:r>
      <w:r w:rsidR="00B00C15" w:rsidRPr="00F209B7">
        <w:t xml:space="preserve"> million self-employed workers but only 3</w:t>
      </w:r>
      <w:r w:rsidR="00742E09" w:rsidRPr="00F209B7">
        <w:t>0</w:t>
      </w:r>
      <w:r w:rsidR="00B00C15" w:rsidRPr="00F209B7">
        <w:t xml:space="preserve">0 000 employers. In other words, the formal sector contributed over 60% of all employers, but </w:t>
      </w:r>
      <w:r w:rsidRPr="00F209B7">
        <w:t xml:space="preserve">less than </w:t>
      </w:r>
      <w:r w:rsidR="00742E09" w:rsidRPr="00F209B7">
        <w:t>15</w:t>
      </w:r>
      <w:r w:rsidR="00B00C15" w:rsidRPr="00F209B7">
        <w:t xml:space="preserve">% of the self-employed. </w:t>
      </w:r>
      <w:r w:rsidR="00742E09" w:rsidRPr="00F209B7">
        <w:t xml:space="preserve">In contrast, informal, domestic and small-scale farming </w:t>
      </w:r>
      <w:r w:rsidR="00DC5556" w:rsidRPr="00F209B7">
        <w:t xml:space="preserve">accounted for 85% of the self-employed but under 40% of employers.  </w:t>
      </w:r>
    </w:p>
    <w:p w14:paraId="0D0A692B" w14:textId="77777777" w:rsidR="00B00C15" w:rsidRPr="00F209B7" w:rsidRDefault="00B00C15" w:rsidP="00D66738">
      <w:pPr>
        <w:jc w:val="both"/>
      </w:pPr>
      <w:r w:rsidRPr="00F209B7">
        <w:t xml:space="preserve">Self-employed workers made up one in four of formal businesses, but four out of five informal enterprises. Employers with up to 19 employees constituted two thirds of formal enterprise, but only a fifth of informal businesses. </w:t>
      </w:r>
    </w:p>
    <w:p w14:paraId="0ED234A0" w14:textId="2B987472" w:rsidR="006A7D84" w:rsidRPr="0094747D" w:rsidRDefault="0094747D" w:rsidP="00D66738">
      <w:pPr>
        <w:pStyle w:val="Caption"/>
        <w:jc w:val="both"/>
        <w:rPr>
          <w:szCs w:val="24"/>
        </w:rPr>
      </w:pPr>
      <w:bookmarkStart w:id="465" w:name="_Toc479845221"/>
      <w:bookmarkStart w:id="466" w:name="_Toc479940946"/>
      <w:r w:rsidRPr="0094747D">
        <w:lastRenderedPageBreak/>
        <w:t xml:space="preserve">Figure </w:t>
      </w:r>
      <w:fldSimple w:instr=" SEQ Figure \* ARABIC ">
        <w:r w:rsidR="005062E7">
          <w:rPr>
            <w:noProof/>
          </w:rPr>
          <w:t>4</w:t>
        </w:r>
      </w:fldSimple>
      <w:r w:rsidRPr="0094747D">
        <w:t xml:space="preserve">. </w:t>
      </w:r>
      <w:r w:rsidR="006A7D84" w:rsidRPr="0094747D">
        <w:rPr>
          <w:szCs w:val="24"/>
        </w:rPr>
        <w:t>Formal and informal employers by number of workers employed, 2015</w:t>
      </w:r>
      <w:bookmarkEnd w:id="465"/>
      <w:bookmarkEnd w:id="466"/>
    </w:p>
    <w:p w14:paraId="31399007" w14:textId="77777777" w:rsidR="006A7D84" w:rsidRPr="00F209B7" w:rsidRDefault="006A7D84" w:rsidP="00D66738">
      <w:pPr>
        <w:pStyle w:val="charts"/>
        <w:jc w:val="both"/>
      </w:pPr>
      <w:r w:rsidRPr="00F209B7">
        <w:rPr>
          <w:noProof/>
          <w:lang w:eastAsia="en-ZA"/>
        </w:rPr>
        <w:drawing>
          <wp:inline distT="0" distB="0" distL="0" distR="0" wp14:anchorId="14A5E116" wp14:editId="3AB8CF5A">
            <wp:extent cx="5731510" cy="25961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596175"/>
                    </a:xfrm>
                    <a:prstGeom prst="rect">
                      <a:avLst/>
                    </a:prstGeom>
                    <a:noFill/>
                    <a:ln>
                      <a:noFill/>
                    </a:ln>
                  </pic:spPr>
                </pic:pic>
              </a:graphicData>
            </a:graphic>
          </wp:inline>
        </w:drawing>
      </w:r>
    </w:p>
    <w:p w14:paraId="08573556" w14:textId="784C1CD5" w:rsidR="006A7D84" w:rsidRPr="00F209B7" w:rsidRDefault="006A7D84" w:rsidP="00D66738">
      <w:pPr>
        <w:pStyle w:val="source"/>
        <w:jc w:val="both"/>
      </w:pPr>
      <w:r w:rsidRPr="00F209B7">
        <w:rPr>
          <w:i/>
        </w:rPr>
        <w:t xml:space="preserve">Source: </w:t>
      </w:r>
      <w:r w:rsidRPr="00F209B7">
        <w:t>Calculated from Statistics South Africa. Labour Mar</w:t>
      </w:r>
      <w:r w:rsidR="006B2096">
        <w:t>ket Dynamics database for 2015.</w:t>
      </w:r>
      <w:r w:rsidRPr="00F209B7">
        <w:t xml:space="preserve"> Series on number of employees and main work. Downloaded from Nesstar facility at </w:t>
      </w:r>
      <w:r w:rsidRPr="007E67A7">
        <w:t>www.statssa.gov.za</w:t>
      </w:r>
      <w:r w:rsidRPr="00F209B7">
        <w:t xml:space="preserve"> in February 2017.</w:t>
      </w:r>
    </w:p>
    <w:p w14:paraId="383CB173" w14:textId="63715B8E" w:rsidR="003F01E4" w:rsidRDefault="006A7D84" w:rsidP="00D66738">
      <w:pPr>
        <w:jc w:val="both"/>
      </w:pPr>
      <w:r w:rsidRPr="00F209B7">
        <w:t>While the vast majority of small businesses were informal micro enterprise, larger formal producers dominated employment and production. Formal small and micro enterprise, with fewer than 50 workers each, employed 4,3 million workers in 2015, while medium and large enterprise (excluding the public sector) provided jobs for a further 3,6 million. In contrast, the informal sector had 870 000 wage workers – far less than the number of informal self- employed. In addition, there were 1,3 million domestic employees.</w:t>
      </w:r>
    </w:p>
    <w:p w14:paraId="764E75A7" w14:textId="77777777" w:rsidR="00B00C15" w:rsidRPr="00F209B7" w:rsidRDefault="00B00C15" w:rsidP="00D66738">
      <w:pPr>
        <w:keepNext/>
        <w:jc w:val="both"/>
      </w:pPr>
      <w:r w:rsidRPr="00F209B7">
        <w:t>With the exception of labour regulations, national regulations have a limited effect on informal micro enterprise, but they have significant impacts on all sizes of formal business. The remainder of this analysis will therefore focus on:</w:t>
      </w:r>
    </w:p>
    <w:p w14:paraId="3B046C86" w14:textId="77777777" w:rsidR="00B00C15" w:rsidRPr="00F209B7" w:rsidRDefault="00B00C15" w:rsidP="00D66738">
      <w:pPr>
        <w:keepNext/>
        <w:numPr>
          <w:ilvl w:val="0"/>
          <w:numId w:val="73"/>
        </w:numPr>
        <w:jc w:val="both"/>
      </w:pPr>
      <w:r w:rsidRPr="00F209B7">
        <w:t>Formal entrepreneurs, di</w:t>
      </w:r>
      <w:r w:rsidR="002E3F12" w:rsidRPr="00F209B7">
        <w:t xml:space="preserve">stinguishing the self-employed, </w:t>
      </w:r>
      <w:r w:rsidRPr="00F209B7">
        <w:t xml:space="preserve">micro and </w:t>
      </w:r>
      <w:r w:rsidR="002E3F12" w:rsidRPr="00F209B7">
        <w:t xml:space="preserve">small employers, </w:t>
      </w:r>
      <w:r w:rsidRPr="00F209B7">
        <w:t>and medium and large employers; and</w:t>
      </w:r>
    </w:p>
    <w:p w14:paraId="33C416E3" w14:textId="77777777" w:rsidR="00B00C15" w:rsidRPr="00F209B7" w:rsidRDefault="00B00C15" w:rsidP="00D66738">
      <w:pPr>
        <w:keepNext/>
        <w:numPr>
          <w:ilvl w:val="0"/>
          <w:numId w:val="73"/>
        </w:numPr>
        <w:jc w:val="both"/>
      </w:pPr>
      <w:r w:rsidRPr="00F209B7">
        <w:t xml:space="preserve">Informal employers with up to 19 employees, excluding larger enterprises because the numbers are not statistically significant. </w:t>
      </w:r>
    </w:p>
    <w:p w14:paraId="368A8875" w14:textId="450F77A5" w:rsidR="007D52DF" w:rsidRPr="008B0C35" w:rsidRDefault="007D52DF" w:rsidP="00D66738">
      <w:pPr>
        <w:pStyle w:val="Heading3"/>
        <w:numPr>
          <w:ilvl w:val="2"/>
          <w:numId w:val="123"/>
        </w:numPr>
        <w:ind w:left="0" w:firstLine="0"/>
        <w:jc w:val="both"/>
        <w:rPr>
          <w:rFonts w:eastAsia="Calibri"/>
        </w:rPr>
      </w:pPr>
      <w:bookmarkStart w:id="467" w:name="_Ref477943298"/>
      <w:bookmarkStart w:id="468" w:name="_Toc479843889"/>
      <w:bookmarkStart w:id="469" w:name="_Toc479844513"/>
      <w:bookmarkStart w:id="470" w:name="_Toc479940837"/>
      <w:r w:rsidRPr="008B0C35">
        <w:rPr>
          <w:rFonts w:eastAsia="Calibri"/>
        </w:rPr>
        <w:t>Small business by industry</w:t>
      </w:r>
      <w:bookmarkEnd w:id="467"/>
      <w:bookmarkEnd w:id="468"/>
      <w:bookmarkEnd w:id="469"/>
      <w:bookmarkEnd w:id="470"/>
    </w:p>
    <w:p w14:paraId="7BA1BD14" w14:textId="77777777" w:rsidR="007D52DF" w:rsidRPr="00F209B7" w:rsidRDefault="007D52DF" w:rsidP="00D66738">
      <w:pPr>
        <w:jc w:val="both"/>
      </w:pPr>
      <w:r w:rsidRPr="00F209B7">
        <w:t>According to the LMD, the bulk of small enterprises are found in trade, construction and business services. Around half of formal micro and very small entrepreneurs are in business services and retail. Small formal enterprises have a significant presence in construction.  In contrast, informal employers are concentrated in construction and retail, with almost none in business services. In both the formal and informal sector, just under 10% of small business are in manufacturing. The heat-map below indicates the percentage of enterprises in the sample by sector, industry and size.</w:t>
      </w:r>
    </w:p>
    <w:p w14:paraId="06DF9A89" w14:textId="337168B3" w:rsidR="007D52DF" w:rsidRPr="000525EE" w:rsidRDefault="007D52DF" w:rsidP="00D66738">
      <w:pPr>
        <w:pStyle w:val="Caption"/>
        <w:jc w:val="both"/>
      </w:pPr>
      <w:bookmarkStart w:id="471" w:name="_Ref479785337"/>
      <w:bookmarkStart w:id="472" w:name="_Toc479940958"/>
      <w:r w:rsidRPr="000525EE">
        <w:lastRenderedPageBreak/>
        <w:t xml:space="preserve">Table </w:t>
      </w:r>
      <w:fldSimple w:instr=" SEQ Table \* ARABIC ">
        <w:r w:rsidR="005062E7">
          <w:rPr>
            <w:noProof/>
          </w:rPr>
          <w:t>1</w:t>
        </w:r>
      </w:fldSimple>
      <w:bookmarkEnd w:id="471"/>
      <w:r w:rsidRPr="000525EE">
        <w:t>. Formal and informal employers/self-employed by industry and size, 2015</w:t>
      </w:r>
      <w:bookmarkEnd w:id="4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1"/>
        <w:gridCol w:w="1632"/>
        <w:gridCol w:w="1099"/>
        <w:gridCol w:w="1230"/>
        <w:gridCol w:w="1342"/>
        <w:gridCol w:w="1470"/>
      </w:tblGrid>
      <w:tr w:rsidR="007D52DF" w:rsidRPr="00F209B7" w14:paraId="1236A238" w14:textId="77777777" w:rsidTr="00753D89">
        <w:trPr>
          <w:cantSplit/>
          <w:tblHeader/>
        </w:trPr>
        <w:tc>
          <w:tcPr>
            <w:tcW w:w="1260" w:type="pct"/>
            <w:vMerge w:val="restart"/>
            <w:shd w:val="clear" w:color="auto" w:fill="FFFFFF"/>
            <w:tcMar>
              <w:top w:w="14" w:type="dxa"/>
              <w:left w:w="14" w:type="dxa"/>
              <w:bottom w:w="0" w:type="dxa"/>
              <w:right w:w="14" w:type="dxa"/>
            </w:tcMar>
            <w:vAlign w:val="bottom"/>
            <w:hideMark/>
          </w:tcPr>
          <w:p w14:paraId="4B382D65" w14:textId="77777777" w:rsidR="007D52DF" w:rsidRPr="00F209B7" w:rsidRDefault="007D52DF" w:rsidP="00D66738">
            <w:pPr>
              <w:pStyle w:val="charts"/>
              <w:jc w:val="both"/>
              <w:rPr>
                <w:b/>
                <w:sz w:val="22"/>
              </w:rPr>
            </w:pPr>
            <w:r w:rsidRPr="00F209B7">
              <w:rPr>
                <w:b/>
                <w:sz w:val="22"/>
              </w:rPr>
              <w:t>Sector</w:t>
            </w:r>
          </w:p>
        </w:tc>
        <w:tc>
          <w:tcPr>
            <w:tcW w:w="2187" w:type="pct"/>
            <w:gridSpan w:val="3"/>
            <w:shd w:val="clear" w:color="auto" w:fill="FFFFFF"/>
            <w:tcMar>
              <w:top w:w="14" w:type="dxa"/>
              <w:left w:w="14" w:type="dxa"/>
              <w:bottom w:w="0" w:type="dxa"/>
              <w:right w:w="14" w:type="dxa"/>
            </w:tcMar>
            <w:vAlign w:val="bottom"/>
            <w:hideMark/>
          </w:tcPr>
          <w:p w14:paraId="45325B4D" w14:textId="77777777" w:rsidR="007D52DF" w:rsidRPr="00F209B7" w:rsidRDefault="007D52DF" w:rsidP="00D66738">
            <w:pPr>
              <w:pStyle w:val="charts"/>
              <w:jc w:val="both"/>
              <w:rPr>
                <w:b/>
                <w:sz w:val="22"/>
              </w:rPr>
            </w:pPr>
            <w:r w:rsidRPr="00F209B7">
              <w:rPr>
                <w:b/>
                <w:sz w:val="22"/>
              </w:rPr>
              <w:t>Formal</w:t>
            </w:r>
          </w:p>
        </w:tc>
        <w:tc>
          <w:tcPr>
            <w:tcW w:w="741" w:type="pct"/>
            <w:shd w:val="clear" w:color="auto" w:fill="FFFFFF"/>
            <w:tcMar>
              <w:top w:w="14" w:type="dxa"/>
              <w:left w:w="14" w:type="dxa"/>
              <w:bottom w:w="0" w:type="dxa"/>
              <w:right w:w="14" w:type="dxa"/>
            </w:tcMar>
            <w:vAlign w:val="bottom"/>
            <w:hideMark/>
          </w:tcPr>
          <w:p w14:paraId="37E56A1F" w14:textId="77777777" w:rsidR="007D52DF" w:rsidRPr="00F209B7" w:rsidRDefault="007D52DF" w:rsidP="00D66738">
            <w:pPr>
              <w:pStyle w:val="charts"/>
              <w:jc w:val="both"/>
              <w:rPr>
                <w:b/>
                <w:sz w:val="22"/>
              </w:rPr>
            </w:pPr>
            <w:r w:rsidRPr="00F209B7">
              <w:rPr>
                <w:b/>
                <w:sz w:val="22"/>
              </w:rPr>
              <w:t>Informal</w:t>
            </w:r>
          </w:p>
        </w:tc>
        <w:tc>
          <w:tcPr>
            <w:tcW w:w="812" w:type="pct"/>
            <w:vMerge w:val="restart"/>
            <w:shd w:val="clear" w:color="auto" w:fill="FFFFFF"/>
            <w:tcMar>
              <w:top w:w="14" w:type="dxa"/>
              <w:left w:w="14" w:type="dxa"/>
              <w:bottom w:w="0" w:type="dxa"/>
              <w:right w:w="14" w:type="dxa"/>
            </w:tcMar>
            <w:vAlign w:val="bottom"/>
            <w:hideMark/>
          </w:tcPr>
          <w:p w14:paraId="7724F63C" w14:textId="77777777" w:rsidR="007D52DF" w:rsidRPr="00F209B7" w:rsidRDefault="007D52DF" w:rsidP="00D66738">
            <w:pPr>
              <w:pStyle w:val="charts"/>
              <w:jc w:val="both"/>
              <w:rPr>
                <w:sz w:val="22"/>
              </w:rPr>
            </w:pPr>
          </w:p>
          <w:p w14:paraId="600746DE" w14:textId="77777777" w:rsidR="007D52DF" w:rsidRPr="00F209B7" w:rsidRDefault="007D52DF" w:rsidP="00D66738">
            <w:pPr>
              <w:pStyle w:val="charts"/>
              <w:jc w:val="both"/>
              <w:rPr>
                <w:b/>
                <w:sz w:val="22"/>
              </w:rPr>
            </w:pPr>
            <w:r w:rsidRPr="00F209B7">
              <w:rPr>
                <w:b/>
                <w:sz w:val="22"/>
              </w:rPr>
              <w:t>Total</w:t>
            </w:r>
          </w:p>
        </w:tc>
      </w:tr>
      <w:tr w:rsidR="007D52DF" w:rsidRPr="00F209B7" w14:paraId="79062A5B" w14:textId="77777777" w:rsidTr="00753D89">
        <w:trPr>
          <w:cantSplit/>
          <w:tblHeader/>
        </w:trPr>
        <w:tc>
          <w:tcPr>
            <w:tcW w:w="1260" w:type="pct"/>
            <w:vMerge/>
            <w:vAlign w:val="bottom"/>
            <w:hideMark/>
          </w:tcPr>
          <w:p w14:paraId="54FA0394" w14:textId="77777777" w:rsidR="007D52DF" w:rsidRPr="00F209B7" w:rsidRDefault="007D52DF" w:rsidP="00D66738">
            <w:pPr>
              <w:pStyle w:val="charts"/>
              <w:jc w:val="both"/>
              <w:rPr>
                <w:b/>
                <w:sz w:val="22"/>
              </w:rPr>
            </w:pPr>
          </w:p>
        </w:tc>
        <w:tc>
          <w:tcPr>
            <w:tcW w:w="901" w:type="pct"/>
            <w:shd w:val="clear" w:color="auto" w:fill="FFFFFF"/>
            <w:tcMar>
              <w:top w:w="14" w:type="dxa"/>
              <w:left w:w="14" w:type="dxa"/>
              <w:bottom w:w="0" w:type="dxa"/>
              <w:right w:w="14" w:type="dxa"/>
            </w:tcMar>
            <w:vAlign w:val="bottom"/>
            <w:hideMark/>
          </w:tcPr>
          <w:p w14:paraId="16681850" w14:textId="77777777" w:rsidR="007D52DF" w:rsidRPr="00F209B7" w:rsidRDefault="007D52DF" w:rsidP="00D66738">
            <w:pPr>
              <w:pStyle w:val="charts"/>
              <w:jc w:val="both"/>
              <w:rPr>
                <w:b/>
                <w:sz w:val="22"/>
              </w:rPr>
            </w:pPr>
            <w:r w:rsidRPr="00F209B7">
              <w:rPr>
                <w:b/>
                <w:sz w:val="22"/>
              </w:rPr>
              <w:t xml:space="preserve"> Self-employed </w:t>
            </w:r>
          </w:p>
        </w:tc>
        <w:tc>
          <w:tcPr>
            <w:tcW w:w="607" w:type="pct"/>
            <w:shd w:val="clear" w:color="auto" w:fill="FFFFFF"/>
            <w:tcMar>
              <w:top w:w="14" w:type="dxa"/>
              <w:left w:w="14" w:type="dxa"/>
              <w:bottom w:w="0" w:type="dxa"/>
              <w:right w:w="14" w:type="dxa"/>
            </w:tcMar>
            <w:vAlign w:val="bottom"/>
            <w:hideMark/>
          </w:tcPr>
          <w:p w14:paraId="32797CD8" w14:textId="77777777" w:rsidR="007D52DF" w:rsidRPr="00F209B7" w:rsidRDefault="007D52DF" w:rsidP="00D66738">
            <w:pPr>
              <w:pStyle w:val="charts"/>
              <w:jc w:val="both"/>
              <w:rPr>
                <w:b/>
                <w:sz w:val="22"/>
              </w:rPr>
            </w:pPr>
            <w:r w:rsidRPr="00F209B7">
              <w:rPr>
                <w:b/>
                <w:sz w:val="22"/>
              </w:rPr>
              <w:t xml:space="preserve"> 1 to 19 </w:t>
            </w:r>
          </w:p>
        </w:tc>
        <w:tc>
          <w:tcPr>
            <w:tcW w:w="679" w:type="pct"/>
            <w:shd w:val="clear" w:color="auto" w:fill="FFFFFF"/>
            <w:tcMar>
              <w:top w:w="14" w:type="dxa"/>
              <w:left w:w="14" w:type="dxa"/>
              <w:bottom w:w="0" w:type="dxa"/>
              <w:right w:w="14" w:type="dxa"/>
            </w:tcMar>
            <w:vAlign w:val="bottom"/>
            <w:hideMark/>
          </w:tcPr>
          <w:p w14:paraId="79B744C1" w14:textId="77777777" w:rsidR="007D52DF" w:rsidRPr="00F209B7" w:rsidRDefault="007D52DF" w:rsidP="00D66738">
            <w:pPr>
              <w:pStyle w:val="charts"/>
              <w:jc w:val="both"/>
              <w:rPr>
                <w:b/>
                <w:sz w:val="22"/>
              </w:rPr>
            </w:pPr>
            <w:r w:rsidRPr="00F209B7">
              <w:rPr>
                <w:b/>
                <w:sz w:val="22"/>
              </w:rPr>
              <w:t xml:space="preserve"> 20 to 49 </w:t>
            </w:r>
          </w:p>
        </w:tc>
        <w:tc>
          <w:tcPr>
            <w:tcW w:w="741" w:type="pct"/>
            <w:shd w:val="clear" w:color="auto" w:fill="FFFFFF"/>
            <w:tcMar>
              <w:top w:w="14" w:type="dxa"/>
              <w:left w:w="14" w:type="dxa"/>
              <w:bottom w:w="0" w:type="dxa"/>
              <w:right w:w="14" w:type="dxa"/>
            </w:tcMar>
            <w:vAlign w:val="bottom"/>
            <w:hideMark/>
          </w:tcPr>
          <w:p w14:paraId="06D59B99" w14:textId="77777777" w:rsidR="007D52DF" w:rsidRPr="00F209B7" w:rsidRDefault="007D52DF" w:rsidP="00D66738">
            <w:pPr>
              <w:pStyle w:val="charts"/>
              <w:jc w:val="both"/>
              <w:rPr>
                <w:b/>
                <w:sz w:val="22"/>
              </w:rPr>
            </w:pPr>
            <w:r w:rsidRPr="00F209B7">
              <w:rPr>
                <w:b/>
                <w:sz w:val="22"/>
              </w:rPr>
              <w:t xml:space="preserve"> 1 to 19 </w:t>
            </w:r>
          </w:p>
        </w:tc>
        <w:tc>
          <w:tcPr>
            <w:tcW w:w="812" w:type="pct"/>
            <w:vMerge/>
            <w:vAlign w:val="bottom"/>
            <w:hideMark/>
          </w:tcPr>
          <w:p w14:paraId="4BBEFD3F" w14:textId="77777777" w:rsidR="007D52DF" w:rsidRPr="00F209B7" w:rsidRDefault="007D52DF" w:rsidP="00D66738">
            <w:pPr>
              <w:pStyle w:val="charts"/>
              <w:jc w:val="both"/>
              <w:rPr>
                <w:sz w:val="22"/>
              </w:rPr>
            </w:pPr>
          </w:p>
        </w:tc>
      </w:tr>
      <w:tr w:rsidR="007D52DF" w:rsidRPr="00F209B7" w14:paraId="00C87CB5" w14:textId="77777777" w:rsidTr="00753D89">
        <w:trPr>
          <w:cantSplit/>
        </w:trPr>
        <w:tc>
          <w:tcPr>
            <w:tcW w:w="1260" w:type="pct"/>
            <w:shd w:val="clear" w:color="auto" w:fill="FFFFFF"/>
            <w:tcMar>
              <w:top w:w="14" w:type="dxa"/>
              <w:left w:w="14" w:type="dxa"/>
              <w:bottom w:w="0" w:type="dxa"/>
              <w:right w:w="14" w:type="dxa"/>
            </w:tcMar>
            <w:vAlign w:val="bottom"/>
            <w:hideMark/>
          </w:tcPr>
          <w:p w14:paraId="7C93E868" w14:textId="77777777" w:rsidR="007D52DF" w:rsidRPr="00F209B7" w:rsidRDefault="007D52DF" w:rsidP="00D66738">
            <w:pPr>
              <w:pStyle w:val="charts"/>
              <w:jc w:val="both"/>
              <w:rPr>
                <w:sz w:val="22"/>
              </w:rPr>
            </w:pPr>
            <w:r w:rsidRPr="00F209B7">
              <w:rPr>
                <w:sz w:val="22"/>
              </w:rPr>
              <w:t xml:space="preserve"> Agriculture </w:t>
            </w:r>
          </w:p>
        </w:tc>
        <w:tc>
          <w:tcPr>
            <w:tcW w:w="901" w:type="pct"/>
            <w:shd w:val="clear" w:color="auto" w:fill="FFFFFF" w:themeFill="background1"/>
            <w:tcMar>
              <w:top w:w="14" w:type="dxa"/>
              <w:left w:w="14" w:type="dxa"/>
              <w:bottom w:w="0" w:type="dxa"/>
              <w:right w:w="14" w:type="dxa"/>
            </w:tcMar>
            <w:vAlign w:val="bottom"/>
            <w:hideMark/>
          </w:tcPr>
          <w:p w14:paraId="5147C7A7" w14:textId="77777777" w:rsidR="007D52DF" w:rsidRPr="00F209B7" w:rsidRDefault="007D52DF" w:rsidP="00D66738">
            <w:pPr>
              <w:pStyle w:val="charts"/>
              <w:jc w:val="both"/>
              <w:rPr>
                <w:sz w:val="22"/>
              </w:rPr>
            </w:pPr>
            <w:r w:rsidRPr="00F209B7">
              <w:rPr>
                <w:sz w:val="22"/>
              </w:rPr>
              <w:t>1%</w:t>
            </w:r>
          </w:p>
        </w:tc>
        <w:tc>
          <w:tcPr>
            <w:tcW w:w="607" w:type="pct"/>
            <w:shd w:val="clear" w:color="auto" w:fill="DCE6F2"/>
            <w:tcMar>
              <w:top w:w="14" w:type="dxa"/>
              <w:left w:w="14" w:type="dxa"/>
              <w:bottom w:w="0" w:type="dxa"/>
              <w:right w:w="14" w:type="dxa"/>
            </w:tcMar>
            <w:vAlign w:val="bottom"/>
            <w:hideMark/>
          </w:tcPr>
          <w:p w14:paraId="49C344D5" w14:textId="77777777" w:rsidR="007D52DF" w:rsidRPr="00F209B7" w:rsidRDefault="007D52DF" w:rsidP="00D66738">
            <w:pPr>
              <w:pStyle w:val="charts"/>
              <w:jc w:val="both"/>
              <w:rPr>
                <w:sz w:val="22"/>
              </w:rPr>
            </w:pPr>
            <w:r w:rsidRPr="00F209B7">
              <w:rPr>
                <w:sz w:val="22"/>
              </w:rPr>
              <w:t>6%</w:t>
            </w:r>
          </w:p>
        </w:tc>
        <w:tc>
          <w:tcPr>
            <w:tcW w:w="679" w:type="pct"/>
            <w:shd w:val="clear" w:color="auto" w:fill="8DB3E2" w:themeFill="text2" w:themeFillTint="66"/>
            <w:tcMar>
              <w:top w:w="14" w:type="dxa"/>
              <w:left w:w="14" w:type="dxa"/>
              <w:bottom w:w="0" w:type="dxa"/>
              <w:right w:w="14" w:type="dxa"/>
            </w:tcMar>
            <w:vAlign w:val="bottom"/>
            <w:hideMark/>
          </w:tcPr>
          <w:p w14:paraId="6334802F" w14:textId="77777777" w:rsidR="007D52DF" w:rsidRPr="00F209B7" w:rsidRDefault="007D52DF" w:rsidP="00D66738">
            <w:pPr>
              <w:pStyle w:val="charts"/>
              <w:jc w:val="both"/>
              <w:rPr>
                <w:sz w:val="22"/>
              </w:rPr>
            </w:pPr>
            <w:r w:rsidRPr="00F209B7">
              <w:rPr>
                <w:sz w:val="22"/>
              </w:rPr>
              <w:t>15%</w:t>
            </w:r>
          </w:p>
        </w:tc>
        <w:tc>
          <w:tcPr>
            <w:tcW w:w="741" w:type="pct"/>
            <w:shd w:val="clear" w:color="auto" w:fill="FFFFFF" w:themeFill="background1"/>
            <w:tcMar>
              <w:top w:w="14" w:type="dxa"/>
              <w:left w:w="14" w:type="dxa"/>
              <w:bottom w:w="0" w:type="dxa"/>
              <w:right w:w="14" w:type="dxa"/>
            </w:tcMar>
            <w:vAlign w:val="bottom"/>
            <w:hideMark/>
          </w:tcPr>
          <w:p w14:paraId="70267EFC" w14:textId="77777777" w:rsidR="007D52DF" w:rsidRPr="00F209B7" w:rsidRDefault="007D52DF" w:rsidP="00D66738">
            <w:pPr>
              <w:pStyle w:val="charts"/>
              <w:jc w:val="both"/>
              <w:rPr>
                <w:sz w:val="22"/>
              </w:rPr>
            </w:pPr>
            <w:r w:rsidRPr="00F209B7">
              <w:rPr>
                <w:sz w:val="22"/>
              </w:rPr>
              <w:t>2%</w:t>
            </w:r>
          </w:p>
        </w:tc>
        <w:tc>
          <w:tcPr>
            <w:tcW w:w="812" w:type="pct"/>
            <w:shd w:val="clear" w:color="auto" w:fill="FFFFFF" w:themeFill="background1"/>
            <w:tcMar>
              <w:top w:w="14" w:type="dxa"/>
              <w:left w:w="14" w:type="dxa"/>
              <w:bottom w:w="0" w:type="dxa"/>
              <w:right w:w="14" w:type="dxa"/>
            </w:tcMar>
            <w:vAlign w:val="bottom"/>
            <w:hideMark/>
          </w:tcPr>
          <w:p w14:paraId="0FE289AD" w14:textId="77777777" w:rsidR="007D52DF" w:rsidRPr="00F209B7" w:rsidRDefault="007D52DF" w:rsidP="00D66738">
            <w:pPr>
              <w:pStyle w:val="charts"/>
              <w:jc w:val="both"/>
              <w:rPr>
                <w:rFonts w:ascii="Calibri" w:hAnsi="Calibri"/>
                <w:color w:val="000000"/>
                <w:sz w:val="22"/>
              </w:rPr>
            </w:pPr>
            <w:r w:rsidRPr="00F209B7">
              <w:rPr>
                <w:rFonts w:ascii="Calibri" w:hAnsi="Calibri"/>
                <w:color w:val="000000"/>
                <w:sz w:val="22"/>
              </w:rPr>
              <w:t>4%</w:t>
            </w:r>
          </w:p>
        </w:tc>
      </w:tr>
      <w:tr w:rsidR="007D52DF" w:rsidRPr="00F209B7" w14:paraId="61D4324F" w14:textId="77777777" w:rsidTr="00753D89">
        <w:trPr>
          <w:cantSplit/>
        </w:trPr>
        <w:tc>
          <w:tcPr>
            <w:tcW w:w="1260" w:type="pct"/>
            <w:shd w:val="clear" w:color="auto" w:fill="FFFFFF"/>
            <w:tcMar>
              <w:top w:w="14" w:type="dxa"/>
              <w:left w:w="14" w:type="dxa"/>
              <w:bottom w:w="0" w:type="dxa"/>
              <w:right w:w="14" w:type="dxa"/>
            </w:tcMar>
            <w:vAlign w:val="bottom"/>
            <w:hideMark/>
          </w:tcPr>
          <w:p w14:paraId="2664CA7A" w14:textId="77777777" w:rsidR="007D52DF" w:rsidRPr="00F209B7" w:rsidRDefault="007D52DF" w:rsidP="00D66738">
            <w:pPr>
              <w:pStyle w:val="charts"/>
              <w:jc w:val="both"/>
              <w:rPr>
                <w:sz w:val="22"/>
              </w:rPr>
            </w:pPr>
            <w:r w:rsidRPr="00F209B7">
              <w:rPr>
                <w:sz w:val="22"/>
              </w:rPr>
              <w:t xml:space="preserve"> Mining </w:t>
            </w:r>
          </w:p>
        </w:tc>
        <w:tc>
          <w:tcPr>
            <w:tcW w:w="901" w:type="pct"/>
            <w:shd w:val="clear" w:color="auto" w:fill="FFFFFF" w:themeFill="background1"/>
            <w:tcMar>
              <w:top w:w="14" w:type="dxa"/>
              <w:left w:w="14" w:type="dxa"/>
              <w:bottom w:w="0" w:type="dxa"/>
              <w:right w:w="14" w:type="dxa"/>
            </w:tcMar>
            <w:vAlign w:val="bottom"/>
            <w:hideMark/>
          </w:tcPr>
          <w:p w14:paraId="03B86FEF" w14:textId="77777777" w:rsidR="007D52DF" w:rsidRPr="00F209B7" w:rsidRDefault="007D52DF" w:rsidP="00D66738">
            <w:pPr>
              <w:pStyle w:val="charts"/>
              <w:jc w:val="both"/>
              <w:rPr>
                <w:sz w:val="22"/>
              </w:rPr>
            </w:pPr>
            <w:r w:rsidRPr="00F209B7">
              <w:rPr>
                <w:sz w:val="22"/>
              </w:rPr>
              <w:t>0%</w:t>
            </w:r>
          </w:p>
        </w:tc>
        <w:tc>
          <w:tcPr>
            <w:tcW w:w="607" w:type="pct"/>
            <w:shd w:val="clear" w:color="auto" w:fill="FFFFFF" w:themeFill="background1"/>
            <w:tcMar>
              <w:top w:w="14" w:type="dxa"/>
              <w:left w:w="14" w:type="dxa"/>
              <w:bottom w:w="0" w:type="dxa"/>
              <w:right w:w="14" w:type="dxa"/>
            </w:tcMar>
            <w:vAlign w:val="bottom"/>
            <w:hideMark/>
          </w:tcPr>
          <w:p w14:paraId="55AAD8FC" w14:textId="77777777" w:rsidR="007D52DF" w:rsidRPr="00F209B7" w:rsidRDefault="007D52DF" w:rsidP="00D66738">
            <w:pPr>
              <w:pStyle w:val="charts"/>
              <w:jc w:val="both"/>
              <w:rPr>
                <w:sz w:val="22"/>
              </w:rPr>
            </w:pPr>
            <w:r w:rsidRPr="00F209B7">
              <w:rPr>
                <w:sz w:val="22"/>
              </w:rPr>
              <w:t>0%</w:t>
            </w:r>
          </w:p>
        </w:tc>
        <w:tc>
          <w:tcPr>
            <w:tcW w:w="679" w:type="pct"/>
            <w:shd w:val="clear" w:color="auto" w:fill="FFFFFF" w:themeFill="background1"/>
            <w:tcMar>
              <w:top w:w="14" w:type="dxa"/>
              <w:left w:w="14" w:type="dxa"/>
              <w:bottom w:w="0" w:type="dxa"/>
              <w:right w:w="14" w:type="dxa"/>
            </w:tcMar>
            <w:vAlign w:val="bottom"/>
            <w:hideMark/>
          </w:tcPr>
          <w:p w14:paraId="165323BD" w14:textId="77777777" w:rsidR="007D52DF" w:rsidRPr="00F209B7" w:rsidRDefault="007D52DF" w:rsidP="00D66738">
            <w:pPr>
              <w:pStyle w:val="charts"/>
              <w:jc w:val="both"/>
              <w:rPr>
                <w:sz w:val="22"/>
              </w:rPr>
            </w:pPr>
            <w:r w:rsidRPr="00F209B7">
              <w:rPr>
                <w:sz w:val="22"/>
              </w:rPr>
              <w:t>0%</w:t>
            </w:r>
          </w:p>
        </w:tc>
        <w:tc>
          <w:tcPr>
            <w:tcW w:w="741" w:type="pct"/>
            <w:shd w:val="clear" w:color="auto" w:fill="FFFFFF" w:themeFill="background1"/>
            <w:tcMar>
              <w:top w:w="14" w:type="dxa"/>
              <w:left w:w="14" w:type="dxa"/>
              <w:bottom w:w="0" w:type="dxa"/>
              <w:right w:w="14" w:type="dxa"/>
            </w:tcMar>
            <w:vAlign w:val="bottom"/>
            <w:hideMark/>
          </w:tcPr>
          <w:p w14:paraId="0E8EBFE9" w14:textId="77777777" w:rsidR="007D52DF" w:rsidRPr="00F209B7" w:rsidRDefault="007D52DF" w:rsidP="00D66738">
            <w:pPr>
              <w:pStyle w:val="charts"/>
              <w:jc w:val="both"/>
              <w:rPr>
                <w:sz w:val="22"/>
              </w:rPr>
            </w:pPr>
            <w:r w:rsidRPr="00F209B7">
              <w:rPr>
                <w:sz w:val="22"/>
              </w:rPr>
              <w:t>0%</w:t>
            </w:r>
          </w:p>
        </w:tc>
        <w:tc>
          <w:tcPr>
            <w:tcW w:w="812" w:type="pct"/>
            <w:shd w:val="clear" w:color="auto" w:fill="FFFFFF" w:themeFill="background1"/>
            <w:tcMar>
              <w:top w:w="14" w:type="dxa"/>
              <w:left w:w="14" w:type="dxa"/>
              <w:bottom w:w="0" w:type="dxa"/>
              <w:right w:w="14" w:type="dxa"/>
            </w:tcMar>
            <w:vAlign w:val="bottom"/>
            <w:hideMark/>
          </w:tcPr>
          <w:p w14:paraId="1565149B" w14:textId="77777777" w:rsidR="007D52DF" w:rsidRPr="00F209B7" w:rsidRDefault="007D52DF" w:rsidP="00D66738">
            <w:pPr>
              <w:pStyle w:val="charts"/>
              <w:jc w:val="both"/>
              <w:rPr>
                <w:sz w:val="22"/>
              </w:rPr>
            </w:pPr>
            <w:r w:rsidRPr="00F209B7">
              <w:rPr>
                <w:sz w:val="22"/>
              </w:rPr>
              <w:t>0%</w:t>
            </w:r>
          </w:p>
        </w:tc>
      </w:tr>
      <w:tr w:rsidR="007D52DF" w:rsidRPr="00F209B7" w14:paraId="7EA31B5B" w14:textId="77777777" w:rsidTr="00753D89">
        <w:trPr>
          <w:cantSplit/>
        </w:trPr>
        <w:tc>
          <w:tcPr>
            <w:tcW w:w="1260" w:type="pct"/>
            <w:shd w:val="clear" w:color="auto" w:fill="FFFFFF"/>
            <w:tcMar>
              <w:top w:w="14" w:type="dxa"/>
              <w:left w:w="14" w:type="dxa"/>
              <w:bottom w:w="0" w:type="dxa"/>
              <w:right w:w="14" w:type="dxa"/>
            </w:tcMar>
            <w:vAlign w:val="bottom"/>
            <w:hideMark/>
          </w:tcPr>
          <w:p w14:paraId="249ADCCA" w14:textId="77777777" w:rsidR="007D52DF" w:rsidRPr="00F209B7" w:rsidRDefault="007D52DF" w:rsidP="00D66738">
            <w:pPr>
              <w:pStyle w:val="charts"/>
              <w:jc w:val="both"/>
              <w:rPr>
                <w:sz w:val="22"/>
              </w:rPr>
            </w:pPr>
            <w:r w:rsidRPr="00F209B7">
              <w:rPr>
                <w:sz w:val="22"/>
              </w:rPr>
              <w:t xml:space="preserve"> Manufacturing </w:t>
            </w:r>
          </w:p>
        </w:tc>
        <w:tc>
          <w:tcPr>
            <w:tcW w:w="901" w:type="pct"/>
            <w:shd w:val="clear" w:color="auto" w:fill="DCE6F2"/>
            <w:tcMar>
              <w:top w:w="14" w:type="dxa"/>
              <w:left w:w="14" w:type="dxa"/>
              <w:bottom w:w="0" w:type="dxa"/>
              <w:right w:w="14" w:type="dxa"/>
            </w:tcMar>
            <w:vAlign w:val="bottom"/>
            <w:hideMark/>
          </w:tcPr>
          <w:p w14:paraId="6414EDEC" w14:textId="77777777" w:rsidR="007D52DF" w:rsidRPr="00F209B7" w:rsidRDefault="007D52DF" w:rsidP="00D66738">
            <w:pPr>
              <w:pStyle w:val="charts"/>
              <w:jc w:val="both"/>
              <w:rPr>
                <w:sz w:val="22"/>
              </w:rPr>
            </w:pPr>
            <w:r w:rsidRPr="00F209B7">
              <w:rPr>
                <w:sz w:val="22"/>
              </w:rPr>
              <w:t>9%</w:t>
            </w:r>
          </w:p>
        </w:tc>
        <w:tc>
          <w:tcPr>
            <w:tcW w:w="607" w:type="pct"/>
            <w:shd w:val="clear" w:color="auto" w:fill="DCE6F2"/>
            <w:tcMar>
              <w:top w:w="14" w:type="dxa"/>
              <w:left w:w="14" w:type="dxa"/>
              <w:bottom w:w="0" w:type="dxa"/>
              <w:right w:w="14" w:type="dxa"/>
            </w:tcMar>
            <w:vAlign w:val="bottom"/>
            <w:hideMark/>
          </w:tcPr>
          <w:p w14:paraId="11F86DF3" w14:textId="77777777" w:rsidR="007D52DF" w:rsidRPr="00F209B7" w:rsidRDefault="007D52DF" w:rsidP="00D66738">
            <w:pPr>
              <w:pStyle w:val="charts"/>
              <w:jc w:val="both"/>
              <w:rPr>
                <w:sz w:val="22"/>
              </w:rPr>
            </w:pPr>
            <w:r w:rsidRPr="00F209B7">
              <w:rPr>
                <w:sz w:val="22"/>
              </w:rPr>
              <w:t>9%</w:t>
            </w:r>
          </w:p>
        </w:tc>
        <w:tc>
          <w:tcPr>
            <w:tcW w:w="679" w:type="pct"/>
            <w:shd w:val="clear" w:color="auto" w:fill="DBE5F1" w:themeFill="accent1" w:themeFillTint="33"/>
            <w:tcMar>
              <w:top w:w="14" w:type="dxa"/>
              <w:left w:w="14" w:type="dxa"/>
              <w:bottom w:w="0" w:type="dxa"/>
              <w:right w:w="14" w:type="dxa"/>
            </w:tcMar>
            <w:vAlign w:val="bottom"/>
            <w:hideMark/>
          </w:tcPr>
          <w:p w14:paraId="029EB662" w14:textId="77777777" w:rsidR="007D52DF" w:rsidRPr="00F209B7" w:rsidRDefault="007D52DF" w:rsidP="00D66738">
            <w:pPr>
              <w:pStyle w:val="charts"/>
              <w:jc w:val="both"/>
              <w:rPr>
                <w:sz w:val="22"/>
              </w:rPr>
            </w:pPr>
            <w:r w:rsidRPr="00F209B7">
              <w:rPr>
                <w:sz w:val="22"/>
              </w:rPr>
              <w:t>7%</w:t>
            </w:r>
          </w:p>
        </w:tc>
        <w:tc>
          <w:tcPr>
            <w:tcW w:w="741" w:type="pct"/>
            <w:shd w:val="clear" w:color="auto" w:fill="DBE5F1" w:themeFill="accent1" w:themeFillTint="33"/>
            <w:tcMar>
              <w:top w:w="14" w:type="dxa"/>
              <w:left w:w="14" w:type="dxa"/>
              <w:bottom w:w="0" w:type="dxa"/>
              <w:right w:w="14" w:type="dxa"/>
            </w:tcMar>
            <w:vAlign w:val="bottom"/>
            <w:hideMark/>
          </w:tcPr>
          <w:p w14:paraId="1DC77C6F" w14:textId="77777777" w:rsidR="007D52DF" w:rsidRPr="00F209B7" w:rsidRDefault="007D52DF" w:rsidP="00D66738">
            <w:pPr>
              <w:pStyle w:val="charts"/>
              <w:jc w:val="both"/>
              <w:rPr>
                <w:sz w:val="22"/>
              </w:rPr>
            </w:pPr>
            <w:r w:rsidRPr="00F209B7">
              <w:rPr>
                <w:sz w:val="22"/>
              </w:rPr>
              <w:t>8%</w:t>
            </w:r>
          </w:p>
        </w:tc>
        <w:tc>
          <w:tcPr>
            <w:tcW w:w="812" w:type="pct"/>
            <w:shd w:val="clear" w:color="auto" w:fill="DBE5F1" w:themeFill="accent1" w:themeFillTint="33"/>
            <w:tcMar>
              <w:top w:w="14" w:type="dxa"/>
              <w:left w:w="14" w:type="dxa"/>
              <w:bottom w:w="0" w:type="dxa"/>
              <w:right w:w="14" w:type="dxa"/>
            </w:tcMar>
            <w:vAlign w:val="bottom"/>
            <w:hideMark/>
          </w:tcPr>
          <w:p w14:paraId="08FD75F6" w14:textId="77777777" w:rsidR="007D52DF" w:rsidRPr="00F209B7" w:rsidRDefault="007D52DF" w:rsidP="00D66738">
            <w:pPr>
              <w:pStyle w:val="charts"/>
              <w:jc w:val="both"/>
              <w:rPr>
                <w:sz w:val="22"/>
              </w:rPr>
            </w:pPr>
            <w:r w:rsidRPr="00F209B7">
              <w:rPr>
                <w:sz w:val="22"/>
              </w:rPr>
              <w:t>9%</w:t>
            </w:r>
          </w:p>
        </w:tc>
      </w:tr>
      <w:tr w:rsidR="007D52DF" w:rsidRPr="00F209B7" w14:paraId="18FF5845" w14:textId="77777777" w:rsidTr="00753D89">
        <w:trPr>
          <w:cantSplit/>
        </w:trPr>
        <w:tc>
          <w:tcPr>
            <w:tcW w:w="1260" w:type="pct"/>
            <w:shd w:val="clear" w:color="auto" w:fill="FFFFFF"/>
            <w:tcMar>
              <w:top w:w="14" w:type="dxa"/>
              <w:left w:w="14" w:type="dxa"/>
              <w:bottom w:w="0" w:type="dxa"/>
              <w:right w:w="14" w:type="dxa"/>
            </w:tcMar>
            <w:vAlign w:val="bottom"/>
            <w:hideMark/>
          </w:tcPr>
          <w:p w14:paraId="525D6CB7" w14:textId="77777777" w:rsidR="007D52DF" w:rsidRPr="00F209B7" w:rsidRDefault="007D52DF" w:rsidP="00D66738">
            <w:pPr>
              <w:pStyle w:val="charts"/>
              <w:jc w:val="both"/>
              <w:rPr>
                <w:sz w:val="22"/>
              </w:rPr>
            </w:pPr>
            <w:r w:rsidRPr="00F209B7">
              <w:rPr>
                <w:sz w:val="22"/>
              </w:rPr>
              <w:t xml:space="preserve"> Construction </w:t>
            </w:r>
          </w:p>
        </w:tc>
        <w:tc>
          <w:tcPr>
            <w:tcW w:w="901" w:type="pct"/>
            <w:shd w:val="clear" w:color="auto" w:fill="D0D8E8"/>
            <w:tcMar>
              <w:top w:w="14" w:type="dxa"/>
              <w:left w:w="14" w:type="dxa"/>
              <w:bottom w:w="0" w:type="dxa"/>
              <w:right w:w="14" w:type="dxa"/>
            </w:tcMar>
            <w:vAlign w:val="bottom"/>
            <w:hideMark/>
          </w:tcPr>
          <w:p w14:paraId="65208FA8" w14:textId="77777777" w:rsidR="007D52DF" w:rsidRPr="00F209B7" w:rsidRDefault="007D52DF" w:rsidP="00D66738">
            <w:pPr>
              <w:pStyle w:val="charts"/>
              <w:jc w:val="both"/>
              <w:rPr>
                <w:sz w:val="22"/>
              </w:rPr>
            </w:pPr>
            <w:r w:rsidRPr="00F209B7">
              <w:rPr>
                <w:sz w:val="22"/>
              </w:rPr>
              <w:t>6%</w:t>
            </w:r>
          </w:p>
        </w:tc>
        <w:tc>
          <w:tcPr>
            <w:tcW w:w="607" w:type="pct"/>
            <w:shd w:val="clear" w:color="auto" w:fill="8EB4E3"/>
            <w:tcMar>
              <w:top w:w="14" w:type="dxa"/>
              <w:left w:w="14" w:type="dxa"/>
              <w:bottom w:w="0" w:type="dxa"/>
              <w:right w:w="14" w:type="dxa"/>
            </w:tcMar>
            <w:vAlign w:val="bottom"/>
            <w:hideMark/>
          </w:tcPr>
          <w:p w14:paraId="2D33FE71" w14:textId="77777777" w:rsidR="007D52DF" w:rsidRPr="00F209B7" w:rsidRDefault="007D52DF" w:rsidP="00D66738">
            <w:pPr>
              <w:pStyle w:val="charts"/>
              <w:jc w:val="both"/>
              <w:rPr>
                <w:sz w:val="22"/>
              </w:rPr>
            </w:pPr>
            <w:r w:rsidRPr="00F209B7">
              <w:rPr>
                <w:sz w:val="22"/>
              </w:rPr>
              <w:t>15%</w:t>
            </w:r>
          </w:p>
        </w:tc>
        <w:tc>
          <w:tcPr>
            <w:tcW w:w="679" w:type="pct"/>
            <w:shd w:val="clear" w:color="auto" w:fill="8DB3E2" w:themeFill="text2" w:themeFillTint="66"/>
            <w:tcMar>
              <w:top w:w="14" w:type="dxa"/>
              <w:left w:w="14" w:type="dxa"/>
              <w:bottom w:w="0" w:type="dxa"/>
              <w:right w:w="14" w:type="dxa"/>
            </w:tcMar>
            <w:vAlign w:val="bottom"/>
            <w:hideMark/>
          </w:tcPr>
          <w:p w14:paraId="3EB509CC" w14:textId="77777777" w:rsidR="007D52DF" w:rsidRPr="00F209B7" w:rsidRDefault="007D52DF" w:rsidP="00D66738">
            <w:pPr>
              <w:pStyle w:val="charts"/>
              <w:jc w:val="both"/>
              <w:rPr>
                <w:sz w:val="22"/>
              </w:rPr>
            </w:pPr>
            <w:r w:rsidRPr="00F209B7">
              <w:rPr>
                <w:sz w:val="22"/>
              </w:rPr>
              <w:t>19%</w:t>
            </w:r>
          </w:p>
        </w:tc>
        <w:tc>
          <w:tcPr>
            <w:tcW w:w="741" w:type="pct"/>
            <w:shd w:val="clear" w:color="auto" w:fill="17375E"/>
            <w:tcMar>
              <w:top w:w="14" w:type="dxa"/>
              <w:left w:w="14" w:type="dxa"/>
              <w:bottom w:w="0" w:type="dxa"/>
              <w:right w:w="14" w:type="dxa"/>
            </w:tcMar>
            <w:vAlign w:val="bottom"/>
            <w:hideMark/>
          </w:tcPr>
          <w:p w14:paraId="42459B4B" w14:textId="77777777" w:rsidR="007D52DF" w:rsidRPr="00F209B7" w:rsidRDefault="007D52DF" w:rsidP="00D66738">
            <w:pPr>
              <w:pStyle w:val="charts"/>
              <w:jc w:val="both"/>
              <w:rPr>
                <w:sz w:val="22"/>
              </w:rPr>
            </w:pPr>
            <w:r w:rsidRPr="00F209B7">
              <w:rPr>
                <w:sz w:val="22"/>
              </w:rPr>
              <w:t>41%</w:t>
            </w:r>
          </w:p>
        </w:tc>
        <w:tc>
          <w:tcPr>
            <w:tcW w:w="812" w:type="pct"/>
            <w:shd w:val="clear" w:color="auto" w:fill="17375E"/>
            <w:tcMar>
              <w:top w:w="14" w:type="dxa"/>
              <w:left w:w="14" w:type="dxa"/>
              <w:bottom w:w="0" w:type="dxa"/>
              <w:right w:w="14" w:type="dxa"/>
            </w:tcMar>
            <w:vAlign w:val="bottom"/>
            <w:hideMark/>
          </w:tcPr>
          <w:p w14:paraId="03637154" w14:textId="77777777" w:rsidR="007D52DF" w:rsidRPr="00F209B7" w:rsidRDefault="007D52DF" w:rsidP="00D66738">
            <w:pPr>
              <w:pStyle w:val="charts"/>
              <w:jc w:val="both"/>
              <w:rPr>
                <w:sz w:val="22"/>
              </w:rPr>
            </w:pPr>
            <w:r w:rsidRPr="00F209B7">
              <w:rPr>
                <w:sz w:val="22"/>
              </w:rPr>
              <w:t>21%</w:t>
            </w:r>
          </w:p>
        </w:tc>
      </w:tr>
      <w:tr w:rsidR="007D52DF" w:rsidRPr="00F209B7" w14:paraId="5BC52E15" w14:textId="77777777" w:rsidTr="00753D89">
        <w:trPr>
          <w:cantSplit/>
        </w:trPr>
        <w:tc>
          <w:tcPr>
            <w:tcW w:w="1260" w:type="pct"/>
            <w:shd w:val="clear" w:color="auto" w:fill="FFFFFF"/>
            <w:tcMar>
              <w:top w:w="14" w:type="dxa"/>
              <w:left w:w="14" w:type="dxa"/>
              <w:bottom w:w="0" w:type="dxa"/>
              <w:right w:w="14" w:type="dxa"/>
            </w:tcMar>
            <w:vAlign w:val="bottom"/>
            <w:hideMark/>
          </w:tcPr>
          <w:p w14:paraId="16E9FDC0" w14:textId="77777777" w:rsidR="007D52DF" w:rsidRPr="00F209B7" w:rsidRDefault="007D52DF" w:rsidP="00D66738">
            <w:pPr>
              <w:pStyle w:val="charts"/>
              <w:jc w:val="both"/>
              <w:rPr>
                <w:sz w:val="22"/>
              </w:rPr>
            </w:pPr>
            <w:r w:rsidRPr="00F209B7">
              <w:rPr>
                <w:sz w:val="22"/>
              </w:rPr>
              <w:t xml:space="preserve"> Logistics </w:t>
            </w:r>
          </w:p>
        </w:tc>
        <w:tc>
          <w:tcPr>
            <w:tcW w:w="901" w:type="pct"/>
            <w:shd w:val="clear" w:color="auto" w:fill="8DB3E2" w:themeFill="text2" w:themeFillTint="66"/>
            <w:tcMar>
              <w:top w:w="14" w:type="dxa"/>
              <w:left w:w="14" w:type="dxa"/>
              <w:bottom w:w="0" w:type="dxa"/>
              <w:right w:w="14" w:type="dxa"/>
            </w:tcMar>
            <w:vAlign w:val="bottom"/>
            <w:hideMark/>
          </w:tcPr>
          <w:p w14:paraId="29B86872" w14:textId="77777777" w:rsidR="007D52DF" w:rsidRPr="00F209B7" w:rsidRDefault="007D52DF" w:rsidP="00D66738">
            <w:pPr>
              <w:pStyle w:val="charts"/>
              <w:jc w:val="both"/>
              <w:rPr>
                <w:sz w:val="22"/>
              </w:rPr>
            </w:pPr>
            <w:r w:rsidRPr="00F209B7">
              <w:rPr>
                <w:sz w:val="22"/>
                <w:shd w:val="clear" w:color="auto" w:fill="8DB3E2" w:themeFill="text2" w:themeFillTint="66"/>
              </w:rPr>
              <w:t>1</w:t>
            </w:r>
            <w:r w:rsidRPr="00F209B7">
              <w:rPr>
                <w:sz w:val="22"/>
              </w:rPr>
              <w:t>3%</w:t>
            </w:r>
          </w:p>
        </w:tc>
        <w:tc>
          <w:tcPr>
            <w:tcW w:w="607" w:type="pct"/>
            <w:shd w:val="clear" w:color="auto" w:fill="E9EDF4"/>
            <w:tcMar>
              <w:top w:w="14" w:type="dxa"/>
              <w:left w:w="14" w:type="dxa"/>
              <w:bottom w:w="0" w:type="dxa"/>
              <w:right w:w="14" w:type="dxa"/>
            </w:tcMar>
            <w:vAlign w:val="bottom"/>
            <w:hideMark/>
          </w:tcPr>
          <w:p w14:paraId="228BB203" w14:textId="77777777" w:rsidR="007D52DF" w:rsidRPr="00F209B7" w:rsidRDefault="007D52DF" w:rsidP="00D66738">
            <w:pPr>
              <w:pStyle w:val="charts"/>
              <w:jc w:val="both"/>
              <w:rPr>
                <w:sz w:val="22"/>
              </w:rPr>
            </w:pPr>
            <w:r w:rsidRPr="00F209B7">
              <w:rPr>
                <w:sz w:val="22"/>
              </w:rPr>
              <w:t>9%</w:t>
            </w:r>
          </w:p>
        </w:tc>
        <w:tc>
          <w:tcPr>
            <w:tcW w:w="679" w:type="pct"/>
            <w:shd w:val="clear" w:color="auto" w:fill="FFFFFF" w:themeFill="background1"/>
            <w:tcMar>
              <w:top w:w="14" w:type="dxa"/>
              <w:left w:w="14" w:type="dxa"/>
              <w:bottom w:w="0" w:type="dxa"/>
              <w:right w:w="14" w:type="dxa"/>
            </w:tcMar>
            <w:vAlign w:val="bottom"/>
            <w:hideMark/>
          </w:tcPr>
          <w:p w14:paraId="6438D356" w14:textId="77777777" w:rsidR="007D52DF" w:rsidRPr="00F209B7" w:rsidRDefault="007D52DF" w:rsidP="00D66738">
            <w:pPr>
              <w:pStyle w:val="charts"/>
              <w:jc w:val="both"/>
              <w:rPr>
                <w:sz w:val="22"/>
              </w:rPr>
            </w:pPr>
            <w:r w:rsidRPr="00F209B7">
              <w:rPr>
                <w:sz w:val="22"/>
              </w:rPr>
              <w:t>4%</w:t>
            </w:r>
          </w:p>
        </w:tc>
        <w:tc>
          <w:tcPr>
            <w:tcW w:w="741" w:type="pct"/>
            <w:shd w:val="clear" w:color="auto" w:fill="FFFFFF" w:themeFill="background1"/>
            <w:tcMar>
              <w:top w:w="14" w:type="dxa"/>
              <w:left w:w="14" w:type="dxa"/>
              <w:bottom w:w="0" w:type="dxa"/>
              <w:right w:w="14" w:type="dxa"/>
            </w:tcMar>
            <w:vAlign w:val="bottom"/>
            <w:hideMark/>
          </w:tcPr>
          <w:p w14:paraId="7310778F" w14:textId="77777777" w:rsidR="007D52DF" w:rsidRPr="00F209B7" w:rsidRDefault="007D52DF" w:rsidP="00D66738">
            <w:pPr>
              <w:pStyle w:val="charts"/>
              <w:jc w:val="both"/>
              <w:rPr>
                <w:sz w:val="22"/>
              </w:rPr>
            </w:pPr>
            <w:r w:rsidRPr="00F209B7">
              <w:rPr>
                <w:sz w:val="22"/>
              </w:rPr>
              <w:t>5%</w:t>
            </w:r>
          </w:p>
        </w:tc>
        <w:tc>
          <w:tcPr>
            <w:tcW w:w="812" w:type="pct"/>
            <w:shd w:val="clear" w:color="auto" w:fill="E9EDF4"/>
            <w:tcMar>
              <w:top w:w="14" w:type="dxa"/>
              <w:left w:w="14" w:type="dxa"/>
              <w:bottom w:w="0" w:type="dxa"/>
              <w:right w:w="14" w:type="dxa"/>
            </w:tcMar>
            <w:vAlign w:val="bottom"/>
            <w:hideMark/>
          </w:tcPr>
          <w:p w14:paraId="59C7A9AD" w14:textId="77777777" w:rsidR="007D52DF" w:rsidRPr="00F209B7" w:rsidRDefault="007D52DF" w:rsidP="00D66738">
            <w:pPr>
              <w:pStyle w:val="charts"/>
              <w:jc w:val="both"/>
              <w:rPr>
                <w:sz w:val="22"/>
              </w:rPr>
            </w:pPr>
            <w:r w:rsidRPr="00F209B7">
              <w:rPr>
                <w:sz w:val="22"/>
              </w:rPr>
              <w:t>8%</w:t>
            </w:r>
          </w:p>
        </w:tc>
      </w:tr>
      <w:tr w:rsidR="007D52DF" w:rsidRPr="00F209B7" w14:paraId="238DC763" w14:textId="77777777" w:rsidTr="00753D89">
        <w:trPr>
          <w:cantSplit/>
        </w:trPr>
        <w:tc>
          <w:tcPr>
            <w:tcW w:w="1260" w:type="pct"/>
            <w:shd w:val="clear" w:color="auto" w:fill="FFFFFF"/>
            <w:tcMar>
              <w:top w:w="14" w:type="dxa"/>
              <w:left w:w="14" w:type="dxa"/>
              <w:bottom w:w="0" w:type="dxa"/>
              <w:right w:w="14" w:type="dxa"/>
            </w:tcMar>
            <w:vAlign w:val="bottom"/>
            <w:hideMark/>
          </w:tcPr>
          <w:p w14:paraId="3685CC79" w14:textId="77777777" w:rsidR="007D52DF" w:rsidRPr="00F209B7" w:rsidRDefault="007D52DF" w:rsidP="00D66738">
            <w:pPr>
              <w:pStyle w:val="charts"/>
              <w:jc w:val="both"/>
              <w:rPr>
                <w:sz w:val="22"/>
              </w:rPr>
            </w:pPr>
            <w:r w:rsidRPr="00F209B7">
              <w:rPr>
                <w:sz w:val="22"/>
              </w:rPr>
              <w:t xml:space="preserve"> Trade </w:t>
            </w:r>
          </w:p>
        </w:tc>
        <w:tc>
          <w:tcPr>
            <w:tcW w:w="901" w:type="pct"/>
            <w:shd w:val="clear" w:color="auto" w:fill="17375E"/>
            <w:tcMar>
              <w:top w:w="14" w:type="dxa"/>
              <w:left w:w="14" w:type="dxa"/>
              <w:bottom w:w="0" w:type="dxa"/>
              <w:right w:w="14" w:type="dxa"/>
            </w:tcMar>
            <w:vAlign w:val="bottom"/>
            <w:hideMark/>
          </w:tcPr>
          <w:p w14:paraId="46020690" w14:textId="77777777" w:rsidR="007D52DF" w:rsidRPr="00F209B7" w:rsidRDefault="007D52DF" w:rsidP="00D66738">
            <w:pPr>
              <w:pStyle w:val="charts"/>
              <w:jc w:val="both"/>
              <w:rPr>
                <w:sz w:val="22"/>
              </w:rPr>
            </w:pPr>
            <w:r w:rsidRPr="00F209B7">
              <w:rPr>
                <w:sz w:val="22"/>
              </w:rPr>
              <w:t>25%</w:t>
            </w:r>
          </w:p>
        </w:tc>
        <w:tc>
          <w:tcPr>
            <w:tcW w:w="607" w:type="pct"/>
            <w:shd w:val="clear" w:color="auto" w:fill="17375E"/>
            <w:tcMar>
              <w:top w:w="14" w:type="dxa"/>
              <w:left w:w="14" w:type="dxa"/>
              <w:bottom w:w="0" w:type="dxa"/>
              <w:right w:w="14" w:type="dxa"/>
            </w:tcMar>
            <w:vAlign w:val="bottom"/>
            <w:hideMark/>
          </w:tcPr>
          <w:p w14:paraId="56C29C86" w14:textId="77777777" w:rsidR="007D52DF" w:rsidRPr="00F209B7" w:rsidRDefault="007D52DF" w:rsidP="00D66738">
            <w:pPr>
              <w:pStyle w:val="charts"/>
              <w:jc w:val="both"/>
              <w:rPr>
                <w:sz w:val="22"/>
              </w:rPr>
            </w:pPr>
            <w:r w:rsidRPr="00F209B7">
              <w:rPr>
                <w:sz w:val="22"/>
              </w:rPr>
              <w:t>26%</w:t>
            </w:r>
          </w:p>
        </w:tc>
        <w:tc>
          <w:tcPr>
            <w:tcW w:w="679" w:type="pct"/>
            <w:shd w:val="clear" w:color="auto" w:fill="17375E"/>
            <w:tcMar>
              <w:top w:w="14" w:type="dxa"/>
              <w:left w:w="14" w:type="dxa"/>
              <w:bottom w:w="0" w:type="dxa"/>
              <w:right w:w="14" w:type="dxa"/>
            </w:tcMar>
            <w:vAlign w:val="bottom"/>
            <w:hideMark/>
          </w:tcPr>
          <w:p w14:paraId="02FBB532" w14:textId="77777777" w:rsidR="007D52DF" w:rsidRPr="00F209B7" w:rsidRDefault="007D52DF" w:rsidP="00D66738">
            <w:pPr>
              <w:pStyle w:val="charts"/>
              <w:jc w:val="both"/>
              <w:rPr>
                <w:sz w:val="22"/>
              </w:rPr>
            </w:pPr>
            <w:r w:rsidRPr="00F209B7">
              <w:rPr>
                <w:sz w:val="22"/>
              </w:rPr>
              <w:t>25%</w:t>
            </w:r>
          </w:p>
        </w:tc>
        <w:tc>
          <w:tcPr>
            <w:tcW w:w="741" w:type="pct"/>
            <w:shd w:val="clear" w:color="auto" w:fill="17375E"/>
            <w:tcMar>
              <w:top w:w="14" w:type="dxa"/>
              <w:left w:w="14" w:type="dxa"/>
              <w:bottom w:w="0" w:type="dxa"/>
              <w:right w:w="14" w:type="dxa"/>
            </w:tcMar>
            <w:vAlign w:val="bottom"/>
            <w:hideMark/>
          </w:tcPr>
          <w:p w14:paraId="0D6303F4" w14:textId="77777777" w:rsidR="007D52DF" w:rsidRPr="00F209B7" w:rsidRDefault="007D52DF" w:rsidP="00D66738">
            <w:pPr>
              <w:pStyle w:val="charts"/>
              <w:jc w:val="both"/>
              <w:rPr>
                <w:sz w:val="22"/>
              </w:rPr>
            </w:pPr>
            <w:r w:rsidRPr="00F209B7">
              <w:rPr>
                <w:sz w:val="22"/>
              </w:rPr>
              <w:t>28%</w:t>
            </w:r>
          </w:p>
        </w:tc>
        <w:tc>
          <w:tcPr>
            <w:tcW w:w="812" w:type="pct"/>
            <w:shd w:val="clear" w:color="auto" w:fill="17375E"/>
            <w:tcMar>
              <w:top w:w="14" w:type="dxa"/>
              <w:left w:w="14" w:type="dxa"/>
              <w:bottom w:w="0" w:type="dxa"/>
              <w:right w:w="14" w:type="dxa"/>
            </w:tcMar>
            <w:vAlign w:val="bottom"/>
            <w:hideMark/>
          </w:tcPr>
          <w:p w14:paraId="2A9B5161" w14:textId="77777777" w:rsidR="007D52DF" w:rsidRPr="00F209B7" w:rsidRDefault="007D52DF" w:rsidP="00D66738">
            <w:pPr>
              <w:pStyle w:val="charts"/>
              <w:jc w:val="both"/>
              <w:rPr>
                <w:sz w:val="22"/>
              </w:rPr>
            </w:pPr>
            <w:r w:rsidRPr="00F209B7">
              <w:rPr>
                <w:sz w:val="22"/>
              </w:rPr>
              <w:t>26%</w:t>
            </w:r>
          </w:p>
        </w:tc>
      </w:tr>
      <w:tr w:rsidR="007D52DF" w:rsidRPr="00F209B7" w14:paraId="42AE0FF7" w14:textId="77777777" w:rsidTr="00753D89">
        <w:trPr>
          <w:cantSplit/>
        </w:trPr>
        <w:tc>
          <w:tcPr>
            <w:tcW w:w="1260" w:type="pct"/>
            <w:shd w:val="clear" w:color="auto" w:fill="FFFFFF"/>
            <w:tcMar>
              <w:top w:w="14" w:type="dxa"/>
              <w:left w:w="14" w:type="dxa"/>
              <w:bottom w:w="0" w:type="dxa"/>
              <w:right w:w="14" w:type="dxa"/>
            </w:tcMar>
            <w:vAlign w:val="bottom"/>
            <w:hideMark/>
          </w:tcPr>
          <w:p w14:paraId="1126EFF1" w14:textId="77777777" w:rsidR="007D52DF" w:rsidRPr="00F209B7" w:rsidRDefault="007D52DF" w:rsidP="00D66738">
            <w:pPr>
              <w:pStyle w:val="charts"/>
              <w:jc w:val="both"/>
              <w:rPr>
                <w:sz w:val="22"/>
              </w:rPr>
            </w:pPr>
            <w:r w:rsidRPr="00F209B7">
              <w:rPr>
                <w:sz w:val="22"/>
              </w:rPr>
              <w:t xml:space="preserve"> Business services </w:t>
            </w:r>
          </w:p>
        </w:tc>
        <w:tc>
          <w:tcPr>
            <w:tcW w:w="901" w:type="pct"/>
            <w:shd w:val="clear" w:color="auto" w:fill="17375E"/>
            <w:tcMar>
              <w:top w:w="14" w:type="dxa"/>
              <w:left w:w="14" w:type="dxa"/>
              <w:bottom w:w="0" w:type="dxa"/>
              <w:right w:w="14" w:type="dxa"/>
            </w:tcMar>
            <w:vAlign w:val="bottom"/>
            <w:hideMark/>
          </w:tcPr>
          <w:p w14:paraId="1DCFB543" w14:textId="77777777" w:rsidR="007D52DF" w:rsidRPr="00F209B7" w:rsidRDefault="007D52DF" w:rsidP="00D66738">
            <w:pPr>
              <w:pStyle w:val="charts"/>
              <w:jc w:val="both"/>
              <w:rPr>
                <w:sz w:val="22"/>
              </w:rPr>
            </w:pPr>
            <w:r w:rsidRPr="00F209B7">
              <w:rPr>
                <w:sz w:val="22"/>
              </w:rPr>
              <w:t>30%</w:t>
            </w:r>
          </w:p>
        </w:tc>
        <w:tc>
          <w:tcPr>
            <w:tcW w:w="607" w:type="pct"/>
            <w:shd w:val="clear" w:color="auto" w:fill="17375E"/>
            <w:tcMar>
              <w:top w:w="14" w:type="dxa"/>
              <w:left w:w="14" w:type="dxa"/>
              <w:bottom w:w="0" w:type="dxa"/>
              <w:right w:w="14" w:type="dxa"/>
            </w:tcMar>
            <w:vAlign w:val="bottom"/>
            <w:hideMark/>
          </w:tcPr>
          <w:p w14:paraId="44699478" w14:textId="77777777" w:rsidR="007D52DF" w:rsidRPr="00F209B7" w:rsidRDefault="007D52DF" w:rsidP="00D66738">
            <w:pPr>
              <w:pStyle w:val="charts"/>
              <w:jc w:val="both"/>
              <w:rPr>
                <w:sz w:val="22"/>
              </w:rPr>
            </w:pPr>
            <w:r w:rsidRPr="00F209B7">
              <w:rPr>
                <w:sz w:val="22"/>
              </w:rPr>
              <w:t>21%</w:t>
            </w:r>
          </w:p>
        </w:tc>
        <w:tc>
          <w:tcPr>
            <w:tcW w:w="679" w:type="pct"/>
            <w:shd w:val="clear" w:color="auto" w:fill="8EB4E3"/>
            <w:tcMar>
              <w:top w:w="14" w:type="dxa"/>
              <w:left w:w="14" w:type="dxa"/>
              <w:bottom w:w="0" w:type="dxa"/>
              <w:right w:w="14" w:type="dxa"/>
            </w:tcMar>
            <w:vAlign w:val="bottom"/>
            <w:hideMark/>
          </w:tcPr>
          <w:p w14:paraId="2171A43A" w14:textId="77777777" w:rsidR="007D52DF" w:rsidRPr="00F209B7" w:rsidRDefault="007D52DF" w:rsidP="00D66738">
            <w:pPr>
              <w:pStyle w:val="charts"/>
              <w:jc w:val="both"/>
              <w:rPr>
                <w:sz w:val="22"/>
              </w:rPr>
            </w:pPr>
            <w:r w:rsidRPr="00F209B7">
              <w:rPr>
                <w:sz w:val="22"/>
              </w:rPr>
              <w:t>19%</w:t>
            </w:r>
          </w:p>
        </w:tc>
        <w:tc>
          <w:tcPr>
            <w:tcW w:w="741" w:type="pct"/>
            <w:shd w:val="clear" w:color="auto" w:fill="FFFFFF" w:themeFill="background1"/>
            <w:tcMar>
              <w:top w:w="14" w:type="dxa"/>
              <w:left w:w="14" w:type="dxa"/>
              <w:bottom w:w="0" w:type="dxa"/>
              <w:right w:w="14" w:type="dxa"/>
            </w:tcMar>
            <w:vAlign w:val="bottom"/>
            <w:hideMark/>
          </w:tcPr>
          <w:p w14:paraId="1FB5F660" w14:textId="77777777" w:rsidR="007D52DF" w:rsidRPr="00F209B7" w:rsidRDefault="007D52DF" w:rsidP="00D66738">
            <w:pPr>
              <w:pStyle w:val="charts"/>
              <w:jc w:val="both"/>
              <w:rPr>
                <w:sz w:val="22"/>
              </w:rPr>
            </w:pPr>
            <w:r w:rsidRPr="00F209B7">
              <w:rPr>
                <w:sz w:val="22"/>
              </w:rPr>
              <w:t>4%</w:t>
            </w:r>
          </w:p>
        </w:tc>
        <w:tc>
          <w:tcPr>
            <w:tcW w:w="812" w:type="pct"/>
            <w:shd w:val="clear" w:color="auto" w:fill="8EB4E3"/>
            <w:tcMar>
              <w:top w:w="14" w:type="dxa"/>
              <w:left w:w="14" w:type="dxa"/>
              <w:bottom w:w="0" w:type="dxa"/>
              <w:right w:w="14" w:type="dxa"/>
            </w:tcMar>
            <w:vAlign w:val="bottom"/>
            <w:hideMark/>
          </w:tcPr>
          <w:p w14:paraId="22B98849" w14:textId="77777777" w:rsidR="007D52DF" w:rsidRPr="00F209B7" w:rsidRDefault="007D52DF" w:rsidP="00D66738">
            <w:pPr>
              <w:pStyle w:val="charts"/>
              <w:jc w:val="both"/>
              <w:rPr>
                <w:sz w:val="22"/>
              </w:rPr>
            </w:pPr>
            <w:r w:rsidRPr="00F209B7">
              <w:rPr>
                <w:sz w:val="22"/>
              </w:rPr>
              <w:t>17%</w:t>
            </w:r>
          </w:p>
        </w:tc>
      </w:tr>
      <w:tr w:rsidR="007D52DF" w:rsidRPr="00F209B7" w14:paraId="6BF5F773" w14:textId="77777777" w:rsidTr="00753D89">
        <w:trPr>
          <w:cantSplit/>
        </w:trPr>
        <w:tc>
          <w:tcPr>
            <w:tcW w:w="1260" w:type="pct"/>
            <w:shd w:val="clear" w:color="auto" w:fill="FFFFFF"/>
            <w:tcMar>
              <w:top w:w="14" w:type="dxa"/>
              <w:left w:w="14" w:type="dxa"/>
              <w:bottom w:w="0" w:type="dxa"/>
              <w:right w:w="14" w:type="dxa"/>
            </w:tcMar>
            <w:vAlign w:val="bottom"/>
            <w:hideMark/>
          </w:tcPr>
          <w:p w14:paraId="2AA76075" w14:textId="77777777" w:rsidR="007D52DF" w:rsidRPr="00F209B7" w:rsidRDefault="007D52DF" w:rsidP="00D66738">
            <w:pPr>
              <w:pStyle w:val="charts"/>
              <w:jc w:val="both"/>
              <w:rPr>
                <w:sz w:val="22"/>
              </w:rPr>
            </w:pPr>
            <w:r w:rsidRPr="00F209B7">
              <w:rPr>
                <w:sz w:val="22"/>
              </w:rPr>
              <w:t xml:space="preserve"> Community services </w:t>
            </w:r>
          </w:p>
        </w:tc>
        <w:tc>
          <w:tcPr>
            <w:tcW w:w="901" w:type="pct"/>
            <w:shd w:val="clear" w:color="auto" w:fill="8EB4E3"/>
            <w:tcMar>
              <w:top w:w="14" w:type="dxa"/>
              <w:left w:w="14" w:type="dxa"/>
              <w:bottom w:w="0" w:type="dxa"/>
              <w:right w:w="14" w:type="dxa"/>
            </w:tcMar>
            <w:vAlign w:val="bottom"/>
            <w:hideMark/>
          </w:tcPr>
          <w:p w14:paraId="722C274B" w14:textId="77777777" w:rsidR="007D52DF" w:rsidRPr="00F209B7" w:rsidRDefault="007D52DF" w:rsidP="00D66738">
            <w:pPr>
              <w:pStyle w:val="charts"/>
              <w:jc w:val="both"/>
              <w:rPr>
                <w:sz w:val="22"/>
              </w:rPr>
            </w:pPr>
            <w:r w:rsidRPr="00F209B7">
              <w:rPr>
                <w:sz w:val="22"/>
              </w:rPr>
              <w:t>17%</w:t>
            </w:r>
          </w:p>
        </w:tc>
        <w:tc>
          <w:tcPr>
            <w:tcW w:w="607" w:type="pct"/>
            <w:shd w:val="clear" w:color="auto" w:fill="8EB4E3"/>
            <w:tcMar>
              <w:top w:w="14" w:type="dxa"/>
              <w:left w:w="14" w:type="dxa"/>
              <w:bottom w:w="0" w:type="dxa"/>
              <w:right w:w="14" w:type="dxa"/>
            </w:tcMar>
            <w:vAlign w:val="bottom"/>
            <w:hideMark/>
          </w:tcPr>
          <w:p w14:paraId="22EC4A54" w14:textId="77777777" w:rsidR="007D52DF" w:rsidRPr="00F209B7" w:rsidRDefault="007D52DF" w:rsidP="00D66738">
            <w:pPr>
              <w:pStyle w:val="charts"/>
              <w:jc w:val="both"/>
              <w:rPr>
                <w:sz w:val="22"/>
              </w:rPr>
            </w:pPr>
            <w:r w:rsidRPr="00F209B7">
              <w:rPr>
                <w:sz w:val="22"/>
              </w:rPr>
              <w:t>14%</w:t>
            </w:r>
          </w:p>
        </w:tc>
        <w:tc>
          <w:tcPr>
            <w:tcW w:w="679" w:type="pct"/>
            <w:shd w:val="clear" w:color="auto" w:fill="DCE6F2"/>
            <w:tcMar>
              <w:top w:w="14" w:type="dxa"/>
              <w:left w:w="14" w:type="dxa"/>
              <w:bottom w:w="0" w:type="dxa"/>
              <w:right w:w="14" w:type="dxa"/>
            </w:tcMar>
            <w:vAlign w:val="bottom"/>
            <w:hideMark/>
          </w:tcPr>
          <w:p w14:paraId="5DEC4983" w14:textId="77777777" w:rsidR="007D52DF" w:rsidRPr="00F209B7" w:rsidRDefault="007D52DF" w:rsidP="00D66738">
            <w:pPr>
              <w:pStyle w:val="charts"/>
              <w:jc w:val="both"/>
              <w:rPr>
                <w:sz w:val="22"/>
              </w:rPr>
            </w:pPr>
            <w:r w:rsidRPr="00F209B7">
              <w:rPr>
                <w:sz w:val="22"/>
              </w:rPr>
              <w:t>10%</w:t>
            </w:r>
          </w:p>
        </w:tc>
        <w:tc>
          <w:tcPr>
            <w:tcW w:w="741" w:type="pct"/>
            <w:shd w:val="clear" w:color="auto" w:fill="8EB4E3"/>
            <w:tcMar>
              <w:top w:w="14" w:type="dxa"/>
              <w:left w:w="14" w:type="dxa"/>
              <w:bottom w:w="0" w:type="dxa"/>
              <w:right w:w="14" w:type="dxa"/>
            </w:tcMar>
            <w:vAlign w:val="bottom"/>
            <w:hideMark/>
          </w:tcPr>
          <w:p w14:paraId="4CCD0DFE" w14:textId="77777777" w:rsidR="007D52DF" w:rsidRPr="00F209B7" w:rsidRDefault="007D52DF" w:rsidP="00D66738">
            <w:pPr>
              <w:pStyle w:val="charts"/>
              <w:jc w:val="both"/>
              <w:rPr>
                <w:sz w:val="22"/>
              </w:rPr>
            </w:pPr>
            <w:r w:rsidRPr="00F209B7">
              <w:rPr>
                <w:sz w:val="22"/>
              </w:rPr>
              <w:t>12%</w:t>
            </w:r>
          </w:p>
        </w:tc>
        <w:tc>
          <w:tcPr>
            <w:tcW w:w="812" w:type="pct"/>
            <w:shd w:val="clear" w:color="auto" w:fill="8EB4E3"/>
            <w:tcMar>
              <w:top w:w="14" w:type="dxa"/>
              <w:left w:w="14" w:type="dxa"/>
              <w:bottom w:w="0" w:type="dxa"/>
              <w:right w:w="14" w:type="dxa"/>
            </w:tcMar>
            <w:vAlign w:val="bottom"/>
            <w:hideMark/>
          </w:tcPr>
          <w:p w14:paraId="719E9639" w14:textId="77777777" w:rsidR="007D52DF" w:rsidRPr="00F209B7" w:rsidRDefault="007D52DF" w:rsidP="00D66738">
            <w:pPr>
              <w:pStyle w:val="charts"/>
              <w:jc w:val="both"/>
              <w:rPr>
                <w:sz w:val="22"/>
              </w:rPr>
            </w:pPr>
            <w:r w:rsidRPr="00F209B7">
              <w:rPr>
                <w:sz w:val="22"/>
              </w:rPr>
              <w:t>14%</w:t>
            </w:r>
          </w:p>
        </w:tc>
      </w:tr>
      <w:tr w:rsidR="007D52DF" w:rsidRPr="00F209B7" w14:paraId="54AA2FA7" w14:textId="77777777" w:rsidTr="00753D89">
        <w:trPr>
          <w:cantSplit/>
        </w:trPr>
        <w:tc>
          <w:tcPr>
            <w:tcW w:w="1260" w:type="pct"/>
            <w:shd w:val="clear" w:color="auto" w:fill="FFFFFF"/>
            <w:tcMar>
              <w:top w:w="14" w:type="dxa"/>
              <w:left w:w="14" w:type="dxa"/>
              <w:bottom w:w="0" w:type="dxa"/>
              <w:right w:w="14" w:type="dxa"/>
            </w:tcMar>
            <w:vAlign w:val="bottom"/>
            <w:hideMark/>
          </w:tcPr>
          <w:p w14:paraId="5622E299" w14:textId="77777777" w:rsidR="007D52DF" w:rsidRPr="00F209B7" w:rsidRDefault="007D52DF" w:rsidP="00D66738">
            <w:pPr>
              <w:pStyle w:val="charts"/>
              <w:jc w:val="both"/>
              <w:rPr>
                <w:i/>
                <w:sz w:val="22"/>
              </w:rPr>
            </w:pPr>
            <w:r w:rsidRPr="00F209B7">
              <w:rPr>
                <w:i/>
                <w:sz w:val="22"/>
              </w:rPr>
              <w:t xml:space="preserve"> Total </w:t>
            </w:r>
          </w:p>
        </w:tc>
        <w:tc>
          <w:tcPr>
            <w:tcW w:w="901" w:type="pct"/>
            <w:shd w:val="clear" w:color="auto" w:fill="auto"/>
            <w:tcMar>
              <w:top w:w="14" w:type="dxa"/>
              <w:left w:w="14" w:type="dxa"/>
              <w:bottom w:w="0" w:type="dxa"/>
              <w:right w:w="14" w:type="dxa"/>
            </w:tcMar>
            <w:vAlign w:val="bottom"/>
            <w:hideMark/>
          </w:tcPr>
          <w:p w14:paraId="135BF01C" w14:textId="77777777" w:rsidR="007D52DF" w:rsidRPr="00F209B7" w:rsidRDefault="007D52DF" w:rsidP="00D66738">
            <w:pPr>
              <w:pStyle w:val="charts"/>
              <w:jc w:val="both"/>
              <w:rPr>
                <w:i/>
                <w:sz w:val="22"/>
              </w:rPr>
            </w:pPr>
            <w:r w:rsidRPr="00F209B7">
              <w:rPr>
                <w:i/>
                <w:sz w:val="22"/>
              </w:rPr>
              <w:t>100%</w:t>
            </w:r>
          </w:p>
        </w:tc>
        <w:tc>
          <w:tcPr>
            <w:tcW w:w="607" w:type="pct"/>
            <w:shd w:val="clear" w:color="auto" w:fill="auto"/>
            <w:tcMar>
              <w:top w:w="14" w:type="dxa"/>
              <w:left w:w="14" w:type="dxa"/>
              <w:bottom w:w="0" w:type="dxa"/>
              <w:right w:w="14" w:type="dxa"/>
            </w:tcMar>
            <w:vAlign w:val="bottom"/>
            <w:hideMark/>
          </w:tcPr>
          <w:p w14:paraId="4917248F" w14:textId="77777777" w:rsidR="007D52DF" w:rsidRPr="00F209B7" w:rsidRDefault="007D52DF" w:rsidP="00D66738">
            <w:pPr>
              <w:pStyle w:val="charts"/>
              <w:jc w:val="both"/>
              <w:rPr>
                <w:i/>
                <w:sz w:val="22"/>
              </w:rPr>
            </w:pPr>
            <w:r w:rsidRPr="00F209B7">
              <w:rPr>
                <w:i/>
                <w:sz w:val="22"/>
              </w:rPr>
              <w:t>100%</w:t>
            </w:r>
          </w:p>
        </w:tc>
        <w:tc>
          <w:tcPr>
            <w:tcW w:w="679" w:type="pct"/>
            <w:shd w:val="clear" w:color="auto" w:fill="auto"/>
            <w:tcMar>
              <w:top w:w="14" w:type="dxa"/>
              <w:left w:w="14" w:type="dxa"/>
              <w:bottom w:w="0" w:type="dxa"/>
              <w:right w:w="14" w:type="dxa"/>
            </w:tcMar>
            <w:vAlign w:val="bottom"/>
            <w:hideMark/>
          </w:tcPr>
          <w:p w14:paraId="17E2593E" w14:textId="77777777" w:rsidR="007D52DF" w:rsidRPr="00F209B7" w:rsidRDefault="007D52DF" w:rsidP="00D66738">
            <w:pPr>
              <w:pStyle w:val="charts"/>
              <w:jc w:val="both"/>
              <w:rPr>
                <w:i/>
                <w:sz w:val="22"/>
              </w:rPr>
            </w:pPr>
            <w:r w:rsidRPr="00F209B7">
              <w:rPr>
                <w:i/>
                <w:sz w:val="22"/>
              </w:rPr>
              <w:t>100%</w:t>
            </w:r>
          </w:p>
        </w:tc>
        <w:tc>
          <w:tcPr>
            <w:tcW w:w="741" w:type="pct"/>
            <w:shd w:val="clear" w:color="auto" w:fill="auto"/>
            <w:tcMar>
              <w:top w:w="14" w:type="dxa"/>
              <w:left w:w="14" w:type="dxa"/>
              <w:bottom w:w="0" w:type="dxa"/>
              <w:right w:w="14" w:type="dxa"/>
            </w:tcMar>
            <w:vAlign w:val="bottom"/>
            <w:hideMark/>
          </w:tcPr>
          <w:p w14:paraId="61866A73" w14:textId="77777777" w:rsidR="007D52DF" w:rsidRPr="00F209B7" w:rsidRDefault="007D52DF" w:rsidP="00D66738">
            <w:pPr>
              <w:pStyle w:val="charts"/>
              <w:jc w:val="both"/>
              <w:rPr>
                <w:i/>
                <w:sz w:val="22"/>
              </w:rPr>
            </w:pPr>
            <w:r w:rsidRPr="00F209B7">
              <w:rPr>
                <w:i/>
                <w:sz w:val="22"/>
              </w:rPr>
              <w:t>100%</w:t>
            </w:r>
          </w:p>
        </w:tc>
        <w:tc>
          <w:tcPr>
            <w:tcW w:w="812" w:type="pct"/>
            <w:shd w:val="clear" w:color="auto" w:fill="auto"/>
            <w:tcMar>
              <w:top w:w="14" w:type="dxa"/>
              <w:left w:w="14" w:type="dxa"/>
              <w:bottom w:w="0" w:type="dxa"/>
              <w:right w:w="14" w:type="dxa"/>
            </w:tcMar>
            <w:vAlign w:val="bottom"/>
            <w:hideMark/>
          </w:tcPr>
          <w:p w14:paraId="7CAEB031" w14:textId="77777777" w:rsidR="007D52DF" w:rsidRPr="00F209B7" w:rsidRDefault="007D52DF" w:rsidP="00D66738">
            <w:pPr>
              <w:pStyle w:val="charts"/>
              <w:jc w:val="both"/>
              <w:rPr>
                <w:i/>
                <w:sz w:val="22"/>
              </w:rPr>
            </w:pPr>
            <w:r w:rsidRPr="00F209B7">
              <w:rPr>
                <w:i/>
                <w:sz w:val="22"/>
              </w:rPr>
              <w:t>100%</w:t>
            </w:r>
          </w:p>
        </w:tc>
      </w:tr>
      <w:tr w:rsidR="007D52DF" w:rsidRPr="00F209B7" w14:paraId="2CE63CA9" w14:textId="77777777" w:rsidTr="00753D89">
        <w:trPr>
          <w:cantSplit/>
        </w:trPr>
        <w:tc>
          <w:tcPr>
            <w:tcW w:w="1260" w:type="pct"/>
            <w:shd w:val="clear" w:color="auto" w:fill="FFFFFF"/>
            <w:tcMar>
              <w:top w:w="14" w:type="dxa"/>
              <w:left w:w="14" w:type="dxa"/>
              <w:bottom w:w="0" w:type="dxa"/>
              <w:right w:w="14" w:type="dxa"/>
            </w:tcMar>
            <w:vAlign w:val="bottom"/>
          </w:tcPr>
          <w:p w14:paraId="1FF2EA38" w14:textId="77777777" w:rsidR="007D52DF" w:rsidRPr="00F209B7" w:rsidRDefault="007D52DF" w:rsidP="00D66738">
            <w:pPr>
              <w:pStyle w:val="charts"/>
              <w:jc w:val="both"/>
              <w:rPr>
                <w:b/>
                <w:i/>
                <w:sz w:val="22"/>
              </w:rPr>
            </w:pPr>
            <w:r w:rsidRPr="00F209B7">
              <w:rPr>
                <w:b/>
                <w:i/>
                <w:sz w:val="22"/>
              </w:rPr>
              <w:t>Number</w:t>
            </w:r>
          </w:p>
        </w:tc>
        <w:tc>
          <w:tcPr>
            <w:tcW w:w="901" w:type="pct"/>
            <w:shd w:val="clear" w:color="auto" w:fill="auto"/>
            <w:tcMar>
              <w:top w:w="14" w:type="dxa"/>
              <w:left w:w="14" w:type="dxa"/>
              <w:bottom w:w="0" w:type="dxa"/>
              <w:right w:w="14" w:type="dxa"/>
            </w:tcMar>
            <w:vAlign w:val="bottom"/>
          </w:tcPr>
          <w:p w14:paraId="451023EF" w14:textId="77777777" w:rsidR="007D52DF" w:rsidRPr="00F209B7" w:rsidRDefault="007D52DF" w:rsidP="00D66738">
            <w:pPr>
              <w:pStyle w:val="charts"/>
              <w:jc w:val="both"/>
              <w:rPr>
                <w:b/>
                <w:i/>
                <w:sz w:val="22"/>
              </w:rPr>
            </w:pPr>
            <w:r w:rsidRPr="00F209B7">
              <w:rPr>
                <w:b/>
                <w:i/>
                <w:sz w:val="22"/>
              </w:rPr>
              <w:t xml:space="preserve">        194 000 </w:t>
            </w:r>
          </w:p>
        </w:tc>
        <w:tc>
          <w:tcPr>
            <w:tcW w:w="607" w:type="pct"/>
            <w:shd w:val="clear" w:color="auto" w:fill="auto"/>
            <w:tcMar>
              <w:top w:w="14" w:type="dxa"/>
              <w:left w:w="14" w:type="dxa"/>
              <w:bottom w:w="0" w:type="dxa"/>
              <w:right w:w="14" w:type="dxa"/>
            </w:tcMar>
            <w:vAlign w:val="bottom"/>
          </w:tcPr>
          <w:p w14:paraId="173F6D81" w14:textId="77777777" w:rsidR="007D52DF" w:rsidRPr="00F209B7" w:rsidRDefault="007D52DF" w:rsidP="00D66738">
            <w:pPr>
              <w:pStyle w:val="charts"/>
              <w:jc w:val="both"/>
              <w:rPr>
                <w:b/>
                <w:i/>
                <w:sz w:val="22"/>
              </w:rPr>
            </w:pPr>
            <w:r w:rsidRPr="00F209B7">
              <w:rPr>
                <w:b/>
                <w:i/>
                <w:sz w:val="22"/>
              </w:rPr>
              <w:t xml:space="preserve">       426 000 </w:t>
            </w:r>
          </w:p>
        </w:tc>
        <w:tc>
          <w:tcPr>
            <w:tcW w:w="679" w:type="pct"/>
            <w:shd w:val="clear" w:color="auto" w:fill="auto"/>
            <w:tcMar>
              <w:top w:w="14" w:type="dxa"/>
              <w:left w:w="14" w:type="dxa"/>
              <w:bottom w:w="0" w:type="dxa"/>
              <w:right w:w="14" w:type="dxa"/>
            </w:tcMar>
            <w:vAlign w:val="bottom"/>
          </w:tcPr>
          <w:p w14:paraId="7758B3FE" w14:textId="77777777" w:rsidR="007D52DF" w:rsidRPr="00F209B7" w:rsidRDefault="007D52DF" w:rsidP="00D66738">
            <w:pPr>
              <w:pStyle w:val="charts"/>
              <w:jc w:val="both"/>
              <w:rPr>
                <w:b/>
                <w:i/>
                <w:sz w:val="22"/>
              </w:rPr>
            </w:pPr>
            <w:r w:rsidRPr="00F209B7">
              <w:rPr>
                <w:b/>
                <w:i/>
                <w:sz w:val="22"/>
              </w:rPr>
              <w:t xml:space="preserve">          51 000 </w:t>
            </w:r>
          </w:p>
        </w:tc>
        <w:tc>
          <w:tcPr>
            <w:tcW w:w="741" w:type="pct"/>
            <w:shd w:val="clear" w:color="auto" w:fill="auto"/>
            <w:tcMar>
              <w:top w:w="14" w:type="dxa"/>
              <w:left w:w="14" w:type="dxa"/>
              <w:bottom w:w="0" w:type="dxa"/>
              <w:right w:w="14" w:type="dxa"/>
            </w:tcMar>
            <w:vAlign w:val="bottom"/>
          </w:tcPr>
          <w:p w14:paraId="20FE1814" w14:textId="77777777" w:rsidR="007D52DF" w:rsidRPr="00F209B7" w:rsidRDefault="007D52DF" w:rsidP="00D66738">
            <w:pPr>
              <w:pStyle w:val="charts"/>
              <w:jc w:val="both"/>
              <w:rPr>
                <w:b/>
                <w:i/>
                <w:sz w:val="22"/>
              </w:rPr>
            </w:pPr>
            <w:r w:rsidRPr="00F209B7">
              <w:rPr>
                <w:b/>
                <w:i/>
                <w:sz w:val="22"/>
              </w:rPr>
              <w:t xml:space="preserve">       298 000 </w:t>
            </w:r>
          </w:p>
        </w:tc>
        <w:tc>
          <w:tcPr>
            <w:tcW w:w="812" w:type="pct"/>
            <w:shd w:val="clear" w:color="auto" w:fill="auto"/>
            <w:tcMar>
              <w:top w:w="14" w:type="dxa"/>
              <w:left w:w="14" w:type="dxa"/>
              <w:bottom w:w="0" w:type="dxa"/>
              <w:right w:w="14" w:type="dxa"/>
            </w:tcMar>
            <w:vAlign w:val="bottom"/>
          </w:tcPr>
          <w:p w14:paraId="4EEE7408" w14:textId="77777777" w:rsidR="007D52DF" w:rsidRPr="00F209B7" w:rsidRDefault="007D52DF" w:rsidP="00D66738">
            <w:pPr>
              <w:pStyle w:val="charts"/>
              <w:jc w:val="both"/>
              <w:rPr>
                <w:b/>
                <w:i/>
                <w:sz w:val="22"/>
              </w:rPr>
            </w:pPr>
            <w:r w:rsidRPr="00F209B7">
              <w:rPr>
                <w:b/>
                <w:i/>
                <w:sz w:val="22"/>
              </w:rPr>
              <w:t xml:space="preserve">    969 000 </w:t>
            </w:r>
          </w:p>
        </w:tc>
      </w:tr>
    </w:tbl>
    <w:p w14:paraId="17B1EC80" w14:textId="2319B074" w:rsidR="007D52DF" w:rsidRPr="00F209B7" w:rsidRDefault="007D52DF" w:rsidP="00D66738">
      <w:pPr>
        <w:pStyle w:val="source"/>
        <w:jc w:val="both"/>
      </w:pPr>
      <w:r w:rsidRPr="00F209B7">
        <w:rPr>
          <w:i/>
        </w:rPr>
        <w:t xml:space="preserve">Source: </w:t>
      </w:r>
      <w:r w:rsidRPr="00F209B7">
        <w:t>Calculated from Statistics South Africa. Labour Mar</w:t>
      </w:r>
      <w:r w:rsidR="00BD6FDA">
        <w:t>ket Dynamics database for 2015.</w:t>
      </w:r>
      <w:r w:rsidRPr="00F209B7">
        <w:t xml:space="preserve"> Series on number of employees, main work, sector and industry. Downloaded from Nesstar facility at </w:t>
      </w:r>
      <w:r w:rsidRPr="007E67A7">
        <w:t>www.statssa.gov.za</w:t>
      </w:r>
      <w:r w:rsidRPr="00F209B7">
        <w:t xml:space="preserve"> in February 2017.</w:t>
      </w:r>
    </w:p>
    <w:p w14:paraId="1FCA9A75" w14:textId="77777777" w:rsidR="007D52DF" w:rsidRPr="00F209B7" w:rsidRDefault="007D52DF" w:rsidP="00D66738">
      <w:pPr>
        <w:jc w:val="both"/>
      </w:pPr>
      <w:r w:rsidRPr="00F209B7">
        <w:t>Virtually all commercial agriculture ranks as small or micro enterprise. The survey finds no small business in mining.</w:t>
      </w:r>
      <w:r w:rsidRPr="00F209B7">
        <w:rPr>
          <w:rStyle w:val="FootnoteReference"/>
        </w:rPr>
        <w:footnoteReference w:id="5"/>
      </w:r>
    </w:p>
    <w:p w14:paraId="3A943792" w14:textId="77777777" w:rsidR="007D52DF" w:rsidRPr="008B0C35" w:rsidRDefault="007D52DF" w:rsidP="00D66738">
      <w:pPr>
        <w:pStyle w:val="Heading3"/>
        <w:numPr>
          <w:ilvl w:val="2"/>
          <w:numId w:val="123"/>
        </w:numPr>
        <w:ind w:left="0" w:firstLine="0"/>
        <w:jc w:val="both"/>
        <w:rPr>
          <w:rFonts w:eastAsia="Calibri"/>
        </w:rPr>
      </w:pPr>
      <w:bookmarkStart w:id="473" w:name="_Toc479843890"/>
      <w:bookmarkStart w:id="474" w:name="_Toc479844514"/>
      <w:bookmarkStart w:id="475" w:name="_Toc479940838"/>
      <w:r w:rsidRPr="008B0C35">
        <w:rPr>
          <w:rFonts w:eastAsia="Calibri"/>
        </w:rPr>
        <w:t>Earnings</w:t>
      </w:r>
      <w:bookmarkEnd w:id="473"/>
      <w:bookmarkEnd w:id="474"/>
      <w:bookmarkEnd w:id="475"/>
    </w:p>
    <w:p w14:paraId="6324B74D" w14:textId="77777777" w:rsidR="007D52DF" w:rsidRPr="00F209B7" w:rsidRDefault="007D52DF" w:rsidP="00D66738">
      <w:pPr>
        <w:jc w:val="both"/>
      </w:pPr>
      <w:r w:rsidRPr="00F209B7">
        <w:t xml:space="preserve">Median earnings of employers and the self-employed, as reported by respondents in the survey, generally declined with the size of enterprise. They were substantially lower across informal business than in the formal sector; self-employed people in the informal sector generally earned less than waged employees in formal jobs. Median earnings for formal employers were more than twice as high as for wage workers, but in the informal sector there was much less difference between employers and employees.  </w:t>
      </w:r>
    </w:p>
    <w:p w14:paraId="1298E7F5" w14:textId="70464D0A" w:rsidR="007D52DF" w:rsidRDefault="005606C1" w:rsidP="00D66738">
      <w:pPr>
        <w:jc w:val="both"/>
      </w:pPr>
      <w:r w:rsidRPr="00F209B7">
        <w:fldChar w:fldCharType="begin"/>
      </w:r>
      <w:r w:rsidRPr="00F209B7">
        <w:instrText xml:space="preserve"> REF _Ref462386480 \h  \* MERGEFORMAT </w:instrText>
      </w:r>
      <w:r w:rsidRPr="00F209B7">
        <w:fldChar w:fldCharType="separate"/>
      </w:r>
      <w:r w:rsidR="005062E7">
        <w:rPr>
          <w:b/>
          <w:bCs/>
          <w:lang w:val="en-US"/>
        </w:rPr>
        <w:t>Error! Reference source not found.</w:t>
      </w:r>
      <w:r w:rsidRPr="00F209B7">
        <w:fldChar w:fldCharType="end"/>
      </w:r>
      <w:r w:rsidR="007D52DF">
        <w:t xml:space="preserve"> </w:t>
      </w:r>
      <w:r w:rsidR="007D52DF" w:rsidRPr="007D52DF">
        <w:t>below shows that in 2015 formal-sector earnings</w:t>
      </w:r>
      <w:r w:rsidR="0094747D">
        <w:t xml:space="preserve"> for business owners with</w:t>
      </w:r>
      <w:r w:rsidR="007D52DF" w:rsidRPr="00F209B7">
        <w:t xml:space="preserve"> </w:t>
      </w:r>
      <w:r w:rsidR="0094747D">
        <w:t xml:space="preserve">micro and small enterprise </w:t>
      </w:r>
      <w:r w:rsidR="007D52DF" w:rsidRPr="00F209B7">
        <w:t xml:space="preserve">ranged between R8000 and R12 000 a month. Informal employers had a median income of R4000 a month, while the informal self-employed earned just over half as much.  </w:t>
      </w:r>
    </w:p>
    <w:p w14:paraId="5341CED6" w14:textId="7E665886" w:rsidR="00B43B3B" w:rsidRPr="0094747D" w:rsidRDefault="0094747D" w:rsidP="00D66738">
      <w:pPr>
        <w:pStyle w:val="Caption"/>
        <w:jc w:val="both"/>
        <w:rPr>
          <w:szCs w:val="24"/>
        </w:rPr>
      </w:pPr>
      <w:bookmarkStart w:id="476" w:name="_Ref479706387"/>
      <w:bookmarkStart w:id="477" w:name="_Toc479845222"/>
      <w:bookmarkStart w:id="478" w:name="_Toc479940947"/>
      <w:r>
        <w:lastRenderedPageBreak/>
        <w:t xml:space="preserve">Figure </w:t>
      </w:r>
      <w:fldSimple w:instr=" SEQ Figure \* ARABIC ">
        <w:r w:rsidR="005062E7">
          <w:rPr>
            <w:noProof/>
          </w:rPr>
          <w:t>5</w:t>
        </w:r>
      </w:fldSimple>
      <w:bookmarkEnd w:id="476"/>
      <w:r>
        <w:t xml:space="preserve">. </w:t>
      </w:r>
      <w:r w:rsidR="00B43B3B" w:rsidRPr="0094747D">
        <w:rPr>
          <w:szCs w:val="24"/>
        </w:rPr>
        <w:t>Median monthly earnings for the self-employed, employers and employees by sector and size, 2015</w:t>
      </w:r>
      <w:bookmarkEnd w:id="477"/>
      <w:bookmarkEnd w:id="478"/>
    </w:p>
    <w:p w14:paraId="1EA8BEF6" w14:textId="77777777" w:rsidR="00B43B3B" w:rsidRPr="00F209B7" w:rsidRDefault="00B43B3B" w:rsidP="00D66738">
      <w:pPr>
        <w:keepNext/>
        <w:spacing w:before="0"/>
        <w:jc w:val="both"/>
      </w:pPr>
      <w:r w:rsidRPr="00F209B7">
        <w:rPr>
          <w:noProof/>
          <w:lang w:eastAsia="en-ZA"/>
        </w:rPr>
        <w:drawing>
          <wp:inline distT="0" distB="0" distL="0" distR="0" wp14:anchorId="5D157469" wp14:editId="1B1FDA6E">
            <wp:extent cx="5731510" cy="2514129"/>
            <wp:effectExtent l="0" t="0" r="254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514129"/>
                    </a:xfrm>
                    <a:prstGeom prst="rect">
                      <a:avLst/>
                    </a:prstGeom>
                    <a:noFill/>
                    <a:ln>
                      <a:noFill/>
                    </a:ln>
                  </pic:spPr>
                </pic:pic>
              </a:graphicData>
            </a:graphic>
          </wp:inline>
        </w:drawing>
      </w:r>
    </w:p>
    <w:p w14:paraId="42CA11B0" w14:textId="0900A79B" w:rsidR="00B43B3B" w:rsidRPr="00F209B7" w:rsidRDefault="00B43B3B" w:rsidP="00D66738">
      <w:pPr>
        <w:pStyle w:val="source"/>
        <w:jc w:val="both"/>
      </w:pPr>
      <w:r w:rsidRPr="00F209B7">
        <w:rPr>
          <w:i/>
        </w:rPr>
        <w:t xml:space="preserve">Source: </w:t>
      </w:r>
      <w:r w:rsidRPr="00F209B7">
        <w:t>Calculated from Statistics South Africa. Labour Market Dynamics database for 2015</w:t>
      </w:r>
      <w:r w:rsidR="008A44A6" w:rsidRPr="00F209B7">
        <w:t>.</w:t>
      </w:r>
      <w:r w:rsidRPr="00F209B7">
        <w:t xml:space="preserve"> Series on number of employees, main work, sector and employer and employee monthly earnings. Downloaded from Nesstar facility at </w:t>
      </w:r>
      <w:r w:rsidRPr="007E67A7">
        <w:t>www.statssa.gov.za</w:t>
      </w:r>
      <w:r>
        <w:t xml:space="preserve"> in February 2017.</w:t>
      </w:r>
    </w:p>
    <w:p w14:paraId="3863ADC5" w14:textId="77777777" w:rsidR="00753D89" w:rsidRPr="008B0C35" w:rsidRDefault="00753D89" w:rsidP="00D66738">
      <w:pPr>
        <w:pStyle w:val="Heading3"/>
        <w:numPr>
          <w:ilvl w:val="2"/>
          <w:numId w:val="123"/>
        </w:numPr>
        <w:ind w:left="0" w:firstLine="0"/>
        <w:jc w:val="both"/>
        <w:rPr>
          <w:rFonts w:eastAsia="Calibri"/>
        </w:rPr>
      </w:pPr>
      <w:bookmarkStart w:id="479" w:name="_Toc479843891"/>
      <w:bookmarkStart w:id="480" w:name="_Toc479844515"/>
      <w:bookmarkStart w:id="481" w:name="_Toc479940839"/>
      <w:r w:rsidRPr="008B0C35">
        <w:rPr>
          <w:rFonts w:eastAsia="Calibri"/>
        </w:rPr>
        <w:t>Provincial distribution</w:t>
      </w:r>
      <w:bookmarkEnd w:id="479"/>
      <w:bookmarkEnd w:id="480"/>
      <w:bookmarkEnd w:id="481"/>
    </w:p>
    <w:p w14:paraId="630E33C2" w14:textId="77777777" w:rsidR="00753D89" w:rsidRPr="00F209B7" w:rsidRDefault="00753D89" w:rsidP="00D66738">
      <w:pPr>
        <w:jc w:val="both"/>
      </w:pPr>
      <w:r w:rsidRPr="00F209B7">
        <w:t xml:space="preserve">Micro and small formal enterprises were found disproportionately in Gauteng, the Western Cape and KwaZulu-Natal. In contrast, Limpopo and Mpumalanga had a relatively large proportion of informal employers. </w:t>
      </w:r>
    </w:p>
    <w:p w14:paraId="32E48779" w14:textId="71ABCD02" w:rsidR="005606C1" w:rsidRPr="00F209B7" w:rsidRDefault="005606C1" w:rsidP="00D66738">
      <w:pPr>
        <w:jc w:val="both"/>
      </w:pPr>
      <w:r w:rsidRPr="00F209B7">
        <w:t>From 2008, Gauteng has accounted for two fifths of small enterprise</w:t>
      </w:r>
      <w:r w:rsidR="008B244F" w:rsidRPr="00F209B7">
        <w:t>, compared to around a quarter of the working-age population. T</w:t>
      </w:r>
      <w:r w:rsidRPr="00F209B7">
        <w:t xml:space="preserve">he Western Cape </w:t>
      </w:r>
      <w:r w:rsidR="008B244F" w:rsidRPr="00F209B7">
        <w:t xml:space="preserve">held </w:t>
      </w:r>
      <w:r w:rsidRPr="00F209B7">
        <w:t>a fifth</w:t>
      </w:r>
      <w:r w:rsidR="008B244F" w:rsidRPr="00F209B7">
        <w:t xml:space="preserve"> of small business and a ninth of the population, while </w:t>
      </w:r>
      <w:r w:rsidR="00BD6FDA">
        <w:t>KwaZulu-</w:t>
      </w:r>
      <w:r w:rsidRPr="00F209B7">
        <w:t xml:space="preserve">Natal </w:t>
      </w:r>
      <w:r w:rsidR="008B244F" w:rsidRPr="00F209B7">
        <w:t xml:space="preserve">had </w:t>
      </w:r>
      <w:r w:rsidRPr="00F209B7">
        <w:t>just over a tenth</w:t>
      </w:r>
      <w:r w:rsidR="008B244F" w:rsidRPr="00F209B7">
        <w:t xml:space="preserve"> of small business and a fifth of the population. T</w:t>
      </w:r>
      <w:r w:rsidRPr="00F209B7">
        <w:t xml:space="preserve">he other provinces taken together </w:t>
      </w:r>
      <w:r w:rsidR="008B244F" w:rsidRPr="00F209B7">
        <w:t xml:space="preserve">held </w:t>
      </w:r>
      <w:r w:rsidRPr="00F209B7">
        <w:t>a fifth</w:t>
      </w:r>
      <w:r w:rsidR="008B244F" w:rsidRPr="00F209B7">
        <w:t xml:space="preserve"> of all small business and two fifths of the working age population</w:t>
      </w:r>
      <w:r w:rsidRPr="00F209B7">
        <w:t>. The share</w:t>
      </w:r>
      <w:r w:rsidR="008B244F" w:rsidRPr="00F209B7">
        <w:t>s</w:t>
      </w:r>
      <w:r w:rsidR="00BD6FDA">
        <w:t xml:space="preserve"> of KwaZulu-</w:t>
      </w:r>
      <w:r w:rsidRPr="00F209B7">
        <w:t xml:space="preserve">Natal </w:t>
      </w:r>
      <w:r w:rsidR="008B244F" w:rsidRPr="00F209B7">
        <w:t xml:space="preserve">and, even more markedly, the Eastern Cape have </w:t>
      </w:r>
      <w:r w:rsidRPr="00F209B7">
        <w:t>tended to decline</w:t>
      </w:r>
      <w:r w:rsidR="008B244F" w:rsidRPr="00F209B7">
        <w:t xml:space="preserve"> over the past eight years. </w:t>
      </w:r>
    </w:p>
    <w:p w14:paraId="042DF950" w14:textId="3AF684FA" w:rsidR="005606C1" w:rsidRPr="00F209B7" w:rsidRDefault="00E95CAE" w:rsidP="00D66738">
      <w:pPr>
        <w:pStyle w:val="Caption"/>
        <w:jc w:val="both"/>
      </w:pPr>
      <w:bookmarkStart w:id="482" w:name="_Toc479845223"/>
      <w:bookmarkStart w:id="483" w:name="_Toc479940948"/>
      <w:r>
        <w:t xml:space="preserve">Figure </w:t>
      </w:r>
      <w:fldSimple w:instr=" SEQ Figure \* ARABIC ">
        <w:r w:rsidR="005062E7">
          <w:rPr>
            <w:noProof/>
          </w:rPr>
          <w:t>6</w:t>
        </w:r>
      </w:fldSimple>
      <w:r>
        <w:t xml:space="preserve">. </w:t>
      </w:r>
      <w:r w:rsidR="005606C1" w:rsidRPr="00F209B7">
        <w:t>Provincial distribution of small business, 2008 to 2015</w:t>
      </w:r>
      <w:bookmarkEnd w:id="482"/>
      <w:bookmarkEnd w:id="483"/>
    </w:p>
    <w:p w14:paraId="72C2290F" w14:textId="77777777" w:rsidR="005606C1" w:rsidRPr="00F209B7" w:rsidRDefault="005606C1" w:rsidP="00D66738">
      <w:pPr>
        <w:pStyle w:val="charts"/>
        <w:jc w:val="both"/>
      </w:pPr>
      <w:r w:rsidRPr="00F209B7">
        <w:rPr>
          <w:noProof/>
          <w:lang w:eastAsia="en-ZA"/>
        </w:rPr>
        <w:drawing>
          <wp:inline distT="0" distB="0" distL="0" distR="0" wp14:anchorId="79FD6E98" wp14:editId="0A88A692">
            <wp:extent cx="5731510" cy="2531710"/>
            <wp:effectExtent l="0" t="0" r="254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531710"/>
                    </a:xfrm>
                    <a:prstGeom prst="rect">
                      <a:avLst/>
                    </a:prstGeom>
                    <a:noFill/>
                    <a:ln>
                      <a:noFill/>
                    </a:ln>
                  </pic:spPr>
                </pic:pic>
              </a:graphicData>
            </a:graphic>
          </wp:inline>
        </w:drawing>
      </w:r>
    </w:p>
    <w:p w14:paraId="1DAE0ABB" w14:textId="3AA04FD1" w:rsidR="005606C1" w:rsidRPr="00F209B7" w:rsidRDefault="005606C1" w:rsidP="00D66738">
      <w:pPr>
        <w:pStyle w:val="source"/>
        <w:jc w:val="both"/>
      </w:pPr>
      <w:r w:rsidRPr="00F209B7">
        <w:rPr>
          <w:i/>
        </w:rPr>
        <w:t xml:space="preserve">Source: </w:t>
      </w:r>
      <w:r w:rsidRPr="00F209B7">
        <w:t xml:space="preserve">Calculated from Statistics South Africa. Labour Market Dynamics databases for relevant years. Series on number of employees, main work and province. Downloaded from Nesstar facility at </w:t>
      </w:r>
      <w:r w:rsidRPr="007E67A7">
        <w:t>www.statssa.gov.za</w:t>
      </w:r>
      <w:r w:rsidRPr="00F209B7">
        <w:t xml:space="preserve"> in relevant years.</w:t>
      </w:r>
    </w:p>
    <w:p w14:paraId="47B0E6D6" w14:textId="00C5DCE9" w:rsidR="00BE1F99" w:rsidRPr="00F209B7" w:rsidRDefault="005606C1" w:rsidP="00D66738">
      <w:pPr>
        <w:jc w:val="both"/>
      </w:pPr>
      <w:r w:rsidRPr="00F209B7">
        <w:lastRenderedPageBreak/>
        <w:t xml:space="preserve">The provincial distribution of formal and informal enterprise largely reflected the legacies of apartheid. Formal private enterprise was under-represented in the former homeland regions, which hold 30% of the population but provide just over 15% of total employment. These areas </w:t>
      </w:r>
      <w:r w:rsidR="004C50BE" w:rsidRPr="00F209B7">
        <w:t xml:space="preserve">housed around 6% of formal small business, but a more or less proportional share of informal enterprise. </w:t>
      </w:r>
      <w:r w:rsidR="00BE1F99" w:rsidRPr="00F209B7">
        <w:t>For every thousand people in the former homeland areas, there were 43 informal businesses but just four formal ones. In contrast, in the rest of the country, for every thousand inhabitants there were 40 informal businesses</w:t>
      </w:r>
      <w:r w:rsidR="0094747D">
        <w:t xml:space="preserve"> but 26 formal ones</w:t>
      </w:r>
      <w:r w:rsidR="00BE1F99" w:rsidRPr="00F209B7">
        <w:t xml:space="preserve">. </w:t>
      </w:r>
    </w:p>
    <w:p w14:paraId="725C364D" w14:textId="4D85663C" w:rsidR="00753D89" w:rsidRPr="008B0C35" w:rsidRDefault="0094747D" w:rsidP="00D66738">
      <w:pPr>
        <w:pStyle w:val="Heading3"/>
        <w:numPr>
          <w:ilvl w:val="2"/>
          <w:numId w:val="123"/>
        </w:numPr>
        <w:ind w:left="0" w:firstLine="0"/>
        <w:jc w:val="both"/>
        <w:rPr>
          <w:rFonts w:eastAsia="Calibri"/>
        </w:rPr>
      </w:pPr>
      <w:bookmarkStart w:id="484" w:name="_Toc479843892"/>
      <w:bookmarkStart w:id="485" w:name="_Toc479844516"/>
      <w:bookmarkStart w:id="486" w:name="_Toc479940840"/>
      <w:r w:rsidRPr="008B0C35">
        <w:rPr>
          <w:rFonts w:eastAsia="Calibri"/>
        </w:rPr>
        <w:t>Human capital</w:t>
      </w:r>
      <w:bookmarkEnd w:id="484"/>
      <w:bookmarkEnd w:id="485"/>
      <w:bookmarkEnd w:id="486"/>
    </w:p>
    <w:p w14:paraId="569C2028" w14:textId="01BD9697" w:rsidR="00753D89" w:rsidRPr="00F209B7" w:rsidRDefault="00753D89" w:rsidP="00D66738">
      <w:pPr>
        <w:jc w:val="both"/>
      </w:pPr>
      <w:r w:rsidRPr="00F209B7">
        <w:t xml:space="preserve">As </w:t>
      </w:r>
      <w:r w:rsidR="0094747D">
        <w:fldChar w:fldCharType="begin"/>
      </w:r>
      <w:r w:rsidR="0094747D">
        <w:instrText xml:space="preserve"> REF _Ref479706099 \h </w:instrText>
      </w:r>
      <w:r w:rsidR="00D66738">
        <w:instrText xml:space="preserve"> \* MERGEFORMAT </w:instrText>
      </w:r>
      <w:r w:rsidR="0094747D">
        <w:fldChar w:fldCharType="separate"/>
      </w:r>
      <w:r w:rsidR="005062E7" w:rsidRPr="0094747D">
        <w:t xml:space="preserve">Figure </w:t>
      </w:r>
      <w:r w:rsidR="005062E7">
        <w:rPr>
          <w:noProof/>
        </w:rPr>
        <w:t>7</w:t>
      </w:r>
      <w:r w:rsidR="0094747D">
        <w:fldChar w:fldCharType="end"/>
      </w:r>
      <w:r w:rsidRPr="00753D89">
        <w:t xml:space="preserve"> shows, formal employers and self-employed people often had high levels of form</w:t>
      </w:r>
      <w:r w:rsidRPr="00F209B7">
        <w:t xml:space="preserve">al education. In contrast, informal employers and self-employed people had less certified education than formal employees, and almost the same education as informal wage workers. </w:t>
      </w:r>
    </w:p>
    <w:p w14:paraId="3E8A85DC" w14:textId="77777777" w:rsidR="00753D89" w:rsidRPr="00F209B7" w:rsidRDefault="00753D89" w:rsidP="00D66738">
      <w:pPr>
        <w:jc w:val="both"/>
      </w:pPr>
      <w:r w:rsidRPr="00F209B7">
        <w:t xml:space="preserve">Around half of formal businesspeople had some post-secondary education, and a third had matric in 2015. Amongst private formal employees, just under 20% had post-secondary qualifications, 36% had matric, and 45% had not completed secondary school. In contrast, amongst informal employers, under 10% had a degree or a diploma, and around 25% had matric. For both self-employed people and wage workers in the informal sector, around 70% did not have matric. </w:t>
      </w:r>
    </w:p>
    <w:p w14:paraId="633E0EE7" w14:textId="4178F185" w:rsidR="00753D89" w:rsidRPr="0094747D" w:rsidRDefault="0094747D" w:rsidP="00D66738">
      <w:pPr>
        <w:pStyle w:val="Caption"/>
        <w:jc w:val="both"/>
        <w:rPr>
          <w:szCs w:val="24"/>
        </w:rPr>
      </w:pPr>
      <w:bookmarkStart w:id="487" w:name="_Ref479706099"/>
      <w:bookmarkStart w:id="488" w:name="_Toc479845224"/>
      <w:bookmarkStart w:id="489" w:name="_Toc479940949"/>
      <w:r w:rsidRPr="0094747D">
        <w:t xml:space="preserve">Figure </w:t>
      </w:r>
      <w:fldSimple w:instr=" SEQ Figure \* ARABIC ">
        <w:r w:rsidR="005062E7">
          <w:rPr>
            <w:noProof/>
          </w:rPr>
          <w:t>7</w:t>
        </w:r>
      </w:fldSimple>
      <w:bookmarkEnd w:id="487"/>
      <w:r w:rsidRPr="0094747D">
        <w:t xml:space="preserve">. </w:t>
      </w:r>
      <w:r w:rsidR="00753D89" w:rsidRPr="0094747D">
        <w:rPr>
          <w:szCs w:val="24"/>
        </w:rPr>
        <w:t>Education status of employers, self-employed people and private-sector employees in formal and informal enterprise, 2014</w:t>
      </w:r>
      <w:bookmarkEnd w:id="488"/>
      <w:bookmarkEnd w:id="489"/>
    </w:p>
    <w:p w14:paraId="5ECEA6C8" w14:textId="77777777" w:rsidR="00753D89" w:rsidRPr="00F209B7" w:rsidRDefault="00753D89" w:rsidP="00D66738">
      <w:pPr>
        <w:keepNext/>
        <w:spacing w:before="0"/>
        <w:jc w:val="both"/>
      </w:pPr>
      <w:r w:rsidRPr="00F209B7">
        <w:rPr>
          <w:noProof/>
          <w:lang w:eastAsia="en-ZA"/>
        </w:rPr>
        <w:drawing>
          <wp:inline distT="0" distB="0" distL="0" distR="0" wp14:anchorId="32463BAD" wp14:editId="4B6C341D">
            <wp:extent cx="5731510" cy="2484826"/>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484826"/>
                    </a:xfrm>
                    <a:prstGeom prst="rect">
                      <a:avLst/>
                    </a:prstGeom>
                    <a:noFill/>
                    <a:ln>
                      <a:noFill/>
                    </a:ln>
                  </pic:spPr>
                </pic:pic>
              </a:graphicData>
            </a:graphic>
          </wp:inline>
        </w:drawing>
      </w:r>
    </w:p>
    <w:p w14:paraId="38E131F4" w14:textId="24764BC2" w:rsidR="00753D89" w:rsidRPr="00F209B7" w:rsidRDefault="00753D89" w:rsidP="00D66738">
      <w:pPr>
        <w:spacing w:before="0"/>
        <w:jc w:val="both"/>
        <w:rPr>
          <w:sz w:val="20"/>
          <w:szCs w:val="20"/>
        </w:rPr>
      </w:pPr>
      <w:r w:rsidRPr="00F209B7">
        <w:rPr>
          <w:i/>
          <w:sz w:val="20"/>
          <w:szCs w:val="20"/>
        </w:rPr>
        <w:t xml:space="preserve">Source: </w:t>
      </w:r>
      <w:r w:rsidRPr="00F209B7">
        <w:rPr>
          <w:sz w:val="20"/>
          <w:szCs w:val="20"/>
        </w:rPr>
        <w:t xml:space="preserve">Calculated from Statistics South Africa. Labour Market Dynamics Survey, 2014. Electronic databases in SPSS format. Downloaded from </w:t>
      </w:r>
      <w:r w:rsidRPr="007E67A7">
        <w:rPr>
          <w:sz w:val="20"/>
          <w:szCs w:val="20"/>
        </w:rPr>
        <w:t>www.statssa.gov.za</w:t>
      </w:r>
      <w:r w:rsidRPr="00F209B7">
        <w:rPr>
          <w:sz w:val="20"/>
          <w:szCs w:val="20"/>
        </w:rPr>
        <w:t>.</w:t>
      </w:r>
    </w:p>
    <w:p w14:paraId="34B9587A" w14:textId="77777777" w:rsidR="00B43B3B" w:rsidRPr="008B0C35" w:rsidRDefault="00B43B3B" w:rsidP="00D66738">
      <w:pPr>
        <w:pStyle w:val="Heading3"/>
        <w:numPr>
          <w:ilvl w:val="2"/>
          <w:numId w:val="123"/>
        </w:numPr>
        <w:ind w:left="0" w:firstLine="0"/>
        <w:jc w:val="both"/>
        <w:rPr>
          <w:rFonts w:eastAsia="Calibri"/>
        </w:rPr>
      </w:pPr>
      <w:bookmarkStart w:id="490" w:name="_Toc478556530"/>
      <w:bookmarkStart w:id="491" w:name="_Toc479843893"/>
      <w:bookmarkStart w:id="492" w:name="_Toc479844517"/>
      <w:bookmarkStart w:id="493" w:name="_Toc479940841"/>
      <w:r w:rsidRPr="008B0C35">
        <w:rPr>
          <w:rFonts w:eastAsia="Calibri"/>
        </w:rPr>
        <w:t>Demography</w:t>
      </w:r>
      <w:bookmarkEnd w:id="490"/>
      <w:bookmarkEnd w:id="491"/>
      <w:bookmarkEnd w:id="492"/>
      <w:bookmarkEnd w:id="493"/>
    </w:p>
    <w:p w14:paraId="458406FA" w14:textId="6146C1D8" w:rsidR="00B43B3B" w:rsidRPr="00F209B7" w:rsidRDefault="00B43B3B" w:rsidP="00D66738">
      <w:pPr>
        <w:jc w:val="both"/>
      </w:pPr>
      <w:r w:rsidRPr="00F209B7">
        <w:t>Half of small formal enterprises were white-owned in 2015. The figure had fallen from around two thirds a decade earlier. More detail on ownership by race and gender is provided in</w:t>
      </w:r>
      <w:r w:rsidR="00E95CAE">
        <w:t xml:space="preserve"> Section</w:t>
      </w:r>
      <w:r>
        <w:t xml:space="preserve"> </w:t>
      </w:r>
      <w:r w:rsidR="00E95CAE">
        <w:fldChar w:fldCharType="begin"/>
      </w:r>
      <w:r w:rsidR="00E95CAE">
        <w:instrText xml:space="preserve"> REF _Ref478899535 \r \h </w:instrText>
      </w:r>
      <w:r w:rsidR="00D66738">
        <w:instrText xml:space="preserve"> \* MERGEFORMAT </w:instrText>
      </w:r>
      <w:r w:rsidR="00E95CAE">
        <w:fldChar w:fldCharType="separate"/>
      </w:r>
      <w:r w:rsidR="005062E7">
        <w:t>8</w:t>
      </w:r>
      <w:r w:rsidR="00E95CAE">
        <w:fldChar w:fldCharType="end"/>
      </w:r>
      <w:r w:rsidR="00E95CAE">
        <w:t xml:space="preserve"> </w:t>
      </w:r>
      <w:r w:rsidRPr="00F209B7">
        <w:t xml:space="preserve">on broad-based black economic empowerment. </w:t>
      </w:r>
    </w:p>
    <w:p w14:paraId="0670A1A8" w14:textId="5FF49BB8" w:rsidR="00753D89" w:rsidRPr="00F209B7" w:rsidRDefault="00B43B3B" w:rsidP="00D66738">
      <w:pPr>
        <w:jc w:val="both"/>
      </w:pPr>
      <w:r w:rsidRPr="00F209B7">
        <w:t xml:space="preserve">Given South Africa’s history of exclusion based on race and gender, the unrepresentative nature of ownership has important implications for the regulation of small business. On the one hand, it means that most formal enterprise do not benefit from state efforts to reduce barriers to black entrepreneurs, and may even bear a cost from them. On the other hand, </w:t>
      </w:r>
      <w:r w:rsidRPr="00F209B7">
        <w:lastRenderedPageBreak/>
        <w:t>mobilising government support may prove more difficult when the majority of direct beneficia</w:t>
      </w:r>
      <w:r>
        <w:t xml:space="preserve">ries belong to </w:t>
      </w:r>
      <w:r w:rsidR="005606C1" w:rsidRPr="00F209B7">
        <w:t>an</w:t>
      </w:r>
      <w:r w:rsidRPr="00F209B7">
        <w:t xml:space="preserve"> historically privileged group. </w:t>
      </w:r>
    </w:p>
    <w:p w14:paraId="64B14306" w14:textId="716DD379" w:rsidR="005606C1" w:rsidRPr="00F209B7" w:rsidRDefault="005606C1" w:rsidP="00D66738">
      <w:pPr>
        <w:jc w:val="both"/>
      </w:pPr>
      <w:r w:rsidRPr="00F209B7">
        <w:t xml:space="preserve">Youth under 35 made up less than one in five formal entrepreneurs and one in three in the informal sector, but around half of all wage workers. </w:t>
      </w:r>
    </w:p>
    <w:p w14:paraId="17DB358E" w14:textId="55FD3C3D" w:rsidR="00B00C15" w:rsidRPr="00424006" w:rsidRDefault="00B00C15" w:rsidP="00D66738">
      <w:pPr>
        <w:pStyle w:val="Heading2"/>
        <w:ind w:left="0" w:firstLine="0"/>
        <w:jc w:val="both"/>
      </w:pPr>
      <w:bookmarkStart w:id="494" w:name="_Toc479843894"/>
      <w:bookmarkStart w:id="495" w:name="_Toc479844518"/>
      <w:bookmarkStart w:id="496" w:name="_Toc479940842"/>
      <w:r w:rsidRPr="00424006">
        <w:t>Implications for research</w:t>
      </w:r>
      <w:bookmarkEnd w:id="494"/>
      <w:bookmarkEnd w:id="495"/>
      <w:bookmarkEnd w:id="496"/>
    </w:p>
    <w:p w14:paraId="4FA23432" w14:textId="00120FF0" w:rsidR="00B00C15" w:rsidRPr="00F209B7" w:rsidRDefault="00B00C15" w:rsidP="00D66738">
      <w:pPr>
        <w:jc w:val="both"/>
      </w:pPr>
      <w:r w:rsidRPr="00F209B7">
        <w:t>Generally, the LMD data show th</w:t>
      </w:r>
      <w:r w:rsidR="00A41B5A">
        <w:t>at th</w:t>
      </w:r>
      <w:r w:rsidRPr="00F209B7">
        <w:t>e</w:t>
      </w:r>
      <w:r w:rsidR="00A41B5A">
        <w:t>re is a</w:t>
      </w:r>
      <w:r w:rsidRPr="00F209B7">
        <w:t xml:space="preserve"> diversity of small business</w:t>
      </w:r>
      <w:r w:rsidR="00A41B5A">
        <w:t xml:space="preserve"> in South Africa</w:t>
      </w:r>
      <w:r w:rsidRPr="00F209B7">
        <w:t xml:space="preserve">. By extension, the analysis of regulatory burdens will have to take into account the divergence between groups, amongst others in terms of industry, size, demography and education levels.  </w:t>
      </w:r>
    </w:p>
    <w:p w14:paraId="1CB93111" w14:textId="7D9F078B" w:rsidR="00B00C15" w:rsidRPr="00F209B7" w:rsidRDefault="00B00C15" w:rsidP="00D66738">
      <w:pPr>
        <w:jc w:val="both"/>
      </w:pPr>
      <w:r w:rsidRPr="00F209B7">
        <w:t>Except for labour laws, national legislation does not apply to informal enterprise, by definition.</w:t>
      </w:r>
      <w:r w:rsidR="00B13429">
        <w:t xml:space="preserve"> The laws</w:t>
      </w:r>
      <w:r w:rsidRPr="00F209B7">
        <w:t xml:space="preserve">, however, affect micro as well as small and medium formal enterprise. The studies of priority areas will therefore analyse the impacts on all formal enterprise, irrespective of size, as well as informal employers.  </w:t>
      </w:r>
    </w:p>
    <w:p w14:paraId="079C16EC" w14:textId="58EC7885" w:rsidR="00B00C15" w:rsidRPr="00F209B7" w:rsidRDefault="00B00C15" w:rsidP="00D66738">
      <w:pPr>
        <w:jc w:val="both"/>
      </w:pPr>
      <w:r w:rsidRPr="00F209B7">
        <w:t>Analysis of enterprise</w:t>
      </w:r>
      <w:r w:rsidR="00684A6C">
        <w:t>s by race and gender also point</w:t>
      </w:r>
      <w:r w:rsidRPr="00F209B7">
        <w:t xml:space="preserve"> to the importance of understanding trade-offs in regulatory burdens for existing and potential enterprise. In particular, laws to promote greater black representation in ownership and procurement may benefit emerging black-owned enterprise but burden existing white-owned producers. </w:t>
      </w:r>
    </w:p>
    <w:p w14:paraId="0A2802A0" w14:textId="77777777" w:rsidR="002B78BA" w:rsidRPr="007C46A1" w:rsidRDefault="00B56FC6" w:rsidP="00D66738">
      <w:pPr>
        <w:pStyle w:val="Heading1"/>
        <w:numPr>
          <w:ilvl w:val="0"/>
          <w:numId w:val="118"/>
        </w:numPr>
        <w:spacing w:after="160" w:line="259" w:lineRule="auto"/>
        <w:jc w:val="both"/>
        <w:rPr>
          <w:rFonts w:ascii="Calibri" w:hAnsi="Calibri"/>
          <w:caps/>
          <w:color w:val="1B5068"/>
        </w:rPr>
      </w:pPr>
      <w:bookmarkStart w:id="497" w:name="_Ref478899686"/>
      <w:bookmarkStart w:id="498" w:name="_Toc479843895"/>
      <w:bookmarkStart w:id="499" w:name="_Toc479844519"/>
      <w:bookmarkStart w:id="500" w:name="_Toc479940843"/>
      <w:r w:rsidRPr="00BA6839">
        <w:rPr>
          <w:rFonts w:ascii="Calibri" w:hAnsi="Calibri"/>
          <w:caps/>
          <w:color w:val="1B5068"/>
        </w:rPr>
        <w:t>Existing research on the regulatory burden in South Africa</w:t>
      </w:r>
      <w:bookmarkEnd w:id="497"/>
      <w:bookmarkEnd w:id="498"/>
      <w:bookmarkEnd w:id="499"/>
      <w:bookmarkEnd w:id="500"/>
    </w:p>
    <w:p w14:paraId="3BF97204" w14:textId="77777777" w:rsidR="002B78BA" w:rsidRPr="00F209B7" w:rsidRDefault="002B78BA" w:rsidP="00D66738">
      <w:pPr>
        <w:jc w:val="both"/>
        <w:rPr>
          <w:szCs w:val="24"/>
        </w:rPr>
      </w:pPr>
      <w:r w:rsidRPr="00F209B7">
        <w:rPr>
          <w:szCs w:val="24"/>
        </w:rPr>
        <w:t xml:space="preserve">Research on </w:t>
      </w:r>
      <w:r w:rsidR="00B14897" w:rsidRPr="00F209B7">
        <w:rPr>
          <w:szCs w:val="24"/>
        </w:rPr>
        <w:t>small business</w:t>
      </w:r>
      <w:r w:rsidRPr="00F209B7">
        <w:rPr>
          <w:szCs w:val="24"/>
        </w:rPr>
        <w:t xml:space="preserve"> constraints in South Africa spans public, private and academic studies. Studies have sought to identify constraints to </w:t>
      </w:r>
      <w:r w:rsidR="00B14897" w:rsidRPr="00F209B7">
        <w:rPr>
          <w:szCs w:val="24"/>
        </w:rPr>
        <w:t>small business</w:t>
      </w:r>
      <w:r w:rsidRPr="00F209B7">
        <w:rPr>
          <w:szCs w:val="24"/>
        </w:rPr>
        <w:t xml:space="preserve"> growth and development, quantify the cost of regulatory burdens and propose remedies to alleviate the structural and regulatory burdens on </w:t>
      </w:r>
      <w:r w:rsidR="00B14897" w:rsidRPr="00F209B7">
        <w:rPr>
          <w:szCs w:val="24"/>
        </w:rPr>
        <w:t>small business</w:t>
      </w:r>
      <w:r w:rsidRPr="00F209B7">
        <w:rPr>
          <w:szCs w:val="24"/>
        </w:rPr>
        <w:t xml:space="preserve">. They have, however, generally focused on </w:t>
      </w:r>
      <w:r w:rsidR="00B56FC6" w:rsidRPr="00F209B7">
        <w:rPr>
          <w:szCs w:val="24"/>
        </w:rPr>
        <w:t>costing</w:t>
      </w:r>
      <w:r w:rsidRPr="00F209B7">
        <w:rPr>
          <w:szCs w:val="24"/>
        </w:rPr>
        <w:t xml:space="preserve"> the regulatory burden, rather than on analysing how changes to specific laws and regulations could reduce the burdens on small business. </w:t>
      </w:r>
      <w:r w:rsidR="00B56FC6" w:rsidRPr="00F209B7">
        <w:rPr>
          <w:szCs w:val="24"/>
        </w:rPr>
        <w:t xml:space="preserve">As a result, studies typically point to areas where regulatory reform would reduce the burdens on small business, but do not indicate specific changes to rules or procedures. </w:t>
      </w:r>
    </w:p>
    <w:p w14:paraId="6B97DEA3" w14:textId="60D0EC47" w:rsidR="002B78BA" w:rsidRPr="00F209B7" w:rsidRDefault="002B78BA" w:rsidP="00D66738">
      <w:pPr>
        <w:pStyle w:val="Heading2"/>
        <w:numPr>
          <w:ilvl w:val="1"/>
          <w:numId w:val="126"/>
        </w:numPr>
        <w:ind w:left="0" w:firstLine="0"/>
        <w:jc w:val="both"/>
      </w:pPr>
      <w:bookmarkStart w:id="501" w:name="_Toc479849984"/>
      <w:bookmarkStart w:id="502" w:name="_Toc479850128"/>
      <w:bookmarkStart w:id="503" w:name="_Toc479843896"/>
      <w:bookmarkStart w:id="504" w:name="_Toc479844520"/>
      <w:bookmarkStart w:id="505" w:name="_Toc479940844"/>
      <w:bookmarkEnd w:id="501"/>
      <w:bookmarkEnd w:id="502"/>
      <w:r w:rsidRPr="008A44D3">
        <w:t>Overall</w:t>
      </w:r>
      <w:r w:rsidRPr="00F209B7">
        <w:t xml:space="preserve"> surveys of constraints on </w:t>
      </w:r>
      <w:r w:rsidR="00B56FC6" w:rsidRPr="00F209B7">
        <w:t>small business</w:t>
      </w:r>
      <w:bookmarkEnd w:id="503"/>
      <w:bookmarkEnd w:id="504"/>
      <w:bookmarkEnd w:id="505"/>
    </w:p>
    <w:p w14:paraId="3C451597" w14:textId="77777777" w:rsidR="002B78BA" w:rsidRPr="00F209B7" w:rsidRDefault="002B78BA" w:rsidP="00D66738">
      <w:pPr>
        <w:jc w:val="both"/>
        <w:rPr>
          <w:szCs w:val="24"/>
        </w:rPr>
      </w:pPr>
      <w:r w:rsidRPr="00F209B7">
        <w:rPr>
          <w:szCs w:val="24"/>
        </w:rPr>
        <w:t xml:space="preserve">A number of overall surveys of constraints on </w:t>
      </w:r>
      <w:r w:rsidR="00B14897" w:rsidRPr="00F209B7">
        <w:rPr>
          <w:szCs w:val="24"/>
        </w:rPr>
        <w:t>small business</w:t>
      </w:r>
      <w:r w:rsidRPr="00F209B7">
        <w:rPr>
          <w:szCs w:val="24"/>
        </w:rPr>
        <w:t xml:space="preserve"> point to the importance of regulatory burdens, although they also indicate structural constraints. Structural constraints are defined here as the legacy of apartheid laws combined with the concentrated market structure typical of the inherited economy. Structural factors may arise without and indeed despite state efforts, for instance as a result of inequalities in ownership of capital, land and other assets; the nature of market institutions; the allocation of skills and access to education; and the way that established networks within business function. In contrast, the regulatory burden arises narrowly from the way that laws and regulations affect business.  </w:t>
      </w:r>
    </w:p>
    <w:p w14:paraId="415A1DCB" w14:textId="77777777" w:rsidR="002B78BA" w:rsidRPr="00F209B7" w:rsidRDefault="002B78BA" w:rsidP="00D66738">
      <w:pPr>
        <w:jc w:val="both"/>
        <w:rPr>
          <w:szCs w:val="24"/>
        </w:rPr>
      </w:pPr>
      <w:r w:rsidRPr="00F209B7">
        <w:rPr>
          <w:szCs w:val="24"/>
        </w:rPr>
        <w:t xml:space="preserve">A challenge with the overall reviews of regulatory burdens is that they require a vast amount of survey data in order to essentially end up listing broad areas that impinge on </w:t>
      </w:r>
      <w:r w:rsidR="00B14897" w:rsidRPr="00F209B7">
        <w:rPr>
          <w:szCs w:val="24"/>
        </w:rPr>
        <w:t>small business</w:t>
      </w:r>
      <w:r w:rsidRPr="00F209B7">
        <w:rPr>
          <w:szCs w:val="24"/>
        </w:rPr>
        <w:t xml:space="preserve"> development, without much detail to guide remedial action. The areas listed often conflate structural and regulatory factors. This issue is most prominently demonstrated by international studies on constraints on </w:t>
      </w:r>
      <w:r w:rsidR="00B14897" w:rsidRPr="00F209B7">
        <w:rPr>
          <w:szCs w:val="24"/>
        </w:rPr>
        <w:t>small business</w:t>
      </w:r>
      <w:r w:rsidRPr="00F209B7">
        <w:rPr>
          <w:szCs w:val="24"/>
        </w:rPr>
        <w:t xml:space="preserve"> that benchmark South Africa against other countries, such as the World Economic Forum (WEF) Global </w:t>
      </w:r>
      <w:r w:rsidRPr="00F209B7">
        <w:rPr>
          <w:szCs w:val="24"/>
        </w:rPr>
        <w:lastRenderedPageBreak/>
        <w:t xml:space="preserve">Competitiveness Index and the Global Entrepreneurship Monitor (GEM) National Expert Survey (NES). </w:t>
      </w:r>
    </w:p>
    <w:p w14:paraId="3935C9B7" w14:textId="77777777" w:rsidR="002B78BA" w:rsidRPr="00F209B7" w:rsidRDefault="002B78BA" w:rsidP="00D66738">
      <w:pPr>
        <w:jc w:val="both"/>
        <w:rPr>
          <w:szCs w:val="24"/>
        </w:rPr>
      </w:pPr>
      <w:r w:rsidRPr="00F209B7">
        <w:rPr>
          <w:szCs w:val="24"/>
        </w:rPr>
        <w:t>The WEF’s Global Competitiveness Report ranks countries based on an index that integrates the macroeconomic and micro/firm level aspects of competitiveness into a single indicator. The index is compiled using an executive opinion survey and by assessing publicly available articles and reports. It comprises of 12 pillars, namely: institutions, infrastructure, a stable macroeconomic framework, good health and primary education, higher education and training, an efficient goods markets, an efficient labour market, developed financial markets, the ability to harness the benefits of existing technologies, market size, sophisticated production processes and innovation.</w:t>
      </w:r>
    </w:p>
    <w:p w14:paraId="5F884A92" w14:textId="77777777" w:rsidR="002B78BA" w:rsidRPr="00F209B7" w:rsidRDefault="002B78BA" w:rsidP="00D66738">
      <w:pPr>
        <w:jc w:val="both"/>
        <w:rPr>
          <w:szCs w:val="24"/>
        </w:rPr>
      </w:pPr>
      <w:r w:rsidRPr="00F209B7">
        <w:rPr>
          <w:szCs w:val="24"/>
        </w:rPr>
        <w:t xml:space="preserve">South Africa achieved an overall score of 4,4 and was ranked 49th out of 140 countries in the 2015/16 WEF Global Competitiveness Index. That is a relative decline from the 2006 result of an overall score of 4,5 </w:t>
      </w:r>
      <w:proofErr w:type="gramStart"/>
      <w:r w:rsidRPr="00F209B7">
        <w:rPr>
          <w:szCs w:val="24"/>
        </w:rPr>
        <w:t>score</w:t>
      </w:r>
      <w:proofErr w:type="gramEnd"/>
      <w:r w:rsidRPr="00F209B7">
        <w:rPr>
          <w:szCs w:val="24"/>
        </w:rPr>
        <w:t xml:space="preserve"> and a ranking of 35th. </w:t>
      </w:r>
    </w:p>
    <w:p w14:paraId="0AA19BC2" w14:textId="77777777" w:rsidR="002B78BA" w:rsidRPr="00F209B7" w:rsidRDefault="002B78BA" w:rsidP="00D66738">
      <w:pPr>
        <w:jc w:val="both"/>
        <w:rPr>
          <w:szCs w:val="24"/>
        </w:rPr>
      </w:pPr>
      <w:r w:rsidRPr="00F209B7">
        <w:rPr>
          <w:szCs w:val="24"/>
        </w:rPr>
        <w:t xml:space="preserve">The 2015 results indicated that South Africa ranked highly according to its innovation, goods and financial market efficiency and infrastructure. However, the country was ranked low in terms of health and education, corruption and government regulation, crime and labour market flexibility. </w:t>
      </w:r>
    </w:p>
    <w:p w14:paraId="74E11759" w14:textId="25ED76AE" w:rsidR="002B78BA" w:rsidRPr="00E95CAE" w:rsidRDefault="00E95CAE" w:rsidP="00D66738">
      <w:pPr>
        <w:pStyle w:val="Caption"/>
        <w:jc w:val="both"/>
        <w:rPr>
          <w:szCs w:val="24"/>
        </w:rPr>
      </w:pPr>
      <w:bookmarkStart w:id="506" w:name="_Toc479845225"/>
      <w:bookmarkStart w:id="507" w:name="_Toc479940950"/>
      <w:r w:rsidRPr="00E95CAE">
        <w:t xml:space="preserve">Figure </w:t>
      </w:r>
      <w:fldSimple w:instr=" SEQ Figure \* ARABIC ">
        <w:r w:rsidR="005062E7">
          <w:rPr>
            <w:noProof/>
          </w:rPr>
          <w:t>8</w:t>
        </w:r>
      </w:fldSimple>
      <w:r w:rsidRPr="00E95CAE">
        <w:t xml:space="preserve">. </w:t>
      </w:r>
      <w:r w:rsidR="002B78BA" w:rsidRPr="00E95CAE">
        <w:rPr>
          <w:szCs w:val="24"/>
        </w:rPr>
        <w:t>WEF Global Competitiveness Index, 2006 and 2015</w:t>
      </w:r>
      <w:bookmarkEnd w:id="506"/>
      <w:bookmarkEnd w:id="507"/>
    </w:p>
    <w:p w14:paraId="7A49A22C" w14:textId="77777777" w:rsidR="002B78BA" w:rsidRPr="00F209B7" w:rsidRDefault="002B78BA" w:rsidP="00D66738">
      <w:pPr>
        <w:pStyle w:val="charts"/>
        <w:jc w:val="both"/>
        <w:rPr>
          <w:sz w:val="20"/>
          <w:szCs w:val="20"/>
        </w:rPr>
      </w:pPr>
      <w:r w:rsidRPr="00F209B7">
        <w:rPr>
          <w:noProof/>
          <w:lang w:eastAsia="en-ZA"/>
        </w:rPr>
        <w:drawing>
          <wp:inline distT="0" distB="0" distL="0" distR="0" wp14:anchorId="58A47301" wp14:editId="37DCE0C1">
            <wp:extent cx="5638800" cy="3162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3162300"/>
                    </a:xfrm>
                    <a:prstGeom prst="rect">
                      <a:avLst/>
                    </a:prstGeom>
                    <a:noFill/>
                    <a:ln>
                      <a:noFill/>
                    </a:ln>
                  </pic:spPr>
                </pic:pic>
              </a:graphicData>
            </a:graphic>
          </wp:inline>
        </w:drawing>
      </w:r>
      <w:r w:rsidRPr="00F209B7">
        <w:rPr>
          <w:i/>
        </w:rPr>
        <w:t xml:space="preserve"> </w:t>
      </w:r>
      <w:r w:rsidRPr="00F209B7">
        <w:rPr>
          <w:i/>
          <w:sz w:val="20"/>
          <w:szCs w:val="20"/>
        </w:rPr>
        <w:t>Source:</w:t>
      </w:r>
      <w:r w:rsidRPr="00F209B7">
        <w:rPr>
          <w:sz w:val="20"/>
          <w:szCs w:val="20"/>
        </w:rPr>
        <w:t xml:space="preserve"> World Economic Forum (2016) Downloaded from http://www3.weforum.org/docs/gcr/2015-2016/GCI_Dataset_2006-2015.xlsx in September 2016</w:t>
      </w:r>
    </w:p>
    <w:p w14:paraId="75DF611A" w14:textId="58B1DA26" w:rsidR="002B78BA" w:rsidRPr="00F209B7" w:rsidRDefault="002B78BA" w:rsidP="00D66738">
      <w:pPr>
        <w:jc w:val="both"/>
        <w:rPr>
          <w:szCs w:val="24"/>
        </w:rPr>
      </w:pPr>
      <w:r w:rsidRPr="00F209B7">
        <w:rPr>
          <w:szCs w:val="24"/>
        </w:rPr>
        <w:t>GEM was established in 1999 as a joint project between Babson College (USA) and the London Business School (U</w:t>
      </w:r>
      <w:r w:rsidR="00557CFD">
        <w:rPr>
          <w:szCs w:val="24"/>
        </w:rPr>
        <w:t>K</w:t>
      </w:r>
      <w:r w:rsidRPr="00F209B7">
        <w:rPr>
          <w:szCs w:val="24"/>
        </w:rPr>
        <w:t xml:space="preserve">). The aim was to consider why some countries are more “entrepreneurial” than others. GEM is currently one of the most prominent entrepreneurship research databases. </w:t>
      </w:r>
    </w:p>
    <w:p w14:paraId="159D0AAC" w14:textId="77777777" w:rsidR="002B78BA" w:rsidRPr="00F209B7" w:rsidRDefault="002B78BA" w:rsidP="00D66738">
      <w:pPr>
        <w:jc w:val="both"/>
        <w:rPr>
          <w:szCs w:val="24"/>
        </w:rPr>
      </w:pPr>
      <w:r w:rsidRPr="00F209B7">
        <w:rPr>
          <w:szCs w:val="24"/>
        </w:rPr>
        <w:t xml:space="preserve">The GEM National Experts Survey captures expert judgements on specific national conditions pertaining to entrepreneurship. In contrast to the WEF Global Competitiveness Index which evaluates the economy as a whole, the GEM Survey focuses on factors or conditions that affect new business creation. The factors studied </w:t>
      </w:r>
      <w:proofErr w:type="gramStart"/>
      <w:r w:rsidRPr="00F209B7">
        <w:rPr>
          <w:szCs w:val="24"/>
        </w:rPr>
        <w:t>include:</w:t>
      </w:r>
      <w:proofErr w:type="gramEnd"/>
      <w:r w:rsidRPr="00F209B7">
        <w:rPr>
          <w:szCs w:val="24"/>
        </w:rPr>
        <w:t xml:space="preserve"> entrepreneurial </w:t>
      </w:r>
      <w:r w:rsidRPr="00F209B7">
        <w:rPr>
          <w:szCs w:val="24"/>
        </w:rPr>
        <w:lastRenderedPageBreak/>
        <w:t>financing, government policy, government entrepreneurship support programs, the quality of entrepreneurship education within the education system, R&amp;D transfer, commercial and legal infrastructure, entry regulation, market dynamism, physical infrastructure and cultural and social norms.</w:t>
      </w:r>
    </w:p>
    <w:p w14:paraId="44AF3570" w14:textId="77777777" w:rsidR="002B78BA" w:rsidRPr="00F209B7" w:rsidRDefault="002B78BA" w:rsidP="00D66738">
      <w:pPr>
        <w:jc w:val="both"/>
        <w:rPr>
          <w:szCs w:val="24"/>
        </w:rPr>
      </w:pPr>
      <w:r w:rsidRPr="00F209B7">
        <w:rPr>
          <w:szCs w:val="24"/>
        </w:rPr>
        <w:t>The GEM Survey found that the conditions for new businesses in South Africa improved from 2008 to 2015.  The experts surveyed contended that South Africa has good infrastructure and a quality banking system, but that major constraints include poor education, government bureaucracy, crime and labour laws.</w:t>
      </w:r>
    </w:p>
    <w:p w14:paraId="10A1D212" w14:textId="28C25E07" w:rsidR="002B78BA" w:rsidRPr="00E95CAE" w:rsidRDefault="00E95CAE" w:rsidP="00D66738">
      <w:pPr>
        <w:pStyle w:val="Caption"/>
        <w:jc w:val="both"/>
        <w:rPr>
          <w:szCs w:val="24"/>
        </w:rPr>
      </w:pPr>
      <w:bookmarkStart w:id="508" w:name="_Toc479845226"/>
      <w:bookmarkStart w:id="509" w:name="_Toc479940951"/>
      <w:r w:rsidRPr="00E95CAE">
        <w:t xml:space="preserve">Figure </w:t>
      </w:r>
      <w:fldSimple w:instr=" SEQ Figure \* ARABIC ">
        <w:r w:rsidR="005062E7">
          <w:rPr>
            <w:noProof/>
          </w:rPr>
          <w:t>9</w:t>
        </w:r>
      </w:fldSimple>
      <w:r w:rsidRPr="00E95CAE">
        <w:t xml:space="preserve">. </w:t>
      </w:r>
      <w:r w:rsidR="002B78BA" w:rsidRPr="00E95CAE">
        <w:rPr>
          <w:szCs w:val="24"/>
        </w:rPr>
        <w:t>GEM National Economic Survey, 2008 and 2015</w:t>
      </w:r>
      <w:bookmarkEnd w:id="508"/>
      <w:bookmarkEnd w:id="509"/>
    </w:p>
    <w:p w14:paraId="2B04C1D9" w14:textId="77777777" w:rsidR="002B78BA" w:rsidRPr="00F209B7" w:rsidRDefault="002B78BA" w:rsidP="00D66738">
      <w:pPr>
        <w:pStyle w:val="charts"/>
        <w:jc w:val="both"/>
      </w:pPr>
      <w:r w:rsidRPr="00F209B7">
        <w:rPr>
          <w:noProof/>
          <w:lang w:eastAsia="en-ZA"/>
        </w:rPr>
        <w:drawing>
          <wp:inline distT="0" distB="0" distL="0" distR="0" wp14:anchorId="2FA71B77" wp14:editId="38D5656B">
            <wp:extent cx="5448300" cy="31527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0" cy="3152775"/>
                    </a:xfrm>
                    <a:prstGeom prst="rect">
                      <a:avLst/>
                    </a:prstGeom>
                    <a:noFill/>
                    <a:ln>
                      <a:noFill/>
                    </a:ln>
                  </pic:spPr>
                </pic:pic>
              </a:graphicData>
            </a:graphic>
          </wp:inline>
        </w:drawing>
      </w:r>
      <w:r w:rsidRPr="00F209B7">
        <w:rPr>
          <w:i/>
        </w:rPr>
        <w:t xml:space="preserve"> </w:t>
      </w:r>
      <w:r w:rsidRPr="00F209B7">
        <w:rPr>
          <w:i/>
          <w:sz w:val="20"/>
          <w:szCs w:val="20"/>
        </w:rPr>
        <w:t xml:space="preserve">Source: </w:t>
      </w:r>
      <w:r w:rsidRPr="00F209B7">
        <w:rPr>
          <w:sz w:val="20"/>
          <w:szCs w:val="20"/>
        </w:rPr>
        <w:t>Global Entrepreneurship Monitor (2016) Downloaded from http://www.gemconsortium.org/data/sets in September 2016</w:t>
      </w:r>
    </w:p>
    <w:p w14:paraId="708D7C58" w14:textId="77777777" w:rsidR="002B78BA" w:rsidRPr="00F209B7" w:rsidRDefault="002B78BA" w:rsidP="00D66738">
      <w:pPr>
        <w:jc w:val="both"/>
        <w:rPr>
          <w:szCs w:val="24"/>
        </w:rPr>
      </w:pPr>
      <w:r w:rsidRPr="00F209B7">
        <w:rPr>
          <w:szCs w:val="24"/>
        </w:rPr>
        <w:t xml:space="preserve">In addition to these international benchmarking studies, there have been a number of national efforts to identify how regulations affect small business in South Africa.  Examples of these studies include the Economic Development Department’s (EDD) Regulatory Impediments Index (EDD, 2012) and the Small Business Project (SBP) 2012 </w:t>
      </w:r>
      <w:r w:rsidR="00B14897" w:rsidRPr="00F209B7">
        <w:rPr>
          <w:szCs w:val="24"/>
        </w:rPr>
        <w:t>small business</w:t>
      </w:r>
      <w:r w:rsidRPr="00F209B7">
        <w:rPr>
          <w:szCs w:val="24"/>
        </w:rPr>
        <w:t xml:space="preserve"> Growth Index (SBP, 2013).</w:t>
      </w:r>
    </w:p>
    <w:p w14:paraId="7EE825FD" w14:textId="77777777" w:rsidR="002B78BA" w:rsidRPr="00F209B7" w:rsidRDefault="002B78BA" w:rsidP="00D66738">
      <w:pPr>
        <w:jc w:val="both"/>
        <w:rPr>
          <w:szCs w:val="24"/>
        </w:rPr>
      </w:pPr>
      <w:r w:rsidRPr="00F209B7">
        <w:rPr>
          <w:szCs w:val="24"/>
        </w:rPr>
        <w:t xml:space="preserve">The 2012 Regulatory Impediments Index was commissioned by EDD and derived from a survey covering 107 </w:t>
      </w:r>
      <w:r w:rsidR="00B14897" w:rsidRPr="00F209B7">
        <w:rPr>
          <w:szCs w:val="24"/>
        </w:rPr>
        <w:t>small business</w:t>
      </w:r>
      <w:r w:rsidRPr="00F209B7">
        <w:rPr>
          <w:szCs w:val="24"/>
        </w:rPr>
        <w:t xml:space="preserve"> spread throughout South Africa. As demonstrated in the illustration below, the survey found that labour market constraints tend to be the most important indicator that limits business success. It was reported that small businesses found the existing labour laws to be too complex and punitive and that the complexity of dismissal procedures, specifically, renders the labour market inflexible (which in turn leads to repressive labour costs). The second most important factor was reported as trade and technical constraints. </w:t>
      </w:r>
      <w:r w:rsidR="00526175" w:rsidRPr="00F209B7">
        <w:rPr>
          <w:szCs w:val="24"/>
        </w:rPr>
        <w:t>Small</w:t>
      </w:r>
      <w:r w:rsidR="00B14897" w:rsidRPr="00F209B7">
        <w:rPr>
          <w:szCs w:val="24"/>
        </w:rPr>
        <w:t xml:space="preserve"> business</w:t>
      </w:r>
      <w:r w:rsidRPr="00F209B7">
        <w:rPr>
          <w:szCs w:val="24"/>
        </w:rPr>
        <w:t xml:space="preserve"> pointed to burdensome procedures required for compliance to standards and specifications. Respondents indicated that they struggled with a lack of information on how to comply with trade and technical standards set by government. </w:t>
      </w:r>
    </w:p>
    <w:p w14:paraId="2B065C03" w14:textId="7851338A" w:rsidR="002B78BA" w:rsidRPr="00E95CAE" w:rsidRDefault="00E95CAE" w:rsidP="00D66738">
      <w:pPr>
        <w:pStyle w:val="Caption"/>
        <w:jc w:val="both"/>
        <w:rPr>
          <w:szCs w:val="24"/>
        </w:rPr>
      </w:pPr>
      <w:bookmarkStart w:id="510" w:name="_Toc479845227"/>
      <w:bookmarkStart w:id="511" w:name="_Toc479940952"/>
      <w:r w:rsidRPr="00E95CAE">
        <w:lastRenderedPageBreak/>
        <w:t xml:space="preserve">Figure </w:t>
      </w:r>
      <w:fldSimple w:instr=" SEQ Figure \* ARABIC ">
        <w:r w:rsidR="005062E7">
          <w:rPr>
            <w:noProof/>
          </w:rPr>
          <w:t>10</w:t>
        </w:r>
      </w:fldSimple>
      <w:r w:rsidRPr="00E95CAE">
        <w:t xml:space="preserve">. </w:t>
      </w:r>
      <w:r w:rsidR="002B78BA" w:rsidRPr="00E95CAE">
        <w:rPr>
          <w:szCs w:val="24"/>
        </w:rPr>
        <w:t>Regulatory Impediments Index, 2012</w:t>
      </w:r>
      <w:bookmarkEnd w:id="510"/>
      <w:bookmarkEnd w:id="511"/>
    </w:p>
    <w:p w14:paraId="2E04B7BB" w14:textId="77777777" w:rsidR="002B78BA" w:rsidRPr="00F209B7" w:rsidRDefault="002B78BA" w:rsidP="00D66738">
      <w:pPr>
        <w:pStyle w:val="charts"/>
        <w:jc w:val="both"/>
      </w:pPr>
      <w:r w:rsidRPr="00F209B7">
        <w:rPr>
          <w:noProof/>
          <w:lang w:eastAsia="en-ZA"/>
        </w:rPr>
        <w:drawing>
          <wp:inline distT="0" distB="0" distL="0" distR="0" wp14:anchorId="6DA094C2" wp14:editId="4477BCFB">
            <wp:extent cx="5731510" cy="3444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444875"/>
                    </a:xfrm>
                    <a:prstGeom prst="rect">
                      <a:avLst/>
                    </a:prstGeom>
                  </pic:spPr>
                </pic:pic>
              </a:graphicData>
            </a:graphic>
          </wp:inline>
        </w:drawing>
      </w:r>
    </w:p>
    <w:p w14:paraId="06095635" w14:textId="77777777" w:rsidR="002B78BA" w:rsidRPr="00F209B7" w:rsidRDefault="002B78BA" w:rsidP="00D66738">
      <w:pPr>
        <w:pStyle w:val="source"/>
        <w:jc w:val="both"/>
      </w:pPr>
      <w:r w:rsidRPr="00F209B7">
        <w:rPr>
          <w:i/>
        </w:rPr>
        <w:t>Source:</w:t>
      </w:r>
      <w:r w:rsidRPr="00F209B7">
        <w:t xml:space="preserve"> Economic Development Department (2012)</w:t>
      </w:r>
    </w:p>
    <w:p w14:paraId="2F3CD77E" w14:textId="77777777" w:rsidR="002B78BA" w:rsidRPr="00F209B7" w:rsidRDefault="002B78BA" w:rsidP="00D66738">
      <w:pPr>
        <w:jc w:val="both"/>
        <w:rPr>
          <w:szCs w:val="24"/>
        </w:rPr>
      </w:pPr>
      <w:r w:rsidRPr="00F209B7">
        <w:rPr>
          <w:szCs w:val="24"/>
        </w:rPr>
        <w:t xml:space="preserve">The findings of the Regulatory Impediments Index were echoed in the </w:t>
      </w:r>
      <w:r w:rsidR="00B14897" w:rsidRPr="00F209B7">
        <w:rPr>
          <w:szCs w:val="24"/>
        </w:rPr>
        <w:t>small business</w:t>
      </w:r>
      <w:r w:rsidRPr="00F209B7">
        <w:rPr>
          <w:szCs w:val="24"/>
        </w:rPr>
        <w:t xml:space="preserve"> Growth Index. The </w:t>
      </w:r>
      <w:r w:rsidR="00B14897" w:rsidRPr="00F209B7">
        <w:rPr>
          <w:szCs w:val="24"/>
        </w:rPr>
        <w:t>small business</w:t>
      </w:r>
      <w:r w:rsidRPr="00F209B7">
        <w:rPr>
          <w:szCs w:val="24"/>
        </w:rPr>
        <w:t xml:space="preserve"> Growth Index is a longitudinal study tracking a sample of 500 </w:t>
      </w:r>
      <w:r w:rsidR="00B14897" w:rsidRPr="00F209B7">
        <w:rPr>
          <w:szCs w:val="24"/>
        </w:rPr>
        <w:t>small business</w:t>
      </w:r>
      <w:r w:rsidRPr="00F209B7">
        <w:rPr>
          <w:szCs w:val="24"/>
        </w:rPr>
        <w:t xml:space="preserve"> in manufacturing, business services and tourism from 2011 to 2013. It correlates </w:t>
      </w:r>
      <w:r w:rsidR="00B14897" w:rsidRPr="00F209B7">
        <w:rPr>
          <w:szCs w:val="24"/>
        </w:rPr>
        <w:t>small business</w:t>
      </w:r>
      <w:r w:rsidRPr="00F209B7">
        <w:rPr>
          <w:szCs w:val="24"/>
        </w:rPr>
        <w:t xml:space="preserve"> constraints on whether the </w:t>
      </w:r>
      <w:r w:rsidR="00B14897" w:rsidRPr="00F209B7">
        <w:rPr>
          <w:szCs w:val="24"/>
        </w:rPr>
        <w:t>small business</w:t>
      </w:r>
      <w:r w:rsidRPr="00F209B7">
        <w:rPr>
          <w:szCs w:val="24"/>
        </w:rPr>
        <w:t xml:space="preserve"> was growing or not in this period, as measured by increased employment.</w:t>
      </w:r>
    </w:p>
    <w:p w14:paraId="4C23C501" w14:textId="77777777" w:rsidR="002B78BA" w:rsidRPr="00F209B7" w:rsidRDefault="002B78BA" w:rsidP="00D66738">
      <w:pPr>
        <w:jc w:val="both"/>
        <w:rPr>
          <w:szCs w:val="24"/>
        </w:rPr>
      </w:pPr>
      <w:r w:rsidRPr="00F209B7">
        <w:rPr>
          <w:szCs w:val="24"/>
        </w:rPr>
        <w:t>Some 58% of the panel’s responses cited structural issues such as lack of skills, burdensome regulations, local economic conditions, a lack of finance and the cost of labour as inhibiting the growth of their firms. When asked to identify primary sources of regulatory burdens in 2013, 26% of panellists responded that SARS inefficiencies were the key issue. This included problems with paying refunds, resolving disputes and difficulties in obtaining tax clearance certificates were cited as a source of frustration. A further 19% of respondents raised labour regulation as a burden. Issues with labour regulations included problems relating to bargaining councils, the Commission for Conciliation, Medication and Arbitration (CCMA), Workman’s Compensation and so on. Finally, issues with municipal by-laws were also raised.</w:t>
      </w:r>
    </w:p>
    <w:p w14:paraId="1349951A" w14:textId="77777777" w:rsidR="002B78BA" w:rsidRPr="00F209B7" w:rsidRDefault="002B78BA" w:rsidP="00D66738">
      <w:pPr>
        <w:jc w:val="both"/>
        <w:rPr>
          <w:szCs w:val="24"/>
        </w:rPr>
      </w:pPr>
      <w:r w:rsidRPr="00F209B7">
        <w:rPr>
          <w:szCs w:val="24"/>
        </w:rPr>
        <w:t xml:space="preserve">Overall, the key challenge to the overall surveys on regulatory burdens on small business is that they require a significant amount of survey data to identify broad areas that impinge on </w:t>
      </w:r>
      <w:r w:rsidR="00B14897" w:rsidRPr="00F209B7">
        <w:rPr>
          <w:szCs w:val="24"/>
        </w:rPr>
        <w:t>small business</w:t>
      </w:r>
      <w:r w:rsidRPr="00F209B7">
        <w:rPr>
          <w:szCs w:val="24"/>
        </w:rPr>
        <w:t xml:space="preserve"> development. While that is an important first step, further research is required to prioritise specific constraints and to indicate concrete legal and procedural reforms. Furthermore, on a conceptual level, these surveys conflate structural factors such as the nature of the financial market with regulatory issues such as the nature of tax and labour laws. </w:t>
      </w:r>
    </w:p>
    <w:p w14:paraId="08E9C2D7" w14:textId="77777777" w:rsidR="002B78BA" w:rsidRPr="00F209B7" w:rsidRDefault="002B78BA" w:rsidP="00D66738">
      <w:pPr>
        <w:jc w:val="both"/>
      </w:pPr>
      <w:r w:rsidRPr="00F209B7">
        <w:t>That said, the overall survey literature does indicate that labour laws, tax laws and government bureaucracy in general constitute the most burdensome regulatory constraints on small business.</w:t>
      </w:r>
    </w:p>
    <w:p w14:paraId="0AE47505" w14:textId="77777777" w:rsidR="002B78BA" w:rsidRPr="00F209B7" w:rsidRDefault="002B78BA" w:rsidP="00D66738">
      <w:pPr>
        <w:pStyle w:val="Heading2"/>
        <w:numPr>
          <w:ilvl w:val="1"/>
          <w:numId w:val="126"/>
        </w:numPr>
        <w:ind w:left="0" w:firstLine="0"/>
        <w:jc w:val="both"/>
      </w:pPr>
      <w:bookmarkStart w:id="512" w:name="_Toc479843897"/>
      <w:bookmarkStart w:id="513" w:name="_Toc479844521"/>
      <w:bookmarkStart w:id="514" w:name="_Toc479940845"/>
      <w:r w:rsidRPr="00F209B7">
        <w:lastRenderedPageBreak/>
        <w:t>Quantifying the regulatory burden</w:t>
      </w:r>
      <w:bookmarkEnd w:id="512"/>
      <w:bookmarkEnd w:id="513"/>
      <w:bookmarkEnd w:id="514"/>
    </w:p>
    <w:p w14:paraId="7969FC28" w14:textId="77777777" w:rsidR="002B78BA" w:rsidRPr="00F209B7" w:rsidRDefault="002B78BA" w:rsidP="00D66738">
      <w:pPr>
        <w:jc w:val="both"/>
        <w:rPr>
          <w:szCs w:val="24"/>
        </w:rPr>
      </w:pPr>
      <w:r w:rsidRPr="00F209B7">
        <w:rPr>
          <w:szCs w:val="24"/>
        </w:rPr>
        <w:t xml:space="preserve">A number of studies have taken the regulatory burden issue further by attempting to quantify the cost of regulatory burdens to small business.  The </w:t>
      </w:r>
      <w:r w:rsidR="00B14897" w:rsidRPr="00F209B7">
        <w:rPr>
          <w:szCs w:val="24"/>
        </w:rPr>
        <w:t>small business</w:t>
      </w:r>
      <w:r w:rsidRPr="00F209B7">
        <w:rPr>
          <w:szCs w:val="24"/>
        </w:rPr>
        <w:t xml:space="preserve"> Growth Index, for instance, found that red tape for firms employing less than 50 employees can account for between 4% and 8% of turnover. The study reported that enterprises spent on average 75 hours a month dealing with red tape, or an equivalent of eight working days. Similarly, the SBP (2005) estimated that the total tax compliance costs for formal firms amounted to R20 billion in 2004. Another organisation, Upstart Business Strategies (2004), estimated that the total Value-Added Tax (VAT) compliance cost for </w:t>
      </w:r>
      <w:r w:rsidR="00B14897" w:rsidRPr="00F209B7">
        <w:rPr>
          <w:szCs w:val="24"/>
        </w:rPr>
        <w:t>small business</w:t>
      </w:r>
      <w:r w:rsidRPr="00F209B7">
        <w:rPr>
          <w:szCs w:val="24"/>
        </w:rPr>
        <w:t xml:space="preserve"> ranges between R6000 and R8000 annually.</w:t>
      </w:r>
    </w:p>
    <w:p w14:paraId="71FB8556" w14:textId="77777777" w:rsidR="002B78BA" w:rsidRPr="00F209B7" w:rsidRDefault="002B78BA" w:rsidP="00D66738">
      <w:pPr>
        <w:jc w:val="both"/>
        <w:rPr>
          <w:szCs w:val="24"/>
        </w:rPr>
      </w:pPr>
      <w:r w:rsidRPr="00F209B7">
        <w:rPr>
          <w:szCs w:val="24"/>
        </w:rPr>
        <w:t xml:space="preserve">There is no standard methodology for quantifying regulatory costs for small businesses. Still, a challenge with the literature on this topic is that the quantification is generally linearly additive. Studies aggregate time or resources spent in an activity without differentiating between once-off implementation costs, on-going compliance costs and costs that are integral to the desired outcome. In addition, not enough consideration is put on whether cost burdens on </w:t>
      </w:r>
      <w:r w:rsidR="00B14897" w:rsidRPr="00F209B7">
        <w:rPr>
          <w:szCs w:val="24"/>
        </w:rPr>
        <w:t>small business</w:t>
      </w:r>
      <w:r w:rsidRPr="00F209B7">
        <w:rPr>
          <w:szCs w:val="24"/>
        </w:rPr>
        <w:t xml:space="preserve"> may be offset by gains made by other stakeholders. </w:t>
      </w:r>
    </w:p>
    <w:p w14:paraId="5937295B" w14:textId="77777777" w:rsidR="002B78BA" w:rsidRPr="00F209B7" w:rsidRDefault="002B78BA" w:rsidP="00D66738">
      <w:pPr>
        <w:jc w:val="both"/>
        <w:rPr>
          <w:szCs w:val="24"/>
        </w:rPr>
      </w:pPr>
      <w:r w:rsidRPr="00F209B7">
        <w:rPr>
          <w:szCs w:val="24"/>
        </w:rPr>
        <w:t xml:space="preserve">A further challenge with these studies is that they generally only indicate the overall burden, without exploring the specific factors that contribute to it. As a result, it is difficult for policymakers to identify which procedures or requirements should be modified to reduce the regulatory burden. </w:t>
      </w:r>
    </w:p>
    <w:p w14:paraId="343A5E4D" w14:textId="77777777" w:rsidR="002B78BA" w:rsidRPr="00F209B7" w:rsidRDefault="002B78BA" w:rsidP="00D66738">
      <w:pPr>
        <w:pStyle w:val="Heading2"/>
        <w:numPr>
          <w:ilvl w:val="1"/>
          <w:numId w:val="126"/>
        </w:numPr>
        <w:ind w:left="0" w:firstLine="0"/>
        <w:jc w:val="both"/>
      </w:pPr>
      <w:bookmarkStart w:id="515" w:name="_Toc479843898"/>
      <w:bookmarkStart w:id="516" w:name="_Toc479844522"/>
      <w:bookmarkStart w:id="517" w:name="_Toc479940846"/>
      <w:r w:rsidRPr="00F209B7">
        <w:t>Proposed reforms</w:t>
      </w:r>
      <w:bookmarkEnd w:id="515"/>
      <w:bookmarkEnd w:id="516"/>
      <w:bookmarkEnd w:id="517"/>
    </w:p>
    <w:p w14:paraId="3E408C6F" w14:textId="77777777" w:rsidR="002B78BA" w:rsidRPr="00F209B7" w:rsidRDefault="002B78BA" w:rsidP="00D66738">
      <w:pPr>
        <w:jc w:val="both"/>
        <w:rPr>
          <w:szCs w:val="24"/>
        </w:rPr>
      </w:pPr>
      <w:r w:rsidRPr="00F209B7">
        <w:rPr>
          <w:szCs w:val="24"/>
        </w:rPr>
        <w:t>Lastly, some studies propose remedies to address the burden on small business in South Africa. The studies which focus on a specific sector or an area of regulation tend to generate the most useful recommendations for the purposes of the current project. Given that government bureaucracy in general, labour law and tax law were provided as the most burdensome, the literature review will assess studies that have proposed reforms to those regulations.</w:t>
      </w:r>
    </w:p>
    <w:p w14:paraId="653F3CAA" w14:textId="77777777" w:rsidR="002F7415" w:rsidRPr="002F7415" w:rsidRDefault="002F7415" w:rsidP="00D66738">
      <w:pPr>
        <w:pStyle w:val="ListParagraph"/>
        <w:keepNext/>
        <w:keepLines/>
        <w:numPr>
          <w:ilvl w:val="0"/>
          <w:numId w:val="124"/>
        </w:numPr>
        <w:spacing w:before="200"/>
        <w:jc w:val="both"/>
        <w:outlineLvl w:val="2"/>
        <w:rPr>
          <w:rFonts w:asciiTheme="majorHAnsi" w:eastAsiaTheme="majorEastAsia" w:hAnsiTheme="majorHAnsi" w:cstheme="majorBidi"/>
          <w:b/>
          <w:bCs/>
          <w:vanish/>
          <w:color w:val="1F497D" w:themeColor="text2"/>
        </w:rPr>
      </w:pPr>
      <w:bookmarkStart w:id="518" w:name="_Toc479849988"/>
      <w:bookmarkStart w:id="519" w:name="_Toc479850132"/>
      <w:bookmarkStart w:id="520" w:name="_Toc479853600"/>
      <w:bookmarkStart w:id="521" w:name="_Toc479853755"/>
      <w:bookmarkStart w:id="522" w:name="_Toc479862474"/>
      <w:bookmarkStart w:id="523" w:name="_Toc479864119"/>
      <w:bookmarkStart w:id="524" w:name="_Toc479939899"/>
      <w:bookmarkStart w:id="525" w:name="_Toc479940224"/>
      <w:bookmarkStart w:id="526" w:name="_Toc479940847"/>
      <w:bookmarkStart w:id="527" w:name="_Toc479843899"/>
      <w:bookmarkStart w:id="528" w:name="_Toc479844523"/>
      <w:bookmarkEnd w:id="518"/>
      <w:bookmarkEnd w:id="519"/>
      <w:bookmarkEnd w:id="520"/>
      <w:bookmarkEnd w:id="521"/>
      <w:bookmarkEnd w:id="522"/>
      <w:bookmarkEnd w:id="523"/>
      <w:bookmarkEnd w:id="524"/>
      <w:bookmarkEnd w:id="525"/>
      <w:bookmarkEnd w:id="526"/>
    </w:p>
    <w:p w14:paraId="1B56B69E" w14:textId="77777777" w:rsidR="002F7415" w:rsidRPr="002F7415" w:rsidRDefault="002F7415" w:rsidP="00D66738">
      <w:pPr>
        <w:pStyle w:val="ListParagraph"/>
        <w:keepNext/>
        <w:keepLines/>
        <w:numPr>
          <w:ilvl w:val="0"/>
          <w:numId w:val="124"/>
        </w:numPr>
        <w:spacing w:before="200"/>
        <w:jc w:val="both"/>
        <w:outlineLvl w:val="2"/>
        <w:rPr>
          <w:rFonts w:asciiTheme="majorHAnsi" w:eastAsiaTheme="majorEastAsia" w:hAnsiTheme="majorHAnsi" w:cstheme="majorBidi"/>
          <w:b/>
          <w:bCs/>
          <w:vanish/>
          <w:color w:val="1F497D" w:themeColor="text2"/>
        </w:rPr>
      </w:pPr>
      <w:bookmarkStart w:id="529" w:name="_Toc479849989"/>
      <w:bookmarkStart w:id="530" w:name="_Toc479850133"/>
      <w:bookmarkStart w:id="531" w:name="_Toc479853601"/>
      <w:bookmarkStart w:id="532" w:name="_Toc479853756"/>
      <w:bookmarkStart w:id="533" w:name="_Toc479862475"/>
      <w:bookmarkStart w:id="534" w:name="_Toc479864120"/>
      <w:bookmarkStart w:id="535" w:name="_Toc479939900"/>
      <w:bookmarkStart w:id="536" w:name="_Toc479940225"/>
      <w:bookmarkStart w:id="537" w:name="_Toc479940848"/>
      <w:bookmarkEnd w:id="529"/>
      <w:bookmarkEnd w:id="530"/>
      <w:bookmarkEnd w:id="531"/>
      <w:bookmarkEnd w:id="532"/>
      <w:bookmarkEnd w:id="533"/>
      <w:bookmarkEnd w:id="534"/>
      <w:bookmarkEnd w:id="535"/>
      <w:bookmarkEnd w:id="536"/>
      <w:bookmarkEnd w:id="537"/>
    </w:p>
    <w:p w14:paraId="24EF93D7" w14:textId="77777777" w:rsidR="002F7415" w:rsidRPr="002F7415" w:rsidRDefault="002F7415" w:rsidP="00D66738">
      <w:pPr>
        <w:pStyle w:val="ListParagraph"/>
        <w:keepNext/>
        <w:keepLines/>
        <w:numPr>
          <w:ilvl w:val="1"/>
          <w:numId w:val="124"/>
        </w:numPr>
        <w:spacing w:before="200"/>
        <w:jc w:val="both"/>
        <w:outlineLvl w:val="2"/>
        <w:rPr>
          <w:rFonts w:asciiTheme="majorHAnsi" w:eastAsiaTheme="majorEastAsia" w:hAnsiTheme="majorHAnsi" w:cstheme="majorBidi"/>
          <w:b/>
          <w:bCs/>
          <w:vanish/>
          <w:color w:val="1F497D" w:themeColor="text2"/>
        </w:rPr>
      </w:pPr>
      <w:bookmarkStart w:id="538" w:name="_Toc479849990"/>
      <w:bookmarkStart w:id="539" w:name="_Toc479850134"/>
      <w:bookmarkStart w:id="540" w:name="_Toc479853602"/>
      <w:bookmarkStart w:id="541" w:name="_Toc479853757"/>
      <w:bookmarkStart w:id="542" w:name="_Toc479862476"/>
      <w:bookmarkStart w:id="543" w:name="_Toc479864121"/>
      <w:bookmarkStart w:id="544" w:name="_Toc479939901"/>
      <w:bookmarkStart w:id="545" w:name="_Toc479940226"/>
      <w:bookmarkStart w:id="546" w:name="_Toc479940849"/>
      <w:bookmarkEnd w:id="538"/>
      <w:bookmarkEnd w:id="539"/>
      <w:bookmarkEnd w:id="540"/>
      <w:bookmarkEnd w:id="541"/>
      <w:bookmarkEnd w:id="542"/>
      <w:bookmarkEnd w:id="543"/>
      <w:bookmarkEnd w:id="544"/>
      <w:bookmarkEnd w:id="545"/>
      <w:bookmarkEnd w:id="546"/>
    </w:p>
    <w:p w14:paraId="4D585DB5" w14:textId="68A88B29" w:rsidR="002B78BA" w:rsidRPr="00F209B7" w:rsidRDefault="002B78BA" w:rsidP="00D66738">
      <w:pPr>
        <w:pStyle w:val="Heading3"/>
        <w:numPr>
          <w:ilvl w:val="2"/>
          <w:numId w:val="125"/>
        </w:numPr>
        <w:ind w:left="0" w:firstLine="0"/>
        <w:jc w:val="both"/>
      </w:pPr>
      <w:bookmarkStart w:id="547" w:name="_Toc479940850"/>
      <w:r w:rsidRPr="00F209B7">
        <w:t>Permits, registrations and reporting</w:t>
      </w:r>
      <w:bookmarkEnd w:id="527"/>
      <w:bookmarkEnd w:id="528"/>
      <w:bookmarkEnd w:id="547"/>
    </w:p>
    <w:p w14:paraId="520FCB5C" w14:textId="77777777" w:rsidR="002B78BA" w:rsidRPr="00F209B7" w:rsidRDefault="002B78BA" w:rsidP="00D66738">
      <w:pPr>
        <w:jc w:val="both"/>
        <w:rPr>
          <w:szCs w:val="24"/>
        </w:rPr>
      </w:pPr>
      <w:r w:rsidRPr="00F209B7">
        <w:rPr>
          <w:szCs w:val="24"/>
        </w:rPr>
        <w:t xml:space="preserve">It has been found that the time costs of obtaining operating licenses and permits may be more onerous on small businesses than the actual financial cost (SBP, 2014). The time required to deal with regulations as well as the cost of consultants to assist with compliance is reported as severe. Furthermore, amendments to regulations are often unpredictable, </w:t>
      </w:r>
    </w:p>
    <w:p w14:paraId="42F963C2" w14:textId="77777777" w:rsidR="002B78BA" w:rsidRPr="00F209B7" w:rsidRDefault="002B78BA" w:rsidP="00D66738">
      <w:pPr>
        <w:jc w:val="both"/>
        <w:rPr>
          <w:szCs w:val="24"/>
        </w:rPr>
      </w:pPr>
      <w:r w:rsidRPr="00F209B7">
        <w:rPr>
          <w:szCs w:val="24"/>
        </w:rPr>
        <w:t>Government’s response to these challenges was captured in the Department of Trade and Industry (2005) Review of Ten Years of Small Business Support in South Africa 1994 – 2004</w:t>
      </w:r>
      <w:r w:rsidRPr="00F209B7">
        <w:rPr>
          <w:rStyle w:val="FootnoteReference"/>
          <w:szCs w:val="24"/>
        </w:rPr>
        <w:footnoteReference w:id="6"/>
      </w:r>
      <w:r w:rsidRPr="00F209B7">
        <w:rPr>
          <w:szCs w:val="24"/>
        </w:rPr>
        <w:t xml:space="preserve"> (“10-year Review”) which made the following recommendations pertaining to reducing the administrative burdens on </w:t>
      </w:r>
      <w:r w:rsidR="00B14897" w:rsidRPr="00F209B7">
        <w:rPr>
          <w:szCs w:val="24"/>
        </w:rPr>
        <w:t>small business</w:t>
      </w:r>
      <w:r w:rsidRPr="00F209B7">
        <w:rPr>
          <w:szCs w:val="24"/>
        </w:rPr>
        <w:t>:</w:t>
      </w:r>
    </w:p>
    <w:p w14:paraId="7474F36C" w14:textId="77777777" w:rsidR="002B78BA" w:rsidRPr="00F209B7" w:rsidRDefault="002B78BA" w:rsidP="00D66738">
      <w:pPr>
        <w:pStyle w:val="ListParagraph"/>
        <w:numPr>
          <w:ilvl w:val="0"/>
          <w:numId w:val="74"/>
        </w:numPr>
        <w:jc w:val="both"/>
      </w:pPr>
      <w:r w:rsidRPr="00F209B7">
        <w:t>Simplify regulations;</w:t>
      </w:r>
    </w:p>
    <w:p w14:paraId="45AB704B" w14:textId="77777777" w:rsidR="002B78BA" w:rsidRPr="00F209B7" w:rsidRDefault="002B78BA" w:rsidP="00D66738">
      <w:pPr>
        <w:pStyle w:val="ListParagraph"/>
        <w:numPr>
          <w:ilvl w:val="0"/>
          <w:numId w:val="74"/>
        </w:numPr>
        <w:jc w:val="both"/>
      </w:pPr>
      <w:r w:rsidRPr="00F209B7">
        <w:t>Identify high priority regulations; and</w:t>
      </w:r>
    </w:p>
    <w:p w14:paraId="5CFFC30A" w14:textId="77777777" w:rsidR="002B78BA" w:rsidRPr="00F209B7" w:rsidRDefault="002B78BA" w:rsidP="00D66738">
      <w:pPr>
        <w:pStyle w:val="ListParagraph"/>
        <w:numPr>
          <w:ilvl w:val="0"/>
          <w:numId w:val="7"/>
        </w:numPr>
        <w:spacing w:after="160" w:line="259" w:lineRule="auto"/>
        <w:jc w:val="both"/>
        <w:rPr>
          <w:szCs w:val="24"/>
        </w:rPr>
      </w:pPr>
      <w:r w:rsidRPr="00F209B7">
        <w:rPr>
          <w:szCs w:val="24"/>
        </w:rPr>
        <w:lastRenderedPageBreak/>
        <w:t xml:space="preserve">Set up a mechanism for regulatory impact assessments. </w:t>
      </w:r>
    </w:p>
    <w:p w14:paraId="5AEA2FA5" w14:textId="77777777" w:rsidR="002B78BA" w:rsidRPr="00F209B7" w:rsidRDefault="002B78BA" w:rsidP="00D66738">
      <w:pPr>
        <w:jc w:val="both"/>
        <w:rPr>
          <w:szCs w:val="24"/>
        </w:rPr>
      </w:pPr>
      <w:r w:rsidRPr="00F209B7">
        <w:rPr>
          <w:szCs w:val="24"/>
        </w:rPr>
        <w:t xml:space="preserve">At national level it was also proposed that an inter-departmental consultative committee should be established to focus on small enterprise issues in order to help to accelerate progress and assess the potential impact of new legislation on small enterprises. </w:t>
      </w:r>
    </w:p>
    <w:p w14:paraId="6532C50D" w14:textId="77777777" w:rsidR="002B78BA" w:rsidRPr="00F209B7" w:rsidRDefault="002B78BA" w:rsidP="00D66738">
      <w:pPr>
        <w:jc w:val="both"/>
        <w:rPr>
          <w:szCs w:val="24"/>
        </w:rPr>
      </w:pPr>
      <w:r w:rsidRPr="00F209B7">
        <w:rPr>
          <w:szCs w:val="24"/>
        </w:rPr>
        <w:t>Following on these findings, the state initiated a number of measures to reduce the regulatory burden on small enterprise. In 2007, the government began to require Regulatory Impact Assessments (RIA) for new legislation and major regulations. RIA was not however implemented consistently. In 2014, the RIA process was replaced by the Socio-Economic Impact Assessment System (SEIAS), which has a focus on assessing costs and benefits of new regulation on a wider group of stakeholders, as well as identifying risks and proposing mitigation strategies for them. In addition, the CIPC initiated an online registration process for new business and SARS introduced a single registration process initiative. Both of these innovations aimed to reduce bureaucracy in registration and reporting.</w:t>
      </w:r>
    </w:p>
    <w:p w14:paraId="67BE6414" w14:textId="77777777" w:rsidR="002B78BA" w:rsidRPr="00F209B7" w:rsidRDefault="002B78BA" w:rsidP="00D66738">
      <w:pPr>
        <w:jc w:val="both"/>
        <w:rPr>
          <w:szCs w:val="24"/>
        </w:rPr>
      </w:pPr>
      <w:r w:rsidRPr="00F209B7">
        <w:rPr>
          <w:szCs w:val="24"/>
        </w:rPr>
        <w:t xml:space="preserve">The research into the burden on </w:t>
      </w:r>
      <w:r w:rsidR="00B14897" w:rsidRPr="00F209B7">
        <w:rPr>
          <w:szCs w:val="24"/>
        </w:rPr>
        <w:t>small business</w:t>
      </w:r>
      <w:r w:rsidRPr="00F209B7">
        <w:rPr>
          <w:szCs w:val="24"/>
        </w:rPr>
        <w:t xml:space="preserve"> of registration and reporting requirements could usefully be extended by:</w:t>
      </w:r>
    </w:p>
    <w:p w14:paraId="0E1243BD" w14:textId="77777777" w:rsidR="002B78BA" w:rsidRPr="00F209B7" w:rsidRDefault="002B78BA" w:rsidP="00D66738">
      <w:pPr>
        <w:pStyle w:val="ListParagraph"/>
        <w:numPr>
          <w:ilvl w:val="0"/>
          <w:numId w:val="10"/>
        </w:numPr>
        <w:spacing w:after="160" w:line="259" w:lineRule="auto"/>
        <w:jc w:val="both"/>
        <w:rPr>
          <w:szCs w:val="24"/>
        </w:rPr>
      </w:pPr>
      <w:r w:rsidRPr="00F209B7">
        <w:rPr>
          <w:szCs w:val="24"/>
        </w:rPr>
        <w:t>Establishing a more comprehensive list of the remaining requirements, at least at national level, taking into account the reforms and other changes in the regulatory framework, with proposals on how they can be consolidated and simplified; and</w:t>
      </w:r>
    </w:p>
    <w:p w14:paraId="6DBD4F6C" w14:textId="77777777" w:rsidR="002B78BA" w:rsidRPr="00F209B7" w:rsidRDefault="002B78BA" w:rsidP="00D66738">
      <w:pPr>
        <w:pStyle w:val="ListParagraph"/>
        <w:numPr>
          <w:ilvl w:val="0"/>
          <w:numId w:val="10"/>
        </w:numPr>
        <w:spacing w:after="160" w:line="259" w:lineRule="auto"/>
        <w:jc w:val="both"/>
        <w:rPr>
          <w:szCs w:val="24"/>
        </w:rPr>
      </w:pPr>
      <w:r w:rsidRPr="00F209B7">
        <w:rPr>
          <w:szCs w:val="24"/>
        </w:rPr>
        <w:t xml:space="preserve">An assessment of whether technical support would enable small business to reduce the burden of compliance. </w:t>
      </w:r>
    </w:p>
    <w:p w14:paraId="129CD10E" w14:textId="77777777" w:rsidR="002B78BA" w:rsidRPr="00F209B7" w:rsidRDefault="002B78BA" w:rsidP="00D66738">
      <w:pPr>
        <w:pStyle w:val="Heading3"/>
        <w:numPr>
          <w:ilvl w:val="2"/>
          <w:numId w:val="125"/>
        </w:numPr>
        <w:ind w:left="0" w:firstLine="0"/>
        <w:jc w:val="both"/>
      </w:pPr>
      <w:bookmarkStart w:id="548" w:name="_Toc479843900"/>
      <w:bookmarkStart w:id="549" w:name="_Toc479844524"/>
      <w:bookmarkStart w:id="550" w:name="_Toc479940851"/>
      <w:r w:rsidRPr="00F209B7">
        <w:t>Labour laws</w:t>
      </w:r>
      <w:bookmarkEnd w:id="548"/>
      <w:bookmarkEnd w:id="549"/>
      <w:bookmarkEnd w:id="550"/>
    </w:p>
    <w:p w14:paraId="250CD271" w14:textId="77777777" w:rsidR="002B78BA" w:rsidRPr="00F209B7" w:rsidRDefault="002B78BA" w:rsidP="00D66738">
      <w:pPr>
        <w:jc w:val="both"/>
        <w:rPr>
          <w:szCs w:val="24"/>
        </w:rPr>
      </w:pPr>
      <w:r w:rsidRPr="00F209B7">
        <w:rPr>
          <w:szCs w:val="24"/>
        </w:rPr>
        <w:t xml:space="preserve">As the broader surveys analysed in section 3.1 indicated, South Africa’s labour market conditions have been consistently been characterised by surveys of small business as burdensome on the ability of </w:t>
      </w:r>
      <w:r w:rsidR="00B14897" w:rsidRPr="00F209B7">
        <w:rPr>
          <w:szCs w:val="24"/>
        </w:rPr>
        <w:t>small business</w:t>
      </w:r>
      <w:r w:rsidRPr="00F209B7">
        <w:rPr>
          <w:szCs w:val="24"/>
        </w:rPr>
        <w:t xml:space="preserve"> to create employment. Labour relations in South Africa are defined primarily by the Labour Relations Act (LRA), the Basic Conditions and Employment Act (BCEA), the Employment Equity Act (EEA) and the Occupational Health and Safety Act (OHSA). For small business, critical issues are</w:t>
      </w:r>
    </w:p>
    <w:p w14:paraId="77F1F00C" w14:textId="77777777" w:rsidR="002B78BA" w:rsidRPr="00F209B7" w:rsidRDefault="002B78BA" w:rsidP="00D66738">
      <w:pPr>
        <w:pStyle w:val="ListParagraph"/>
        <w:numPr>
          <w:ilvl w:val="0"/>
          <w:numId w:val="11"/>
        </w:numPr>
        <w:spacing w:after="160" w:line="259" w:lineRule="auto"/>
        <w:jc w:val="both"/>
        <w:rPr>
          <w:szCs w:val="24"/>
        </w:rPr>
      </w:pPr>
      <w:r w:rsidRPr="00F209B7">
        <w:rPr>
          <w:szCs w:val="24"/>
        </w:rPr>
        <w:t>The extension of Bargaining Council agreements,</w:t>
      </w:r>
    </w:p>
    <w:p w14:paraId="1792E2A4" w14:textId="77777777" w:rsidR="002B78BA" w:rsidRPr="00F209B7" w:rsidRDefault="002B78BA" w:rsidP="00D66738">
      <w:pPr>
        <w:pStyle w:val="ListParagraph"/>
        <w:numPr>
          <w:ilvl w:val="0"/>
          <w:numId w:val="11"/>
        </w:numPr>
        <w:spacing w:after="160" w:line="259" w:lineRule="auto"/>
        <w:jc w:val="both"/>
        <w:rPr>
          <w:szCs w:val="24"/>
        </w:rPr>
      </w:pPr>
      <w:r w:rsidRPr="00F209B7">
        <w:rPr>
          <w:szCs w:val="24"/>
        </w:rPr>
        <w:t>The time required for dispute settlement procedures,</w:t>
      </w:r>
    </w:p>
    <w:p w14:paraId="790D5ECE" w14:textId="77777777" w:rsidR="002B78BA" w:rsidRPr="00F209B7" w:rsidRDefault="002B78BA" w:rsidP="00D66738">
      <w:pPr>
        <w:pStyle w:val="ListParagraph"/>
        <w:numPr>
          <w:ilvl w:val="0"/>
          <w:numId w:val="11"/>
        </w:numPr>
        <w:spacing w:after="160" w:line="259" w:lineRule="auto"/>
        <w:jc w:val="both"/>
        <w:rPr>
          <w:szCs w:val="24"/>
        </w:rPr>
      </w:pPr>
      <w:r w:rsidRPr="00F209B7">
        <w:rPr>
          <w:szCs w:val="24"/>
        </w:rPr>
        <w:t>The procedural requirements for disciplinary and productivity dismissals (retrenchments are substantially easier and faster), and</w:t>
      </w:r>
    </w:p>
    <w:p w14:paraId="10FAEBA4" w14:textId="77777777" w:rsidR="002B78BA" w:rsidRPr="00F209B7" w:rsidRDefault="002B78BA" w:rsidP="00D66738">
      <w:pPr>
        <w:pStyle w:val="ListParagraph"/>
        <w:numPr>
          <w:ilvl w:val="0"/>
          <w:numId w:val="11"/>
        </w:numPr>
        <w:spacing w:after="160" w:line="259" w:lineRule="auto"/>
        <w:jc w:val="both"/>
        <w:rPr>
          <w:szCs w:val="24"/>
        </w:rPr>
      </w:pPr>
      <w:r w:rsidRPr="00F209B7">
        <w:rPr>
          <w:szCs w:val="24"/>
        </w:rPr>
        <w:t xml:space="preserve">The minimum standards set in the BCEA around wage determinations, paid leave, overtime and retrenchment pay. </w:t>
      </w:r>
    </w:p>
    <w:p w14:paraId="052EAE26" w14:textId="77777777" w:rsidR="002B78BA" w:rsidRPr="00F209B7" w:rsidRDefault="002B78BA" w:rsidP="00D66738">
      <w:pPr>
        <w:jc w:val="both"/>
        <w:rPr>
          <w:szCs w:val="24"/>
        </w:rPr>
      </w:pPr>
      <w:r w:rsidRPr="00F209B7">
        <w:rPr>
          <w:szCs w:val="24"/>
        </w:rPr>
        <w:t xml:space="preserve">The 1995 White Paper on National Strategy for the Development and Promotion of Small Business in South Africa (“the White Paper”) acknowledged the perceived tension between the interests of employers and labour, particularly for </w:t>
      </w:r>
      <w:r w:rsidR="00B14897" w:rsidRPr="00F209B7">
        <w:rPr>
          <w:szCs w:val="24"/>
        </w:rPr>
        <w:t>small business</w:t>
      </w:r>
      <w:r w:rsidRPr="00F209B7">
        <w:rPr>
          <w:szCs w:val="24"/>
        </w:rPr>
        <w:t xml:space="preserve"> where employers may need lower wage costs in order to compete with larger enterprises. It was also acknowledged that institutions governing labour relations are viewed as increasing the cost of labour and lowering the competitiveness of </w:t>
      </w:r>
      <w:r w:rsidR="00B14897" w:rsidRPr="00F209B7">
        <w:rPr>
          <w:szCs w:val="24"/>
        </w:rPr>
        <w:t>small business</w:t>
      </w:r>
      <w:r w:rsidRPr="00F209B7">
        <w:rPr>
          <w:szCs w:val="24"/>
        </w:rPr>
        <w:t xml:space="preserve">. </w:t>
      </w:r>
    </w:p>
    <w:p w14:paraId="6ADBAACA" w14:textId="77777777" w:rsidR="002B78BA" w:rsidRPr="00F209B7" w:rsidRDefault="002B78BA" w:rsidP="00D66738">
      <w:pPr>
        <w:jc w:val="both"/>
        <w:rPr>
          <w:szCs w:val="24"/>
        </w:rPr>
      </w:pPr>
      <w:r w:rsidRPr="00F209B7">
        <w:rPr>
          <w:szCs w:val="24"/>
        </w:rPr>
        <w:lastRenderedPageBreak/>
        <w:t xml:space="preserve">The White Paper, however, firmly asserted that established labour laws were in place in the interests of equity and that employers and workers should seek a more participatory and collaborative relationship. The White Paper proposed regulated flexibility of the labour market and simplicity in the collective bargaining process. Instead of exemptions from collective agreements or creating a dual labour system, the White Paper recommended that industrial councils should rather become more representative of all constituents in an industry, including </w:t>
      </w:r>
      <w:r w:rsidR="00B14897" w:rsidRPr="00F209B7">
        <w:rPr>
          <w:szCs w:val="24"/>
        </w:rPr>
        <w:t>small business</w:t>
      </w:r>
      <w:r w:rsidRPr="00F209B7">
        <w:rPr>
          <w:szCs w:val="24"/>
        </w:rPr>
        <w:t>. The White Paper affirmed the need for basic standards in the treatment of labour even if enterprises operate outside of collective bargaining regimes.</w:t>
      </w:r>
    </w:p>
    <w:p w14:paraId="0833F010" w14:textId="77777777" w:rsidR="002B78BA" w:rsidRPr="00F209B7" w:rsidRDefault="00B14897" w:rsidP="00D66738">
      <w:pPr>
        <w:jc w:val="both"/>
        <w:rPr>
          <w:szCs w:val="24"/>
        </w:rPr>
      </w:pPr>
      <w:r w:rsidRPr="00F209B7">
        <w:rPr>
          <w:szCs w:val="24"/>
        </w:rPr>
        <w:t xml:space="preserve">The Presidency’s Ten </w:t>
      </w:r>
      <w:r w:rsidR="002B78BA" w:rsidRPr="00F209B7">
        <w:rPr>
          <w:szCs w:val="24"/>
        </w:rPr>
        <w:t xml:space="preserve">Year Review reaffirmed the continuing tension between small-scale entrepreneurs on the one hand, who often view minimum labour standards as costly and detrimental to competitiveness, and workers on the other hand, who seek improved remuneration levels and general employment conditions. The 10-Year Review noted that more inclusive negotiations systems would alleviate some of these contradictions, but they could also lead to slower negotiation processes. Moreover, in practice large businesses often have more capacity for negotiations and therefore effectively determine the outcomes. </w:t>
      </w:r>
    </w:p>
    <w:p w14:paraId="4B8D3FD9" w14:textId="77777777" w:rsidR="002B78BA" w:rsidRPr="00F209B7" w:rsidRDefault="002B78BA" w:rsidP="00D66738">
      <w:pPr>
        <w:jc w:val="both"/>
        <w:rPr>
          <w:szCs w:val="24"/>
        </w:rPr>
      </w:pPr>
      <w:r w:rsidRPr="00F209B7">
        <w:rPr>
          <w:szCs w:val="24"/>
        </w:rPr>
        <w:t xml:space="preserve">A paper by Rankin in the 2005/6 National Regulatory Review for Small Businesses commissioned by Presidency investigated the specific impacts of the LRA on </w:t>
      </w:r>
      <w:r w:rsidR="00B14897" w:rsidRPr="00F209B7">
        <w:rPr>
          <w:szCs w:val="24"/>
        </w:rPr>
        <w:t>small business</w:t>
      </w:r>
      <w:r w:rsidRPr="00F209B7">
        <w:rPr>
          <w:szCs w:val="24"/>
        </w:rPr>
        <w:t xml:space="preserve">. The paper found that the concept of regulated flexibility in labour relations had not taken full effect. The paper argued that both hiring and disciplinary measures short of dismissals should be regulated by collective bargaining or structured worker participation processes rather than going through the courts, and that the procedural requirements for dismissals by small business should be simplified. It also argued that basic conditions of employment should be negotiated at sectoral level rather than being subject to national legislation. </w:t>
      </w:r>
    </w:p>
    <w:p w14:paraId="04D73DDB" w14:textId="77777777" w:rsidR="002B78BA" w:rsidRPr="00F209B7" w:rsidRDefault="002B78BA" w:rsidP="00D66738">
      <w:pPr>
        <w:jc w:val="both"/>
        <w:rPr>
          <w:szCs w:val="24"/>
        </w:rPr>
      </w:pPr>
      <w:r w:rsidRPr="00F209B7">
        <w:rPr>
          <w:szCs w:val="24"/>
        </w:rPr>
        <w:t xml:space="preserve">A paper by Benjamin and Gruel in the 2005/6 Regulatory Review attempted to assess the efficiency of CCMA processes. This analysis was not definitive regarding the efficacy of CCMA procedures but did raise two points: 1) that there are stark variations in patterns of dispute referrals and determinations on the basis of sectors and regions, and 2) that the CCMA was not living up to its envisaged mandate of providing a simplified, non-legalistic, non-jurisdictional dispute resolution mechanism and the rising level of </w:t>
      </w:r>
      <w:r w:rsidRPr="00F209B7">
        <w:rPr>
          <w:i/>
          <w:szCs w:val="24"/>
        </w:rPr>
        <w:t xml:space="preserve">in </w:t>
      </w:r>
      <w:proofErr w:type="spellStart"/>
      <w:r w:rsidRPr="00F209B7">
        <w:rPr>
          <w:i/>
          <w:szCs w:val="24"/>
        </w:rPr>
        <w:t>limine</w:t>
      </w:r>
      <w:proofErr w:type="spellEnd"/>
      <w:r w:rsidRPr="00F209B7">
        <w:rPr>
          <w:szCs w:val="24"/>
        </w:rPr>
        <w:t xml:space="preserve"> and rescission applications</w:t>
      </w:r>
      <w:r w:rsidRPr="00F209B7">
        <w:rPr>
          <w:rStyle w:val="FootnoteReference"/>
          <w:szCs w:val="24"/>
        </w:rPr>
        <w:footnoteReference w:id="7"/>
      </w:r>
      <w:r w:rsidRPr="00F209B7">
        <w:rPr>
          <w:szCs w:val="24"/>
        </w:rPr>
        <w:t xml:space="preserve"> was indicative of this. An analysis conducted by the Small Business Project (SBP, 2013) showed that firms employing less than 50 employees spent 11 staff days on average per case at the CCMA.</w:t>
      </w:r>
    </w:p>
    <w:p w14:paraId="506C9BC0" w14:textId="77777777" w:rsidR="002B78BA" w:rsidRPr="00F209B7" w:rsidRDefault="002B78BA" w:rsidP="00D66738">
      <w:pPr>
        <w:jc w:val="both"/>
        <w:rPr>
          <w:szCs w:val="24"/>
        </w:rPr>
      </w:pPr>
      <w:r w:rsidRPr="00F209B7">
        <w:rPr>
          <w:szCs w:val="24"/>
        </w:rPr>
        <w:t xml:space="preserve">In summary, the existing research indicates that there is an ongoing tension between affirming the rights of workers and mitigating the regulatory burden on </w:t>
      </w:r>
      <w:r w:rsidR="00B14897" w:rsidRPr="00F209B7">
        <w:rPr>
          <w:szCs w:val="24"/>
        </w:rPr>
        <w:t>small business</w:t>
      </w:r>
      <w:r w:rsidRPr="00F209B7">
        <w:rPr>
          <w:szCs w:val="24"/>
        </w:rPr>
        <w:t xml:space="preserve">. The state has been firm that a dual labour market is not desirable. A more detailed analysis would help determine how the burden on small business can be reduced without undermining workers’ rights and job security. </w:t>
      </w:r>
    </w:p>
    <w:p w14:paraId="71A0007F" w14:textId="77777777" w:rsidR="002B78BA" w:rsidRPr="00F209B7" w:rsidRDefault="002B78BA" w:rsidP="00D66738">
      <w:pPr>
        <w:pStyle w:val="Heading3"/>
        <w:numPr>
          <w:ilvl w:val="2"/>
          <w:numId w:val="125"/>
        </w:numPr>
        <w:ind w:left="0" w:firstLine="0"/>
        <w:jc w:val="both"/>
      </w:pPr>
      <w:bookmarkStart w:id="551" w:name="_Toc479843901"/>
      <w:bookmarkStart w:id="552" w:name="_Toc479844525"/>
      <w:bookmarkStart w:id="553" w:name="_Toc479940852"/>
      <w:r w:rsidRPr="00F209B7">
        <w:t>Taxation</w:t>
      </w:r>
      <w:bookmarkEnd w:id="551"/>
      <w:bookmarkEnd w:id="552"/>
      <w:bookmarkEnd w:id="553"/>
      <w:r w:rsidRPr="00F209B7">
        <w:t xml:space="preserve"> </w:t>
      </w:r>
    </w:p>
    <w:p w14:paraId="223FE99F" w14:textId="77777777" w:rsidR="002B78BA" w:rsidRPr="00F209B7" w:rsidRDefault="002B78BA" w:rsidP="00D66738">
      <w:pPr>
        <w:jc w:val="both"/>
        <w:rPr>
          <w:szCs w:val="24"/>
        </w:rPr>
      </w:pPr>
      <w:r w:rsidRPr="00F209B7">
        <w:rPr>
          <w:szCs w:val="24"/>
        </w:rPr>
        <w:t xml:space="preserve">The White Paper deemed the differentiation of South Africa’s tax rates and other incentives an important tool to promote small enterprises. It asserted that a reduction in the tax burden on small business would encourage reinvestment of profits, ultimately encouraging </w:t>
      </w:r>
      <w:r w:rsidRPr="00F209B7">
        <w:rPr>
          <w:szCs w:val="24"/>
        </w:rPr>
        <w:lastRenderedPageBreak/>
        <w:t xml:space="preserve">growth. The White Paper deferred to the Katz Commission on Tax Reform, which was underway in 1994, to formulate recommendations on this matter. The Katz Commission in turn proposed turnover thresholds for company tax and VAT registration that would immunise small businesses from the tax burden. This differentiated tax regime has held ever since; the floor for VAT registration is now R1 million. </w:t>
      </w:r>
    </w:p>
    <w:p w14:paraId="08F23861" w14:textId="2812D09B" w:rsidR="002B78BA" w:rsidRPr="00F209B7" w:rsidRDefault="002B78BA" w:rsidP="00D66738">
      <w:pPr>
        <w:jc w:val="both"/>
        <w:rPr>
          <w:szCs w:val="24"/>
        </w:rPr>
      </w:pPr>
      <w:r w:rsidRPr="00F209B7">
        <w:rPr>
          <w:szCs w:val="24"/>
        </w:rPr>
        <w:t>More recently, the Davis Tax Commission (</w:t>
      </w:r>
      <w:r w:rsidR="00E74EF9">
        <w:rPr>
          <w:szCs w:val="24"/>
        </w:rPr>
        <w:t xml:space="preserve">DTC </w:t>
      </w:r>
      <w:r w:rsidRPr="00F209B7">
        <w:rPr>
          <w:szCs w:val="24"/>
        </w:rPr>
        <w:t>2014, 2016) was mandated to assess South Africa’s tax policy framework and its role in supporting the objectives of inclusive growth, employment, development and fiscal sustainability. The Commission has published an analysis of the impact of taxes on small business. In particular, it reviewed the turnover tax thresholds and compulsory VAT registration thresholds and affirmed its satisfaction with them as they stand. It was noted that the VAT registration thresholds compare favourably to international standards and there does not appear to be any justification for raising it further.</w:t>
      </w:r>
    </w:p>
    <w:p w14:paraId="4F699CE1" w14:textId="77777777" w:rsidR="002B78BA" w:rsidRPr="00F209B7" w:rsidRDefault="002B78BA" w:rsidP="00D66738">
      <w:pPr>
        <w:jc w:val="both"/>
        <w:rPr>
          <w:szCs w:val="24"/>
        </w:rPr>
      </w:pPr>
      <w:r w:rsidRPr="00F209B7">
        <w:rPr>
          <w:szCs w:val="24"/>
        </w:rPr>
        <w:t xml:space="preserve">The Commission went further to note that enterprises had the flexibility of registering as a sole trader or a small business corporation in terms of the Income Tax Act in order to be subjected to differentiated taxation. In addition, the position of a taxpayer vis-a-vis the threshold is reviewed annually, so that </w:t>
      </w:r>
      <w:r w:rsidR="00B14897" w:rsidRPr="00F209B7">
        <w:rPr>
          <w:szCs w:val="24"/>
        </w:rPr>
        <w:t>small business</w:t>
      </w:r>
      <w:r w:rsidRPr="00F209B7">
        <w:rPr>
          <w:szCs w:val="24"/>
        </w:rPr>
        <w:t xml:space="preserve"> that experience a fall in turnover would automatically be exempt. </w:t>
      </w:r>
    </w:p>
    <w:p w14:paraId="21B4540F" w14:textId="77777777" w:rsidR="002B78BA" w:rsidRPr="00F209B7" w:rsidRDefault="002B78BA" w:rsidP="00D66738">
      <w:pPr>
        <w:jc w:val="both"/>
        <w:rPr>
          <w:szCs w:val="24"/>
        </w:rPr>
      </w:pPr>
      <w:r w:rsidRPr="00F209B7">
        <w:rPr>
          <w:szCs w:val="24"/>
        </w:rPr>
        <w:t xml:space="preserve">The Commission has raised concerns with the tax system for registered small business corporations. It is argued that is has become ineffective as it largely benefits service-related small business (such as financial, education, real estate, medical and veterinary services). In contrast, the system was intended to benefit emerging businesses or to assist ailing enterprises in an assessed loss position. Similarly, the Commission proposed reforms to the Skills Development Levy, arguing that it has effectively benefited larger companies at the cost of </w:t>
      </w:r>
      <w:r w:rsidR="00B14897" w:rsidRPr="00F209B7">
        <w:rPr>
          <w:szCs w:val="24"/>
        </w:rPr>
        <w:t>small business</w:t>
      </w:r>
      <w:r w:rsidRPr="00F209B7">
        <w:rPr>
          <w:szCs w:val="24"/>
        </w:rPr>
        <w:t xml:space="preserve">, because </w:t>
      </w:r>
      <w:r w:rsidR="00B14897" w:rsidRPr="00F209B7">
        <w:rPr>
          <w:szCs w:val="24"/>
        </w:rPr>
        <w:t>small business</w:t>
      </w:r>
      <w:r w:rsidRPr="00F209B7">
        <w:rPr>
          <w:szCs w:val="24"/>
        </w:rPr>
        <w:t xml:space="preserve"> typically do not claim funding back for skills development. With regard to incentives, the Commission noted the tax deductions for small business funding entities and for venture capital companies.</w:t>
      </w:r>
    </w:p>
    <w:p w14:paraId="1E0981A4" w14:textId="088D1E21" w:rsidR="002B78BA" w:rsidRPr="00F209B7" w:rsidRDefault="002B78BA" w:rsidP="00D66738">
      <w:pPr>
        <w:jc w:val="both"/>
        <w:rPr>
          <w:szCs w:val="24"/>
        </w:rPr>
      </w:pPr>
      <w:r w:rsidRPr="00F209B7">
        <w:rPr>
          <w:szCs w:val="24"/>
        </w:rPr>
        <w:t xml:space="preserve">The Commission did not however comprehensively address the challenges that micro businesses or cooperatives may face in regard to tax administration. </w:t>
      </w:r>
      <w:r w:rsidR="00911994" w:rsidRPr="00F209B7">
        <w:rPr>
          <w:szCs w:val="24"/>
        </w:rPr>
        <w:t>Typically,</w:t>
      </w:r>
      <w:r w:rsidRPr="00F209B7">
        <w:rPr>
          <w:szCs w:val="24"/>
        </w:rPr>
        <w:t xml:space="preserve"> micro businesses struggle with registration and keeping up to date with tax payments. The Commission only noted that the South African Revenue Service (SARS) has recently established 138 small business desks at branches countrywide to service taxpayers who operate small and micro enterprises and that further initiatives for these enterprises were part the SARS strategy.</w:t>
      </w:r>
    </w:p>
    <w:p w14:paraId="6DBF4146" w14:textId="77777777" w:rsidR="002B78BA" w:rsidRPr="00F209B7" w:rsidRDefault="002B78BA" w:rsidP="00D66738">
      <w:pPr>
        <w:jc w:val="both"/>
        <w:rPr>
          <w:szCs w:val="24"/>
        </w:rPr>
      </w:pPr>
      <w:r w:rsidRPr="00F209B7">
        <w:rPr>
          <w:szCs w:val="24"/>
        </w:rPr>
        <w:t xml:space="preserve">In sum, the analysis by the Davis Tax Commission suggested that that, with the exception of a few parts of the tax codes, the taxation system has been reformed substantially to reduce the burden on small businesses. The Commission noted improvements that have been made with regard to making tax compliance more accessible but acknowledged that more work can be done on assessing the taxation burdens on micro-businesses and cooperatives. </w:t>
      </w:r>
    </w:p>
    <w:p w14:paraId="5D380C52" w14:textId="77777777" w:rsidR="002B78BA" w:rsidRPr="00F209B7" w:rsidRDefault="002B78BA" w:rsidP="00D66738">
      <w:pPr>
        <w:pStyle w:val="Heading2"/>
        <w:numPr>
          <w:ilvl w:val="1"/>
          <w:numId w:val="126"/>
        </w:numPr>
        <w:ind w:left="0" w:firstLine="0"/>
        <w:jc w:val="both"/>
      </w:pPr>
      <w:bookmarkStart w:id="554" w:name="_Toc479843902"/>
      <w:bookmarkStart w:id="555" w:name="_Toc479844526"/>
      <w:bookmarkStart w:id="556" w:name="_Toc479940853"/>
      <w:r w:rsidRPr="00F209B7">
        <w:t>Conclusions and implications for research</w:t>
      </w:r>
      <w:bookmarkEnd w:id="554"/>
      <w:bookmarkEnd w:id="555"/>
      <w:bookmarkEnd w:id="556"/>
    </w:p>
    <w:p w14:paraId="4A3D8339" w14:textId="77777777" w:rsidR="002B78BA" w:rsidRPr="00F209B7" w:rsidRDefault="002B78BA" w:rsidP="00D66738">
      <w:pPr>
        <w:jc w:val="both"/>
        <w:rPr>
          <w:szCs w:val="24"/>
        </w:rPr>
      </w:pPr>
      <w:r w:rsidRPr="00F209B7">
        <w:rPr>
          <w:szCs w:val="24"/>
        </w:rPr>
        <w:t xml:space="preserve">In conclusion, the studies on </w:t>
      </w:r>
      <w:r w:rsidR="00B14897" w:rsidRPr="00F209B7">
        <w:rPr>
          <w:szCs w:val="24"/>
        </w:rPr>
        <w:t>small business</w:t>
      </w:r>
      <w:r w:rsidRPr="00F209B7">
        <w:rPr>
          <w:szCs w:val="24"/>
        </w:rPr>
        <w:t xml:space="preserve"> regulatory burdens have sought to identify constraints to </w:t>
      </w:r>
      <w:r w:rsidR="00B14897" w:rsidRPr="00F209B7">
        <w:rPr>
          <w:szCs w:val="24"/>
        </w:rPr>
        <w:t>small business</w:t>
      </w:r>
      <w:r w:rsidRPr="00F209B7">
        <w:rPr>
          <w:szCs w:val="24"/>
        </w:rPr>
        <w:t xml:space="preserve"> growth and development, quantify the cost of regulatory burdens and propose fairly broad remedies to alleviate the structural and regulatory burdens on </w:t>
      </w:r>
      <w:r w:rsidR="00B14897" w:rsidRPr="00F209B7">
        <w:rPr>
          <w:szCs w:val="24"/>
        </w:rPr>
        <w:t>small business</w:t>
      </w:r>
      <w:r w:rsidRPr="00F209B7">
        <w:rPr>
          <w:szCs w:val="24"/>
        </w:rPr>
        <w:t>. The studies point to the following key findings:</w:t>
      </w:r>
    </w:p>
    <w:p w14:paraId="34E00EF4" w14:textId="021874A3" w:rsidR="002B78BA" w:rsidRPr="00F209B7" w:rsidRDefault="002B78BA" w:rsidP="00D66738">
      <w:pPr>
        <w:pStyle w:val="ListParagraph"/>
        <w:numPr>
          <w:ilvl w:val="0"/>
          <w:numId w:val="9"/>
        </w:numPr>
        <w:spacing w:after="160" w:line="259" w:lineRule="auto"/>
        <w:jc w:val="both"/>
        <w:rPr>
          <w:szCs w:val="24"/>
        </w:rPr>
      </w:pPr>
      <w:r w:rsidRPr="00F209B7">
        <w:rPr>
          <w:szCs w:val="24"/>
        </w:rPr>
        <w:lastRenderedPageBreak/>
        <w:t>While regulatory burdens are significant for small business, they are not in themselves determinant. By extension, to grow the sector requires measures to addr</w:t>
      </w:r>
      <w:r w:rsidR="00684A6C">
        <w:rPr>
          <w:szCs w:val="24"/>
        </w:rPr>
        <w:t>ess the fundamental structural barriers</w:t>
      </w:r>
      <w:r w:rsidRPr="00F209B7">
        <w:rPr>
          <w:szCs w:val="24"/>
        </w:rPr>
        <w:t xml:space="preserve"> to small business as well as ensuring a more supportive regulatory framework. </w:t>
      </w:r>
    </w:p>
    <w:p w14:paraId="12AA7A0A" w14:textId="77777777" w:rsidR="002B78BA" w:rsidRPr="00F209B7" w:rsidRDefault="002B78BA" w:rsidP="00D66738">
      <w:pPr>
        <w:pStyle w:val="ListParagraph"/>
        <w:numPr>
          <w:ilvl w:val="0"/>
          <w:numId w:val="9"/>
        </w:numPr>
        <w:spacing w:after="160" w:line="259" w:lineRule="auto"/>
        <w:jc w:val="both"/>
        <w:rPr>
          <w:szCs w:val="24"/>
        </w:rPr>
      </w:pPr>
      <w:r w:rsidRPr="00F209B7">
        <w:rPr>
          <w:szCs w:val="24"/>
        </w:rPr>
        <w:t xml:space="preserve">The studies have focused on analysing the overall extent of regulatory burdens, either by quantifying the cost to </w:t>
      </w:r>
      <w:r w:rsidR="00B14897" w:rsidRPr="00F209B7">
        <w:rPr>
          <w:szCs w:val="24"/>
        </w:rPr>
        <w:t>small business</w:t>
      </w:r>
      <w:r w:rsidRPr="00F209B7">
        <w:rPr>
          <w:szCs w:val="24"/>
        </w:rPr>
        <w:t xml:space="preserve"> or by benchmarking South Africa against other countries. The result is that they generally do not indicate the specific rules or procedures that should be changed. From that standpoint, a key contribution of this project is to point to concrete and practical reforms.</w:t>
      </w:r>
    </w:p>
    <w:p w14:paraId="31188B7B" w14:textId="77777777" w:rsidR="002B78BA" w:rsidRPr="00F209B7" w:rsidRDefault="002B78BA" w:rsidP="00D66738">
      <w:pPr>
        <w:pStyle w:val="ListParagraph"/>
        <w:numPr>
          <w:ilvl w:val="0"/>
          <w:numId w:val="9"/>
        </w:numPr>
        <w:spacing w:after="160" w:line="259" w:lineRule="auto"/>
        <w:jc w:val="both"/>
        <w:rPr>
          <w:szCs w:val="24"/>
        </w:rPr>
      </w:pPr>
      <w:r w:rsidRPr="00F209B7">
        <w:rPr>
          <w:szCs w:val="24"/>
        </w:rPr>
        <w:t xml:space="preserve">Most of the surveys rely almost exclusively on surveys of entrepreneurs and managers. As a result, they do not provide much insight into the motivation behind regulations that impose burdens on small business. That means that they do not generally clarify the trade-offs involved in reforms. But understanding those trade-offs is critical for a realistic and viable reform strategy.  </w:t>
      </w:r>
    </w:p>
    <w:p w14:paraId="15ABA9DB" w14:textId="77777777" w:rsidR="002B78BA" w:rsidRPr="00F209B7" w:rsidRDefault="002B78BA" w:rsidP="00D66738">
      <w:pPr>
        <w:jc w:val="both"/>
        <w:rPr>
          <w:szCs w:val="24"/>
        </w:rPr>
      </w:pPr>
      <w:r w:rsidRPr="00F209B7">
        <w:rPr>
          <w:szCs w:val="24"/>
        </w:rPr>
        <w:t>The main regulatory burdens identified are unnecessarily time-consuming registration and reporting procedures; labour laws; and taxation. Some studies quantify the costs of regulation in general, but the costs are treated as linearly additive, without differentiating between implementation costs, compliance costs and costs arising from the desired outcomes of the regulation. Lastly, the studies that propose more specific remedies tend to be those that focus on a single sector or area of regulation.</w:t>
      </w:r>
    </w:p>
    <w:p w14:paraId="759FE490" w14:textId="77777777" w:rsidR="002B78BA" w:rsidRPr="00F209B7" w:rsidRDefault="002B78BA" w:rsidP="00D66738">
      <w:pPr>
        <w:jc w:val="both"/>
        <w:rPr>
          <w:szCs w:val="24"/>
        </w:rPr>
      </w:pPr>
      <w:r w:rsidRPr="00F209B7">
        <w:rPr>
          <w:szCs w:val="24"/>
        </w:rPr>
        <w:t xml:space="preserve">This review of existing research on the regulatory burdens on </w:t>
      </w:r>
      <w:r w:rsidR="00B14897" w:rsidRPr="00F209B7">
        <w:rPr>
          <w:szCs w:val="24"/>
        </w:rPr>
        <w:t>small business</w:t>
      </w:r>
      <w:r w:rsidRPr="00F209B7">
        <w:rPr>
          <w:szCs w:val="24"/>
        </w:rPr>
        <w:t xml:space="preserve"> in South Africa indicates the need for more in-depth analysis of individual areas of regulation, as opposed to a broad overview. Furthermore, the effects of the regulations on different categories of </w:t>
      </w:r>
      <w:r w:rsidR="00B14897" w:rsidRPr="00F209B7">
        <w:rPr>
          <w:szCs w:val="24"/>
        </w:rPr>
        <w:t>small business</w:t>
      </w:r>
      <w:r w:rsidRPr="00F209B7">
        <w:rPr>
          <w:szCs w:val="24"/>
        </w:rPr>
        <w:t xml:space="preserve"> will diverge, depending largely on size, legal status and industry. Finally, for the analysis of laws and regulations to point to practical reforms, it is important that the research methodology help to assess the effects of specific requirements and procedures. These issues are explored in the remainder of this paper. </w:t>
      </w:r>
    </w:p>
    <w:p w14:paraId="12105663" w14:textId="77777777" w:rsidR="00522D77" w:rsidRPr="008A44D3" w:rsidRDefault="00522D77" w:rsidP="00D66738">
      <w:pPr>
        <w:pStyle w:val="Heading1"/>
        <w:numPr>
          <w:ilvl w:val="0"/>
          <w:numId w:val="118"/>
        </w:numPr>
        <w:spacing w:after="160" w:line="259" w:lineRule="auto"/>
        <w:jc w:val="both"/>
        <w:rPr>
          <w:rFonts w:ascii="Calibri" w:hAnsi="Calibri"/>
          <w:caps/>
          <w:color w:val="1B5068"/>
        </w:rPr>
      </w:pPr>
      <w:bookmarkStart w:id="557" w:name="_Toc479843903"/>
      <w:bookmarkStart w:id="558" w:name="_Toc479844527"/>
      <w:bookmarkStart w:id="559" w:name="_Toc479940854"/>
      <w:r w:rsidRPr="008A44D3">
        <w:rPr>
          <w:rFonts w:ascii="Calibri" w:hAnsi="Calibri"/>
          <w:caps/>
          <w:color w:val="1B5068"/>
        </w:rPr>
        <w:t>Methodology</w:t>
      </w:r>
      <w:bookmarkEnd w:id="557"/>
      <w:bookmarkEnd w:id="558"/>
      <w:bookmarkEnd w:id="559"/>
    </w:p>
    <w:p w14:paraId="17CEC100" w14:textId="75FA857F" w:rsidR="00522D77" w:rsidRPr="00F209B7" w:rsidRDefault="00E5099D" w:rsidP="00D66738">
      <w:pPr>
        <w:jc w:val="both"/>
      </w:pPr>
      <w:r w:rsidRPr="00F209B7">
        <w:t xml:space="preserve">The </w:t>
      </w:r>
      <w:r w:rsidR="00522D77" w:rsidRPr="00F209B7">
        <w:t xml:space="preserve">review </w:t>
      </w:r>
      <w:r w:rsidRPr="00F209B7">
        <w:t xml:space="preserve">of existing literature showed </w:t>
      </w:r>
      <w:r w:rsidR="00522D77" w:rsidRPr="00F209B7">
        <w:t>that most analysis of regulatory burdens</w:t>
      </w:r>
      <w:r w:rsidRPr="00F209B7">
        <w:t xml:space="preserve"> is </w:t>
      </w:r>
      <w:r w:rsidR="00684A6C">
        <w:t>typically:</w:t>
      </w:r>
    </w:p>
    <w:p w14:paraId="71CED6D8" w14:textId="7B476405" w:rsidR="00522D77" w:rsidRPr="00F209B7" w:rsidRDefault="00522D77" w:rsidP="00D66738">
      <w:pPr>
        <w:pStyle w:val="ListParagraph"/>
        <w:numPr>
          <w:ilvl w:val="0"/>
          <w:numId w:val="13"/>
        </w:numPr>
        <w:jc w:val="both"/>
      </w:pPr>
      <w:r w:rsidRPr="00F209B7">
        <w:t xml:space="preserve">Based on surveys of </w:t>
      </w:r>
      <w:r w:rsidR="00B14897" w:rsidRPr="00F209B7">
        <w:t>small business</w:t>
      </w:r>
      <w:r w:rsidR="0037460E">
        <w:t>,</w:t>
      </w:r>
    </w:p>
    <w:p w14:paraId="2714FF00" w14:textId="77777777" w:rsidR="00E5099D" w:rsidRPr="00F209B7" w:rsidRDefault="00E5099D" w:rsidP="00D66738">
      <w:pPr>
        <w:pStyle w:val="ListParagraph"/>
        <w:numPr>
          <w:ilvl w:val="0"/>
          <w:numId w:val="13"/>
        </w:numPr>
        <w:jc w:val="both"/>
      </w:pPr>
      <w:r w:rsidRPr="00F209B7">
        <w:t xml:space="preserve">Identifies </w:t>
      </w:r>
      <w:r w:rsidR="00D74947" w:rsidRPr="00F209B7">
        <w:t>and in some cases seeks to quantify regulatory areas that</w:t>
      </w:r>
      <w:r w:rsidRPr="00F209B7">
        <w:t xml:space="preserve"> business owners see as a burden, but </w:t>
      </w:r>
    </w:p>
    <w:p w14:paraId="6B877771" w14:textId="77777777" w:rsidR="00522D77" w:rsidRPr="00F209B7" w:rsidRDefault="00D74947" w:rsidP="00D66738">
      <w:pPr>
        <w:pStyle w:val="ListParagraph"/>
        <w:numPr>
          <w:ilvl w:val="0"/>
          <w:numId w:val="13"/>
        </w:numPr>
        <w:jc w:val="both"/>
      </w:pPr>
      <w:r w:rsidRPr="00F209B7">
        <w:t xml:space="preserve">Provides mostly </w:t>
      </w:r>
      <w:r w:rsidR="00522D77" w:rsidRPr="00F209B7">
        <w:t xml:space="preserve">general, impressionistic conclusions about </w:t>
      </w:r>
      <w:r w:rsidRPr="00F209B7">
        <w:t xml:space="preserve">the specific elements of the rules or procedures that cause problems for small business.  </w:t>
      </w:r>
    </w:p>
    <w:p w14:paraId="46FE1F17" w14:textId="77777777" w:rsidR="00522D77" w:rsidRPr="00F209B7" w:rsidRDefault="00D74947" w:rsidP="00D66738">
      <w:pPr>
        <w:jc w:val="both"/>
      </w:pPr>
      <w:r w:rsidRPr="00F209B7">
        <w:t>As a result, the main benefit of these studies is to identify</w:t>
      </w:r>
      <w:r w:rsidR="00522D77" w:rsidRPr="00F209B7">
        <w:t xml:space="preserve"> areas of concern</w:t>
      </w:r>
      <w:r w:rsidRPr="00F209B7">
        <w:t xml:space="preserve"> for regulatory reform. But they do not provide guidance for officials about specific changes in rules and procedures that would help. Moreover, they do not indicate </w:t>
      </w:r>
      <w:r w:rsidR="00526175" w:rsidRPr="00F209B7">
        <w:t>trade-offs</w:t>
      </w:r>
      <w:r w:rsidRPr="00F209B7">
        <w:t xml:space="preserve"> that might follow from reforms, especially where they would affect stakeholders other than small business. As </w:t>
      </w:r>
      <w:r w:rsidRPr="00F209B7">
        <w:lastRenderedPageBreak/>
        <w:t xml:space="preserve">a result, they do not assist in finding win-win solutions that have a realistic change of bringing about changes.  </w:t>
      </w:r>
    </w:p>
    <w:p w14:paraId="1DFB84B5" w14:textId="77777777" w:rsidR="00522D77" w:rsidRPr="00F209B7" w:rsidRDefault="00D74947" w:rsidP="00D66738">
      <w:pPr>
        <w:jc w:val="both"/>
      </w:pPr>
      <w:r w:rsidRPr="00F209B7">
        <w:t xml:space="preserve">To build on existing research, therefore, this project focuses on developing specific, practical </w:t>
      </w:r>
      <w:r w:rsidR="00522D77" w:rsidRPr="00F209B7">
        <w:t xml:space="preserve">options to reduce burdens on </w:t>
      </w:r>
      <w:r w:rsidR="00B14897" w:rsidRPr="00F209B7">
        <w:t>small business</w:t>
      </w:r>
      <w:r w:rsidR="00522D77" w:rsidRPr="00F209B7">
        <w:t xml:space="preserve"> in areas that </w:t>
      </w:r>
      <w:r w:rsidRPr="00F209B7">
        <w:t xml:space="preserve">have been identified </w:t>
      </w:r>
      <w:r w:rsidR="00522D77" w:rsidRPr="00F209B7">
        <w:t>as problematic</w:t>
      </w:r>
      <w:r w:rsidRPr="00F209B7">
        <w:t xml:space="preserve">. It adopts a </w:t>
      </w:r>
      <w:r w:rsidR="00522D77" w:rsidRPr="00F209B7">
        <w:t xml:space="preserve">methodology rooted in </w:t>
      </w:r>
      <w:r w:rsidRPr="00F209B7">
        <w:t xml:space="preserve">standard </w:t>
      </w:r>
      <w:r w:rsidR="00522D77" w:rsidRPr="00F209B7">
        <w:t xml:space="preserve">impact assessment </w:t>
      </w:r>
      <w:r w:rsidRPr="00F209B7">
        <w:t xml:space="preserve">methodology, as articulated in particular in the Socio-Economic Impact Assessment System (SEIAS) adopted by Cabinet for reviewing proposed laws and regulations. </w:t>
      </w:r>
    </w:p>
    <w:p w14:paraId="551ED4F1" w14:textId="77777777" w:rsidR="00FF1BF2" w:rsidRPr="00F209B7" w:rsidRDefault="00FF1BF2" w:rsidP="00D66738">
      <w:pPr>
        <w:pStyle w:val="Heading2"/>
        <w:numPr>
          <w:ilvl w:val="1"/>
          <w:numId w:val="127"/>
        </w:numPr>
        <w:ind w:left="0" w:firstLine="0"/>
        <w:jc w:val="both"/>
      </w:pPr>
      <w:bookmarkStart w:id="560" w:name="_Toc479843904"/>
      <w:bookmarkStart w:id="561" w:name="_Toc479844528"/>
      <w:bookmarkStart w:id="562" w:name="_Toc479940855"/>
      <w:r w:rsidRPr="00F209B7">
        <w:t>Outline of the methodology</w:t>
      </w:r>
      <w:bookmarkEnd w:id="560"/>
      <w:bookmarkEnd w:id="561"/>
      <w:bookmarkEnd w:id="562"/>
    </w:p>
    <w:p w14:paraId="1ADBFC71" w14:textId="77777777" w:rsidR="00D74947" w:rsidRPr="00F209B7" w:rsidRDefault="00D74947" w:rsidP="00D66738">
      <w:pPr>
        <w:jc w:val="both"/>
      </w:pPr>
      <w:r w:rsidRPr="00F209B7">
        <w:t xml:space="preserve">The methodology used here has three phases for analysing the impact of specific rules and systems with a view to reform. </w:t>
      </w:r>
      <w:r w:rsidR="00FF1BF2" w:rsidRPr="00F209B7">
        <w:t xml:space="preserve">It starts with a textual analysis of the relevant rules in order to develop hypotheses around the burden on small business; tests the hypotheses </w:t>
      </w:r>
      <w:r w:rsidR="00526175" w:rsidRPr="00F209B7">
        <w:t>against</w:t>
      </w:r>
      <w:r w:rsidR="00FF1BF2" w:rsidRPr="00F209B7">
        <w:t xml:space="preserve"> the available qualitative and quantitative evidence; and on that basis develops and systematically evaluates options for reform.  </w:t>
      </w:r>
    </w:p>
    <w:p w14:paraId="04703B32" w14:textId="77777777" w:rsidR="00FF1BF2" w:rsidRPr="00F209B7" w:rsidRDefault="00FF1BF2" w:rsidP="00D66738">
      <w:pPr>
        <w:pStyle w:val="Heading3"/>
        <w:numPr>
          <w:ilvl w:val="2"/>
          <w:numId w:val="128"/>
        </w:numPr>
        <w:ind w:left="0" w:firstLine="0"/>
        <w:jc w:val="both"/>
      </w:pPr>
      <w:bookmarkStart w:id="563" w:name="_Toc479843905"/>
      <w:bookmarkStart w:id="564" w:name="_Toc479844529"/>
      <w:bookmarkStart w:id="565" w:name="_Toc479940856"/>
      <w:r w:rsidRPr="00F209B7">
        <w:t>Textual analysis</w:t>
      </w:r>
      <w:bookmarkEnd w:id="563"/>
      <w:bookmarkEnd w:id="564"/>
      <w:bookmarkEnd w:id="565"/>
    </w:p>
    <w:p w14:paraId="609B8CDB" w14:textId="77777777" w:rsidR="00D74947" w:rsidRPr="00F209B7" w:rsidRDefault="00FF1BF2" w:rsidP="00D66738">
      <w:pPr>
        <w:jc w:val="both"/>
      </w:pPr>
      <w:r w:rsidRPr="00F209B7">
        <w:t xml:space="preserve">The </w:t>
      </w:r>
      <w:r w:rsidR="00D74947" w:rsidRPr="00F209B7">
        <w:t xml:space="preserve">process starts with a </w:t>
      </w:r>
      <w:r w:rsidR="00522D77" w:rsidRPr="00F209B7">
        <w:t xml:space="preserve">textual analysis of relevant </w:t>
      </w:r>
      <w:r w:rsidR="00D74947" w:rsidRPr="00F209B7">
        <w:t xml:space="preserve">rules and </w:t>
      </w:r>
      <w:r w:rsidR="00522D77" w:rsidRPr="00F209B7">
        <w:t xml:space="preserve">procedures </w:t>
      </w:r>
      <w:r w:rsidR="00D74947" w:rsidRPr="00F209B7">
        <w:t xml:space="preserve">in order </w:t>
      </w:r>
    </w:p>
    <w:p w14:paraId="4A77A764" w14:textId="77777777" w:rsidR="00522D77" w:rsidRPr="00F209B7" w:rsidRDefault="00D74947" w:rsidP="00D66738">
      <w:pPr>
        <w:pStyle w:val="ListParagraph"/>
        <w:numPr>
          <w:ilvl w:val="0"/>
          <w:numId w:val="14"/>
        </w:numPr>
        <w:jc w:val="both"/>
      </w:pPr>
      <w:r w:rsidRPr="00F209B7">
        <w:t>To i</w:t>
      </w:r>
      <w:r w:rsidR="00522D77" w:rsidRPr="00F209B7">
        <w:t>dentify the aims of the legislation and the underlying theory of change</w:t>
      </w:r>
    </w:p>
    <w:p w14:paraId="6B5D8E81" w14:textId="77777777" w:rsidR="00522D77" w:rsidRPr="00F209B7" w:rsidRDefault="00D74947" w:rsidP="00D66738">
      <w:pPr>
        <w:pStyle w:val="ListParagraph"/>
        <w:numPr>
          <w:ilvl w:val="0"/>
          <w:numId w:val="14"/>
        </w:numPr>
        <w:jc w:val="both"/>
      </w:pPr>
      <w:r w:rsidRPr="00F209B7">
        <w:t>To d</w:t>
      </w:r>
      <w:r w:rsidR="00522D77" w:rsidRPr="00F209B7">
        <w:t xml:space="preserve">evelop hypotheses around the likely burdens for </w:t>
      </w:r>
      <w:r w:rsidR="00B14897" w:rsidRPr="00F209B7">
        <w:t>small business</w:t>
      </w:r>
      <w:r w:rsidRPr="00F209B7">
        <w:t>.</w:t>
      </w:r>
    </w:p>
    <w:p w14:paraId="7F30C945" w14:textId="77777777" w:rsidR="00D74947" w:rsidRPr="00F209B7" w:rsidRDefault="00D74947" w:rsidP="00D66738">
      <w:pPr>
        <w:jc w:val="both"/>
      </w:pPr>
      <w:r w:rsidRPr="00F209B7">
        <w:t xml:space="preserve">The SEIAS methodology points to two basic kinds of costs. </w:t>
      </w:r>
    </w:p>
    <w:p w14:paraId="0DA6572D" w14:textId="77777777" w:rsidR="00D74947" w:rsidRPr="00F209B7" w:rsidRDefault="00D74947" w:rsidP="00D66738">
      <w:pPr>
        <w:jc w:val="both"/>
      </w:pPr>
      <w:r w:rsidRPr="00F209B7">
        <w:t xml:space="preserve">On the one hand, there are administrative burdens, which are the core of “red tape” as commonly understood. These costs include both the initial effort of setting up systems to comply and the on-going administrative burdens associated with compliance, such as submitting tax forms. </w:t>
      </w:r>
      <w:r w:rsidR="00FF1BF2" w:rsidRPr="00F209B7">
        <w:t xml:space="preserve">Reforms to reduce unnecessary administrative burdens are typically relatively uncontroversial in society as a whole, although they may impose costs on agencies that are asked to re-tool their systems, upgrade their technologies, or reduce their </w:t>
      </w:r>
      <w:r w:rsidR="00526175" w:rsidRPr="00F209B7">
        <w:t>ambitions</w:t>
      </w:r>
      <w:r w:rsidR="00FF1BF2" w:rsidRPr="00F209B7">
        <w:t xml:space="preserve"> especially around data collection.  </w:t>
      </w:r>
    </w:p>
    <w:p w14:paraId="416B1D9C" w14:textId="77777777" w:rsidR="00522D77" w:rsidRPr="00F209B7" w:rsidRDefault="00D74947" w:rsidP="00D66738">
      <w:pPr>
        <w:jc w:val="both"/>
      </w:pPr>
      <w:r w:rsidRPr="00F209B7">
        <w:t xml:space="preserve">On the other hand, every law imposes costs on some groups in order to achieve benefits for others. Labour laws protect workers from employers; taxes impose burdens on the relatively well off to fund social needs of various kinds. </w:t>
      </w:r>
      <w:r w:rsidR="00FF1BF2" w:rsidRPr="00F209B7">
        <w:t xml:space="preserve">Reforms that aims to reduce these kinds of integral costs on small businesses will likely encounter opposition from the beneficiaries of the current order. </w:t>
      </w:r>
    </w:p>
    <w:p w14:paraId="455BAF5B" w14:textId="77777777" w:rsidR="00FF1BF2" w:rsidRPr="00F209B7" w:rsidRDefault="00FF1BF2" w:rsidP="00D66738">
      <w:pPr>
        <w:pStyle w:val="Heading3"/>
        <w:numPr>
          <w:ilvl w:val="2"/>
          <w:numId w:val="128"/>
        </w:numPr>
        <w:ind w:left="0" w:firstLine="0"/>
        <w:jc w:val="both"/>
      </w:pPr>
      <w:bookmarkStart w:id="566" w:name="_Toc479843906"/>
      <w:bookmarkStart w:id="567" w:name="_Toc479844530"/>
      <w:bookmarkStart w:id="568" w:name="_Toc479940857"/>
      <w:r w:rsidRPr="00F209B7">
        <w:t>Qualitative and quantitative research</w:t>
      </w:r>
      <w:bookmarkEnd w:id="566"/>
      <w:bookmarkEnd w:id="567"/>
      <w:bookmarkEnd w:id="568"/>
    </w:p>
    <w:p w14:paraId="69630D0C" w14:textId="77777777" w:rsidR="00FF1BF2" w:rsidRPr="00F209B7" w:rsidRDefault="00FF1BF2" w:rsidP="00D66738">
      <w:pPr>
        <w:jc w:val="both"/>
      </w:pPr>
      <w:r w:rsidRPr="00F209B7">
        <w:t xml:space="preserve">In the second </w:t>
      </w:r>
      <w:r w:rsidR="00526175" w:rsidRPr="00F209B7">
        <w:t>phase</w:t>
      </w:r>
      <w:r w:rsidRPr="00F209B7">
        <w:t xml:space="preserve"> of the process, the hypotheses derived </w:t>
      </w:r>
      <w:r w:rsidR="00522D77" w:rsidRPr="00F209B7">
        <w:t xml:space="preserve">from </w:t>
      </w:r>
      <w:r w:rsidRPr="00F209B7">
        <w:t xml:space="preserve">the </w:t>
      </w:r>
      <w:r w:rsidR="00522D77" w:rsidRPr="00F209B7">
        <w:t xml:space="preserve">textual analysis </w:t>
      </w:r>
      <w:r w:rsidRPr="00F209B7">
        <w:t xml:space="preserve">are tested against the available evidence. </w:t>
      </w:r>
      <w:r w:rsidR="000C2FF3" w:rsidRPr="00F209B7">
        <w:t xml:space="preserve">The aim is both to assess whether the hypotheses themselves identify genuine costs and benefits from the existing rules and procedures, and to see if there were gaps in the analysis. Both </w:t>
      </w:r>
      <w:r w:rsidRPr="00F209B7">
        <w:t>a qualitative and, where possible, a quantitative</w:t>
      </w:r>
      <w:r w:rsidR="000C2FF3" w:rsidRPr="00F209B7">
        <w:t xml:space="preserve"> analysis is undertaken. </w:t>
      </w:r>
      <w:r w:rsidRPr="00F209B7">
        <w:t xml:space="preserve"> </w:t>
      </w:r>
    </w:p>
    <w:p w14:paraId="17F88125" w14:textId="72877501" w:rsidR="00FF1BF2" w:rsidRPr="00F209B7" w:rsidRDefault="00FF1BF2" w:rsidP="00D66738">
      <w:pPr>
        <w:jc w:val="both"/>
      </w:pPr>
      <w:r w:rsidRPr="00F209B7">
        <w:t xml:space="preserve">In assessing the </w:t>
      </w:r>
      <w:r w:rsidR="00526175" w:rsidRPr="00F209B7">
        <w:t>actual</w:t>
      </w:r>
      <w:r w:rsidRPr="00F209B7">
        <w:t xml:space="preserve"> costs and benefits for small business, </w:t>
      </w:r>
      <w:r w:rsidR="000C2FF3" w:rsidRPr="00F209B7">
        <w:t xml:space="preserve">researchers have </w:t>
      </w:r>
      <w:r w:rsidRPr="00F209B7">
        <w:t xml:space="preserve">to take into account the reality that small businesses are diffuse, diverse and numerous. As the analysis in Section </w:t>
      </w:r>
      <w:r w:rsidR="00E95CAE">
        <w:fldChar w:fldCharType="begin"/>
      </w:r>
      <w:r w:rsidR="00E95CAE">
        <w:instrText xml:space="preserve"> REF _Ref479706804 \r \h </w:instrText>
      </w:r>
      <w:r w:rsidR="00D66738">
        <w:instrText xml:space="preserve"> \* MERGEFORMAT </w:instrText>
      </w:r>
      <w:r w:rsidR="00E95CAE">
        <w:fldChar w:fldCharType="separate"/>
      </w:r>
      <w:r w:rsidR="005062E7">
        <w:t>2.2</w:t>
      </w:r>
      <w:r w:rsidR="00E95CAE">
        <w:fldChar w:fldCharType="end"/>
      </w:r>
      <w:r w:rsidRPr="00F209B7">
        <w:t xml:space="preserve"> notes, they vary widely in terms of their </w:t>
      </w:r>
      <w:r w:rsidR="00526175" w:rsidRPr="00F209B7">
        <w:t>resourcing</w:t>
      </w:r>
      <w:r w:rsidRPr="00F209B7">
        <w:t xml:space="preserve">, </w:t>
      </w:r>
      <w:r w:rsidR="000C2FF3" w:rsidRPr="00F209B7">
        <w:t xml:space="preserve">requirements and regulatory context. Moreover, entrepreneurs are typically crucial for the day-to-day operations of their businesses, and cannot take much time out for interviews and </w:t>
      </w:r>
      <w:r w:rsidR="000C2FF3" w:rsidRPr="00F209B7">
        <w:lastRenderedPageBreak/>
        <w:t xml:space="preserve">workshops on policies. Unlike big business, moreover, most do not have staff to delegate for this purpose. </w:t>
      </w:r>
    </w:p>
    <w:p w14:paraId="337F1E9E" w14:textId="77777777" w:rsidR="00522D77" w:rsidRPr="00F209B7" w:rsidRDefault="00FF1BF2" w:rsidP="00D66738">
      <w:pPr>
        <w:jc w:val="both"/>
      </w:pPr>
      <w:r w:rsidRPr="00F209B7">
        <w:t xml:space="preserve">The qualitative assessment </w:t>
      </w:r>
      <w:r w:rsidR="000C2FF3" w:rsidRPr="00F209B7">
        <w:t xml:space="preserve">in this study </w:t>
      </w:r>
      <w:r w:rsidRPr="00F209B7">
        <w:t xml:space="preserve">relies on </w:t>
      </w:r>
      <w:r w:rsidR="00522D77" w:rsidRPr="00F209B7">
        <w:t xml:space="preserve">interviews with </w:t>
      </w:r>
      <w:r w:rsidRPr="00F209B7">
        <w:t xml:space="preserve">key </w:t>
      </w:r>
      <w:r w:rsidR="00522D77" w:rsidRPr="00F209B7">
        <w:t>informants</w:t>
      </w:r>
      <w:r w:rsidRPr="00F209B7">
        <w:t xml:space="preserve"> rather than a survey. Survey results are typically too vague and general to support the kind of detailed understanding required for practical reforms. In contrast, interviews with key informants – that is, people with every-day experience in the administration of the rules – can help in finding specific solutions. </w:t>
      </w:r>
    </w:p>
    <w:p w14:paraId="2EC65363" w14:textId="75C81979" w:rsidR="00FF1BF2" w:rsidRPr="00F209B7" w:rsidRDefault="00793C87" w:rsidP="00D66738">
      <w:pPr>
        <w:jc w:val="both"/>
      </w:pPr>
      <w:r>
        <w:t>The key informant</w:t>
      </w:r>
      <w:r w:rsidR="000C2FF3" w:rsidRPr="00F209B7">
        <w:t xml:space="preserve"> interviews, in part with assistance from Business Unity South Africa</w:t>
      </w:r>
      <w:r w:rsidR="004A24CA">
        <w:t xml:space="preserve"> (BUSA)</w:t>
      </w:r>
      <w:r w:rsidR="000C2FF3" w:rsidRPr="00F209B7">
        <w:t xml:space="preserve"> and the Black Business Council</w:t>
      </w:r>
      <w:r w:rsidR="004A24CA">
        <w:t xml:space="preserve"> (BBC)</w:t>
      </w:r>
      <w:r w:rsidR="000C2FF3" w:rsidRPr="00F209B7">
        <w:t>, included:</w:t>
      </w:r>
    </w:p>
    <w:p w14:paraId="0979DB74" w14:textId="0E690818" w:rsidR="000C2FF3" w:rsidRPr="00F209B7" w:rsidRDefault="00C37533" w:rsidP="00D66738">
      <w:pPr>
        <w:pStyle w:val="ListParagraph"/>
        <w:numPr>
          <w:ilvl w:val="0"/>
          <w:numId w:val="15"/>
        </w:numPr>
        <w:jc w:val="both"/>
      </w:pPr>
      <w:r>
        <w:t>Small businesses themselves</w:t>
      </w:r>
    </w:p>
    <w:p w14:paraId="22E4A67E" w14:textId="77777777" w:rsidR="00FF1BF2" w:rsidRPr="00F209B7" w:rsidRDefault="000C2FF3" w:rsidP="00D66738">
      <w:pPr>
        <w:pStyle w:val="ListParagraph"/>
        <w:numPr>
          <w:ilvl w:val="0"/>
          <w:numId w:val="15"/>
        </w:numPr>
        <w:jc w:val="both"/>
      </w:pPr>
      <w:r w:rsidRPr="00F209B7">
        <w:t>Business</w:t>
      </w:r>
      <w:r w:rsidR="00FF1BF2" w:rsidRPr="00F209B7">
        <w:t xml:space="preserve"> associations </w:t>
      </w:r>
      <w:r w:rsidRPr="00F209B7">
        <w:t xml:space="preserve">of small businesses and relevant </w:t>
      </w:r>
      <w:r w:rsidR="00526175" w:rsidRPr="00F209B7">
        <w:t>industries</w:t>
      </w:r>
    </w:p>
    <w:p w14:paraId="38D3EFD7" w14:textId="77777777" w:rsidR="00FF1BF2" w:rsidRPr="00F209B7" w:rsidRDefault="00FF1BF2" w:rsidP="00D66738">
      <w:pPr>
        <w:pStyle w:val="ListParagraph"/>
        <w:numPr>
          <w:ilvl w:val="0"/>
          <w:numId w:val="15"/>
        </w:numPr>
        <w:jc w:val="both"/>
      </w:pPr>
      <w:r w:rsidRPr="00F209B7">
        <w:t>Agencies that work with small business</w:t>
      </w:r>
      <w:r w:rsidR="000C2FF3" w:rsidRPr="00F209B7">
        <w:t>es</w:t>
      </w:r>
      <w:r w:rsidRPr="00F209B7">
        <w:t xml:space="preserve"> </w:t>
      </w:r>
      <w:r w:rsidR="000C2FF3" w:rsidRPr="00F209B7">
        <w:t xml:space="preserve">such as </w:t>
      </w:r>
      <w:r w:rsidRPr="00F209B7">
        <w:t>incubators</w:t>
      </w:r>
      <w:r w:rsidR="000C2FF3" w:rsidRPr="00F209B7">
        <w:t xml:space="preserve"> and advocacy groups</w:t>
      </w:r>
    </w:p>
    <w:p w14:paraId="35A4CA32" w14:textId="77777777" w:rsidR="00FF1BF2" w:rsidRPr="00F209B7" w:rsidRDefault="00FF1BF2" w:rsidP="00D66738">
      <w:pPr>
        <w:pStyle w:val="ListParagraph"/>
        <w:numPr>
          <w:ilvl w:val="0"/>
          <w:numId w:val="15"/>
        </w:numPr>
        <w:jc w:val="both"/>
      </w:pPr>
      <w:r w:rsidRPr="00F209B7">
        <w:t xml:space="preserve">Representatives of </w:t>
      </w:r>
      <w:r w:rsidR="000C2FF3" w:rsidRPr="00F209B7">
        <w:t>organised business</w:t>
      </w:r>
    </w:p>
    <w:p w14:paraId="0DEDB7C2" w14:textId="77777777" w:rsidR="00FF1BF2" w:rsidRPr="00F209B7" w:rsidRDefault="000C2FF3" w:rsidP="00D66738">
      <w:pPr>
        <w:pStyle w:val="ListParagraph"/>
        <w:numPr>
          <w:ilvl w:val="0"/>
          <w:numId w:val="15"/>
        </w:numPr>
        <w:jc w:val="both"/>
      </w:pPr>
      <w:r w:rsidRPr="00F209B7">
        <w:t>Officials from r</w:t>
      </w:r>
      <w:r w:rsidR="00FF1BF2" w:rsidRPr="00F209B7">
        <w:t>elevant departments and agencies</w:t>
      </w:r>
    </w:p>
    <w:p w14:paraId="73AF4DE9" w14:textId="0C728495" w:rsidR="00FF1BF2" w:rsidRPr="00F209B7" w:rsidRDefault="005202FC" w:rsidP="00D66738">
      <w:pPr>
        <w:jc w:val="both"/>
      </w:pPr>
      <w:r>
        <w:t>Appendix 2</w:t>
      </w:r>
      <w:r w:rsidR="000C2FF3" w:rsidRPr="00F209B7">
        <w:t xml:space="preserve"> provides a list of key informants for this study. </w:t>
      </w:r>
    </w:p>
    <w:p w14:paraId="274CEBF1" w14:textId="77777777" w:rsidR="00522D77" w:rsidRPr="00F209B7" w:rsidRDefault="000C2FF3" w:rsidP="00D66738">
      <w:pPr>
        <w:jc w:val="both"/>
      </w:pPr>
      <w:r w:rsidRPr="00F209B7">
        <w:t>In addition to qualitative evidence, an effort was made to a</w:t>
      </w:r>
      <w:r w:rsidR="00522D77" w:rsidRPr="00F209B7">
        <w:t xml:space="preserve">ssess </w:t>
      </w:r>
      <w:r w:rsidRPr="00F209B7">
        <w:t xml:space="preserve">findings </w:t>
      </w:r>
      <w:r w:rsidR="00522D77" w:rsidRPr="00F209B7">
        <w:t xml:space="preserve">against </w:t>
      </w:r>
      <w:r w:rsidRPr="00F209B7">
        <w:t xml:space="preserve">the </w:t>
      </w:r>
      <w:r w:rsidR="00522D77" w:rsidRPr="00F209B7">
        <w:t>available data where possible</w:t>
      </w:r>
      <w:r w:rsidRPr="00F209B7">
        <w:t xml:space="preserve">. The available statistics relate primarily to outcomes – indicating mostly whether efforts to shape the laws to assist small business have succeeded – and to procedures, especially around the time required for compliance and turnaround. </w:t>
      </w:r>
    </w:p>
    <w:p w14:paraId="4D043F9C" w14:textId="77777777" w:rsidR="000C2FF3" w:rsidRPr="00F209B7" w:rsidRDefault="000C2FF3" w:rsidP="00D66738">
      <w:pPr>
        <w:pStyle w:val="Heading3"/>
        <w:numPr>
          <w:ilvl w:val="2"/>
          <w:numId w:val="128"/>
        </w:numPr>
        <w:ind w:left="0" w:firstLine="0"/>
        <w:jc w:val="both"/>
      </w:pPr>
      <w:bookmarkStart w:id="569" w:name="_Toc479843907"/>
      <w:bookmarkStart w:id="570" w:name="_Toc479844531"/>
      <w:bookmarkStart w:id="571" w:name="_Toc479940858"/>
      <w:r w:rsidRPr="00F209B7">
        <w:t>Policy options</w:t>
      </w:r>
      <w:bookmarkEnd w:id="569"/>
      <w:bookmarkEnd w:id="570"/>
      <w:bookmarkEnd w:id="571"/>
    </w:p>
    <w:p w14:paraId="37093351" w14:textId="77777777" w:rsidR="00224380" w:rsidRPr="00F209B7" w:rsidRDefault="000F04D9" w:rsidP="00D66738">
      <w:pPr>
        <w:jc w:val="both"/>
      </w:pPr>
      <w:r w:rsidRPr="00F209B7">
        <w:t xml:space="preserve">The final phase of the methodology involves identifying and testing options for reform. To that end, in line with both the SEIAS and standard Regulatory Impact Assessment methods, </w:t>
      </w:r>
      <w:r w:rsidR="00224380" w:rsidRPr="00F209B7">
        <w:t xml:space="preserve">three options are developed and analysed for each set of rules and procedures studied. </w:t>
      </w:r>
    </w:p>
    <w:p w14:paraId="770276A0" w14:textId="77777777" w:rsidR="00224380" w:rsidRPr="00F209B7" w:rsidRDefault="00224380" w:rsidP="00D66738">
      <w:pPr>
        <w:jc w:val="both"/>
      </w:pPr>
      <w:r w:rsidRPr="00F209B7">
        <w:t xml:space="preserve">The options methodology aims to compel innovative thinking by requiring evaluation of a broad range of alternative reforms. As a result, some of the options analysed will be controversial. </w:t>
      </w:r>
    </w:p>
    <w:p w14:paraId="348DCDEA" w14:textId="77777777" w:rsidR="00522D77" w:rsidRPr="00F209B7" w:rsidRDefault="00224380" w:rsidP="00D66738">
      <w:pPr>
        <w:jc w:val="both"/>
      </w:pPr>
      <w:r w:rsidRPr="00F209B7">
        <w:t xml:space="preserve">The options essentially involve different </w:t>
      </w:r>
      <w:r w:rsidR="00526175" w:rsidRPr="00F209B7">
        <w:t>combinations</w:t>
      </w:r>
      <w:r w:rsidRPr="00F209B7">
        <w:t xml:space="preserve"> of regulatory reform and other measures to reduce the impact of existing rules. For each option, the </w:t>
      </w:r>
      <w:r w:rsidR="00522D77" w:rsidRPr="00F209B7">
        <w:t xml:space="preserve">costs, benefits and risks to </w:t>
      </w:r>
      <w:r w:rsidR="00B14897" w:rsidRPr="00F209B7">
        <w:t>small business</w:t>
      </w:r>
      <w:r w:rsidR="00522D77" w:rsidRPr="00F209B7">
        <w:t xml:space="preserve"> and other stakeholders</w:t>
      </w:r>
      <w:r w:rsidRPr="00F209B7">
        <w:t xml:space="preserve"> are briefly presented. On that basis, a preferred option is identified.  </w:t>
      </w:r>
    </w:p>
    <w:p w14:paraId="3F21522A" w14:textId="77777777" w:rsidR="00224380" w:rsidRPr="00F209B7" w:rsidRDefault="00224380" w:rsidP="00D66738">
      <w:pPr>
        <w:jc w:val="both"/>
      </w:pPr>
      <w:r w:rsidRPr="00F209B7">
        <w:t xml:space="preserve">To assist in taking the preferred options forward, the study identifies key next steps, in particular </w:t>
      </w:r>
    </w:p>
    <w:p w14:paraId="7C59EC05" w14:textId="77777777" w:rsidR="00224380" w:rsidRPr="00F209B7" w:rsidRDefault="00224380" w:rsidP="00D66738">
      <w:pPr>
        <w:pStyle w:val="ListParagraph"/>
        <w:numPr>
          <w:ilvl w:val="0"/>
          <w:numId w:val="16"/>
        </w:numPr>
        <w:jc w:val="both"/>
      </w:pPr>
      <w:r w:rsidRPr="00F209B7">
        <w:t xml:space="preserve">Whether more detailed research is still required, and </w:t>
      </w:r>
    </w:p>
    <w:p w14:paraId="20C0890F" w14:textId="77777777" w:rsidR="00522D77" w:rsidRPr="00F209B7" w:rsidRDefault="00224380" w:rsidP="00D66738">
      <w:pPr>
        <w:pStyle w:val="ListParagraph"/>
        <w:numPr>
          <w:ilvl w:val="0"/>
          <w:numId w:val="16"/>
        </w:numPr>
        <w:jc w:val="both"/>
      </w:pPr>
      <w:r w:rsidRPr="00F209B7">
        <w:t xml:space="preserve">The affected </w:t>
      </w:r>
      <w:r w:rsidR="00522D77" w:rsidRPr="00F209B7">
        <w:t>departments and</w:t>
      </w:r>
      <w:r w:rsidRPr="00F209B7">
        <w:t xml:space="preserve"> stakeholders. </w:t>
      </w:r>
      <w:r w:rsidR="00522D77" w:rsidRPr="00F209B7">
        <w:t xml:space="preserve"> </w:t>
      </w:r>
    </w:p>
    <w:p w14:paraId="1556C710" w14:textId="77777777" w:rsidR="00522D77" w:rsidRPr="00F209B7" w:rsidRDefault="00224380" w:rsidP="00D66738">
      <w:pPr>
        <w:jc w:val="both"/>
      </w:pPr>
      <w:r w:rsidRPr="00F209B7">
        <w:t xml:space="preserve">A </w:t>
      </w:r>
      <w:r w:rsidR="00522D77" w:rsidRPr="00F209B7">
        <w:t xml:space="preserve">briefing note </w:t>
      </w:r>
      <w:r w:rsidRPr="00F209B7">
        <w:t xml:space="preserve">is provided separately on each option in order </w:t>
      </w:r>
      <w:r w:rsidR="00522D77" w:rsidRPr="00F209B7">
        <w:t>to support engagements</w:t>
      </w:r>
      <w:r w:rsidRPr="00F209B7">
        <w:t xml:space="preserve"> around the proposed reforms. </w:t>
      </w:r>
    </w:p>
    <w:p w14:paraId="3D1F76A5" w14:textId="77777777" w:rsidR="00522D77" w:rsidRPr="00F209B7" w:rsidRDefault="00224380" w:rsidP="00D66738">
      <w:pPr>
        <w:pStyle w:val="Heading2"/>
        <w:numPr>
          <w:ilvl w:val="1"/>
          <w:numId w:val="127"/>
        </w:numPr>
        <w:ind w:left="0" w:firstLine="0"/>
        <w:jc w:val="both"/>
      </w:pPr>
      <w:bookmarkStart w:id="572" w:name="_Toc479843908"/>
      <w:bookmarkStart w:id="573" w:name="_Toc479844532"/>
      <w:bookmarkStart w:id="574" w:name="_Toc479940859"/>
      <w:r w:rsidRPr="00F209B7">
        <w:lastRenderedPageBreak/>
        <w:t xml:space="preserve">The </w:t>
      </w:r>
      <w:r w:rsidR="00522D77" w:rsidRPr="00F209B7">
        <w:t xml:space="preserve">SEIAS </w:t>
      </w:r>
      <w:r w:rsidRPr="00F209B7">
        <w:t>approach</w:t>
      </w:r>
      <w:bookmarkEnd w:id="572"/>
      <w:bookmarkEnd w:id="573"/>
      <w:bookmarkEnd w:id="574"/>
    </w:p>
    <w:p w14:paraId="7B177CDE" w14:textId="77777777" w:rsidR="00522D77" w:rsidRPr="00F209B7" w:rsidRDefault="00F209B7" w:rsidP="00D66738">
      <w:pPr>
        <w:jc w:val="both"/>
      </w:pPr>
      <w:r w:rsidRPr="00F209B7">
        <w:t xml:space="preserve">The methodology utilised in this study is based in the SEIAS approach. </w:t>
      </w:r>
      <w:r w:rsidR="00224380" w:rsidRPr="00F209B7">
        <w:t xml:space="preserve">This section therefore outlines some of its key elements. </w:t>
      </w:r>
    </w:p>
    <w:p w14:paraId="4F1E4430" w14:textId="77777777" w:rsidR="008C4A57" w:rsidRPr="00F209B7" w:rsidRDefault="008C4A57" w:rsidP="00D66738">
      <w:pPr>
        <w:jc w:val="both"/>
      </w:pPr>
      <w:r w:rsidRPr="00F209B7">
        <w:t xml:space="preserve">SEIAS aims, not to prevent regulations, but to improve them. To this end, it promotes an objective analysis that includes an </w:t>
      </w:r>
      <w:r w:rsidR="00F209B7" w:rsidRPr="00F209B7">
        <w:t>evaluation</w:t>
      </w:r>
      <w:r w:rsidRPr="00F209B7">
        <w:t xml:space="preserve"> of potential unintended consequences and </w:t>
      </w:r>
      <w:r w:rsidR="00F209B7" w:rsidRPr="00F209B7">
        <w:t>unnecessary</w:t>
      </w:r>
      <w:r w:rsidRPr="00F209B7">
        <w:t xml:space="preserve"> costs. </w:t>
      </w:r>
    </w:p>
    <w:p w14:paraId="572AC2DF" w14:textId="77777777" w:rsidR="00224380" w:rsidRPr="00F209B7" w:rsidRDefault="00224380" w:rsidP="00D66738">
      <w:pPr>
        <w:jc w:val="both"/>
      </w:pPr>
      <w:r w:rsidRPr="00F209B7">
        <w:t>SEIAS adopts a problem-solving methodology. That means that, for any specific measure, policymakers should clearly identify</w:t>
      </w:r>
    </w:p>
    <w:p w14:paraId="1E82D242" w14:textId="77777777" w:rsidR="008C4A57" w:rsidRPr="00F209B7" w:rsidRDefault="00224380" w:rsidP="00D66738">
      <w:pPr>
        <w:pStyle w:val="ListParagraph"/>
        <w:numPr>
          <w:ilvl w:val="0"/>
          <w:numId w:val="17"/>
        </w:numPr>
        <w:jc w:val="both"/>
      </w:pPr>
      <w:r w:rsidRPr="00F209B7">
        <w:t xml:space="preserve">The socio-economic problem being addressed, </w:t>
      </w:r>
    </w:p>
    <w:p w14:paraId="1BC90160" w14:textId="77777777" w:rsidR="008C4A57" w:rsidRPr="00F209B7" w:rsidRDefault="00224380" w:rsidP="00D66738">
      <w:pPr>
        <w:pStyle w:val="ListParagraph"/>
        <w:numPr>
          <w:ilvl w:val="0"/>
          <w:numId w:val="17"/>
        </w:numPr>
        <w:jc w:val="both"/>
      </w:pPr>
      <w:r w:rsidRPr="00F209B7">
        <w:t>Its main causes, which are effectively targeted by the intervention</w:t>
      </w:r>
      <w:r w:rsidR="008C4A57" w:rsidRPr="00F209B7">
        <w:t>, and</w:t>
      </w:r>
    </w:p>
    <w:p w14:paraId="094679B9" w14:textId="77777777" w:rsidR="00224380" w:rsidRPr="00F209B7" w:rsidRDefault="008C4A57" w:rsidP="00D66738">
      <w:pPr>
        <w:pStyle w:val="ListParagraph"/>
        <w:numPr>
          <w:ilvl w:val="0"/>
          <w:numId w:val="17"/>
        </w:numPr>
        <w:jc w:val="both"/>
      </w:pPr>
      <w:r w:rsidRPr="00F209B7">
        <w:t>The theory of change that follows from this analysis – that is, just how the proposed measures should resolve the socio-economic problem addressed</w:t>
      </w:r>
      <w:r w:rsidR="00224380" w:rsidRPr="00F209B7">
        <w:t xml:space="preserve">. </w:t>
      </w:r>
    </w:p>
    <w:p w14:paraId="6FB86A5F" w14:textId="77777777" w:rsidR="00522D77" w:rsidRPr="00F209B7" w:rsidRDefault="008C4A57" w:rsidP="00D66738">
      <w:pPr>
        <w:jc w:val="both"/>
      </w:pPr>
      <w:r w:rsidRPr="00F209B7">
        <w:t xml:space="preserve">In evaluating measures, SEIAS requires consideration of the costs, benefits and risks </w:t>
      </w:r>
      <w:r w:rsidR="00522D77" w:rsidRPr="00F209B7">
        <w:t>to different social groups</w:t>
      </w:r>
      <w:r w:rsidRPr="00F209B7">
        <w:t xml:space="preserve">. This approach is grounded in the understanding that laws and procedures do not affect all citizens in the same way. The aim is to </w:t>
      </w:r>
      <w:r w:rsidR="00522D77" w:rsidRPr="00F209B7">
        <w:t xml:space="preserve">understand </w:t>
      </w:r>
      <w:r w:rsidRPr="00F209B7">
        <w:t xml:space="preserve">potential or actual contestation around the measures, </w:t>
      </w:r>
      <w:r w:rsidR="00522D77" w:rsidRPr="00F209B7">
        <w:t xml:space="preserve">as well as </w:t>
      </w:r>
      <w:r w:rsidRPr="00F209B7">
        <w:t xml:space="preserve">to identify </w:t>
      </w:r>
      <w:r w:rsidR="00522D77" w:rsidRPr="00F209B7">
        <w:t>unintended consequences</w:t>
      </w:r>
      <w:r w:rsidRPr="00F209B7">
        <w:t xml:space="preserve">. </w:t>
      </w:r>
    </w:p>
    <w:p w14:paraId="10D5B93F" w14:textId="77777777" w:rsidR="00522D77" w:rsidRPr="00F209B7" w:rsidRDefault="00522D77" w:rsidP="00D66738">
      <w:pPr>
        <w:jc w:val="both"/>
      </w:pPr>
      <w:r w:rsidRPr="00F209B7">
        <w:t xml:space="preserve">Often </w:t>
      </w:r>
      <w:r w:rsidR="008C4A57" w:rsidRPr="00F209B7">
        <w:t xml:space="preserve">policymakers </w:t>
      </w:r>
      <w:r w:rsidRPr="00F209B7">
        <w:t xml:space="preserve">cannot quantify </w:t>
      </w:r>
      <w:r w:rsidR="008C4A57" w:rsidRPr="00F209B7">
        <w:t xml:space="preserve">the costs, benefits and risks of specific measures, </w:t>
      </w:r>
      <w:r w:rsidRPr="00F209B7">
        <w:t xml:space="preserve">but </w:t>
      </w:r>
      <w:r w:rsidR="008C4A57" w:rsidRPr="00F209B7">
        <w:t xml:space="preserve">they </w:t>
      </w:r>
      <w:r w:rsidRPr="00F209B7">
        <w:t>can describe</w:t>
      </w:r>
      <w:r w:rsidR="008C4A57" w:rsidRPr="00F209B7">
        <w:t xml:space="preserve"> what social groups may be affected and how they would be impacted. This in itself often points to options for improvement. By the same token, SEIAS analyses often can only be tested against logic and through consultation with the stakeholders affected by a measure. Since stakeholder inputs are inevitably more or less biased, whatever data is available should be utilised to check them.  </w:t>
      </w:r>
    </w:p>
    <w:p w14:paraId="72306DBD" w14:textId="77777777" w:rsidR="008C4A57" w:rsidRPr="00F209B7" w:rsidRDefault="00F209B7" w:rsidP="00D66738">
      <w:pPr>
        <w:jc w:val="both"/>
      </w:pPr>
      <w:r w:rsidRPr="00F209B7">
        <w:t>Finally</w:t>
      </w:r>
      <w:r w:rsidR="008C4A57" w:rsidRPr="00F209B7">
        <w:t xml:space="preserve">, the SEIAS methodology requires that the proposed options for change should push the envelope. The aim is to ensure that policymakers are not captured early in the process by particular solutions, shutting out alternatives without analysis. As noted above, this means that some options will be controversial. </w:t>
      </w:r>
    </w:p>
    <w:p w14:paraId="46EEF348" w14:textId="77777777" w:rsidR="00522D77" w:rsidRPr="00F209B7" w:rsidRDefault="00522D77" w:rsidP="00D66738">
      <w:pPr>
        <w:jc w:val="both"/>
      </w:pPr>
      <w:r w:rsidRPr="00F209B7">
        <w:t xml:space="preserve">For </w:t>
      </w:r>
      <w:r w:rsidR="008C4A57" w:rsidRPr="00F209B7">
        <w:t xml:space="preserve">the present study, utilisation of the SEIAS approach requires the following. </w:t>
      </w:r>
    </w:p>
    <w:p w14:paraId="57F7E24D" w14:textId="77777777" w:rsidR="00522D77" w:rsidRPr="00F209B7" w:rsidRDefault="008C4A57" w:rsidP="00D66738">
      <w:pPr>
        <w:pStyle w:val="ListParagraph"/>
        <w:numPr>
          <w:ilvl w:val="0"/>
          <w:numId w:val="18"/>
        </w:numPr>
        <w:jc w:val="both"/>
      </w:pPr>
      <w:r w:rsidRPr="00F209B7">
        <w:t xml:space="preserve">The </w:t>
      </w:r>
      <w:r w:rsidR="00522D77" w:rsidRPr="00F209B7">
        <w:t xml:space="preserve">aims of </w:t>
      </w:r>
      <w:r w:rsidRPr="00F209B7">
        <w:t xml:space="preserve">the </w:t>
      </w:r>
      <w:r w:rsidR="00522D77" w:rsidRPr="00F209B7">
        <w:t>rules</w:t>
      </w:r>
      <w:r w:rsidRPr="00F209B7">
        <w:t xml:space="preserve"> and </w:t>
      </w:r>
      <w:r w:rsidR="00522D77" w:rsidRPr="00F209B7">
        <w:t xml:space="preserve">procedures </w:t>
      </w:r>
      <w:r w:rsidRPr="00F209B7">
        <w:t xml:space="preserve">analysed, and </w:t>
      </w:r>
      <w:r w:rsidR="00522D77" w:rsidRPr="00F209B7">
        <w:t>in particular, what social problem they are trying to solve</w:t>
      </w:r>
      <w:r w:rsidRPr="00F209B7">
        <w:t xml:space="preserve">, should be analysed in order to indicate both beneficiaries and cost-bearers. </w:t>
      </w:r>
    </w:p>
    <w:p w14:paraId="5BB1994F" w14:textId="77777777" w:rsidR="00522D77" w:rsidRPr="00F209B7" w:rsidRDefault="008C4A57" w:rsidP="00D66738">
      <w:pPr>
        <w:pStyle w:val="ListParagraph"/>
        <w:numPr>
          <w:ilvl w:val="0"/>
          <w:numId w:val="18"/>
        </w:numPr>
        <w:jc w:val="both"/>
      </w:pPr>
      <w:r w:rsidRPr="00F209B7">
        <w:t xml:space="preserve">The costs and </w:t>
      </w:r>
      <w:r w:rsidR="00522D77" w:rsidRPr="00F209B7">
        <w:t xml:space="preserve">benefits to </w:t>
      </w:r>
      <w:r w:rsidR="00B14897" w:rsidRPr="00F209B7">
        <w:t>small business</w:t>
      </w:r>
      <w:r w:rsidR="00522D77" w:rsidRPr="00F209B7">
        <w:t xml:space="preserve"> can be extrapolated from the text to some degree</w:t>
      </w:r>
      <w:r w:rsidRPr="00F209B7">
        <w:t xml:space="preserve"> utilising approaches developed for regulatory </w:t>
      </w:r>
      <w:r w:rsidR="00522D77" w:rsidRPr="00F209B7">
        <w:t>impact assessment</w:t>
      </w:r>
      <w:r w:rsidRPr="00F209B7">
        <w:t>s. B</w:t>
      </w:r>
      <w:r w:rsidR="00522D77" w:rsidRPr="00F209B7">
        <w:t xml:space="preserve">ecause </w:t>
      </w:r>
      <w:r w:rsidRPr="00F209B7">
        <w:t xml:space="preserve">the </w:t>
      </w:r>
      <w:r w:rsidR="00522D77" w:rsidRPr="00F209B7">
        <w:t xml:space="preserve">rules </w:t>
      </w:r>
      <w:r w:rsidRPr="00F209B7">
        <w:t xml:space="preserve">and procedures being analysed </w:t>
      </w:r>
      <w:r w:rsidR="00522D77" w:rsidRPr="00F209B7">
        <w:t xml:space="preserve">have </w:t>
      </w:r>
      <w:r w:rsidRPr="00F209B7">
        <w:t xml:space="preserve">already </w:t>
      </w:r>
      <w:r w:rsidR="00522D77" w:rsidRPr="00F209B7">
        <w:t xml:space="preserve">been implemented, </w:t>
      </w:r>
      <w:r w:rsidRPr="00F209B7">
        <w:t xml:space="preserve">however, the findings become </w:t>
      </w:r>
      <w:r w:rsidR="00522D77" w:rsidRPr="00F209B7">
        <w:t xml:space="preserve">hypotheses </w:t>
      </w:r>
      <w:r w:rsidRPr="00F209B7">
        <w:t xml:space="preserve">that </w:t>
      </w:r>
      <w:r w:rsidR="00522D77" w:rsidRPr="00F209B7">
        <w:t>can be tested against actual experience</w:t>
      </w:r>
      <w:r w:rsidRPr="00F209B7">
        <w:t xml:space="preserve">. </w:t>
      </w:r>
    </w:p>
    <w:p w14:paraId="475356C6" w14:textId="77777777" w:rsidR="0082092E" w:rsidRPr="00F209B7" w:rsidRDefault="0082092E" w:rsidP="00D66738">
      <w:pPr>
        <w:pStyle w:val="ListParagraph"/>
        <w:numPr>
          <w:ilvl w:val="0"/>
          <w:numId w:val="18"/>
        </w:numPr>
        <w:jc w:val="both"/>
      </w:pPr>
      <w:r w:rsidRPr="00F209B7">
        <w:t>To develop realistic proposals for change, policymakers need to understand the costs and benefits of the existing regulatory system, not only for small business, but also for other stakeholders. This approach generates an understanding of the likely opposition and possible win-win compromises. For this study, the main stakeholders are broadly small business; other businesses; relevant government agencies; and workers and communities.</w:t>
      </w:r>
    </w:p>
    <w:p w14:paraId="6334B30F" w14:textId="77777777" w:rsidR="00522D77" w:rsidRPr="00F209B7" w:rsidRDefault="008C4A57" w:rsidP="00D66738">
      <w:pPr>
        <w:pStyle w:val="ListParagraph"/>
        <w:numPr>
          <w:ilvl w:val="0"/>
          <w:numId w:val="18"/>
        </w:numPr>
        <w:jc w:val="both"/>
      </w:pPr>
      <w:r w:rsidRPr="00F209B7">
        <w:lastRenderedPageBreak/>
        <w:t xml:space="preserve">As in the SEIAS process, it proves useful to describe </w:t>
      </w:r>
      <w:r w:rsidR="00522D77" w:rsidRPr="00F209B7">
        <w:t xml:space="preserve">costs and benefits </w:t>
      </w:r>
      <w:r w:rsidR="0082092E" w:rsidRPr="00F209B7">
        <w:t xml:space="preserve">to different groups </w:t>
      </w:r>
      <w:r w:rsidR="00522D77" w:rsidRPr="00F209B7">
        <w:t>in</w:t>
      </w:r>
      <w:r w:rsidR="0082092E" w:rsidRPr="00F209B7">
        <w:t xml:space="preserve"> qualitative terms</w:t>
      </w:r>
      <w:r w:rsidR="00522D77" w:rsidRPr="00F209B7">
        <w:t>, even</w:t>
      </w:r>
      <w:r w:rsidR="0082092E" w:rsidRPr="00F209B7">
        <w:t xml:space="preserve"> if they cannot be quantified. </w:t>
      </w:r>
    </w:p>
    <w:p w14:paraId="77C62B13" w14:textId="77777777" w:rsidR="0082092E" w:rsidRDefault="00522D77" w:rsidP="00D66738">
      <w:pPr>
        <w:pStyle w:val="ListParagraph"/>
        <w:numPr>
          <w:ilvl w:val="0"/>
          <w:numId w:val="18"/>
        </w:numPr>
        <w:jc w:val="both"/>
      </w:pPr>
      <w:r w:rsidRPr="00F209B7">
        <w:t xml:space="preserve">In assessing options, </w:t>
      </w:r>
      <w:r w:rsidR="0082092E" w:rsidRPr="00F209B7">
        <w:t xml:space="preserve">it is important to </w:t>
      </w:r>
      <w:r w:rsidRPr="00F209B7">
        <w:t xml:space="preserve">take into account risks as well as the anticipated benefits and costs to </w:t>
      </w:r>
      <w:r w:rsidR="0082092E" w:rsidRPr="00F209B7">
        <w:t xml:space="preserve">the </w:t>
      </w:r>
      <w:r w:rsidRPr="00F209B7">
        <w:t>affected groups</w:t>
      </w:r>
      <w:r w:rsidR="0082092E" w:rsidRPr="00F209B7">
        <w:t xml:space="preserve">. </w:t>
      </w:r>
    </w:p>
    <w:p w14:paraId="6C4186B5" w14:textId="178D14F4" w:rsidR="00D81F08" w:rsidRDefault="00D81F08" w:rsidP="00D66738">
      <w:pPr>
        <w:jc w:val="both"/>
      </w:pPr>
      <w:r>
        <w:t xml:space="preserve">In sum, for each area studied in sections 6 to 10 below:  </w:t>
      </w:r>
    </w:p>
    <w:p w14:paraId="3B967C1E" w14:textId="13D84ED8" w:rsidR="00D81F08" w:rsidRDefault="00D81F08" w:rsidP="00D66738">
      <w:pPr>
        <w:pStyle w:val="ListParagraph"/>
        <w:numPr>
          <w:ilvl w:val="0"/>
          <w:numId w:val="18"/>
        </w:numPr>
        <w:jc w:val="both"/>
      </w:pPr>
      <w:r>
        <w:t>T</w:t>
      </w:r>
      <w:r w:rsidRPr="00F209B7">
        <w:t xml:space="preserve">he analysis starts by explaining the importance of the particular set of rules and procedures analysed, and where relevant the main debates. </w:t>
      </w:r>
    </w:p>
    <w:p w14:paraId="172469C3" w14:textId="77777777" w:rsidR="00D81F08" w:rsidRDefault="00D81F08" w:rsidP="00D66738">
      <w:pPr>
        <w:pStyle w:val="ListParagraph"/>
        <w:numPr>
          <w:ilvl w:val="0"/>
          <w:numId w:val="18"/>
        </w:numPr>
        <w:jc w:val="both"/>
      </w:pPr>
      <w:r w:rsidRPr="00F209B7">
        <w:t xml:space="preserve">The second sub-section reviews the logic of the rules and their inherent theory of change, and the implications for small business. In this context, it identifies the assumptions underlying the theory of change inherent to the legislation. If these assumptions do not hold, then the legislation will likely have unintended consequences. </w:t>
      </w:r>
    </w:p>
    <w:p w14:paraId="6AFA0FAA" w14:textId="77777777" w:rsidR="00D81F08" w:rsidRDefault="00D81F08" w:rsidP="00D66738">
      <w:pPr>
        <w:pStyle w:val="ListParagraph"/>
        <w:numPr>
          <w:ilvl w:val="0"/>
          <w:numId w:val="18"/>
        </w:numPr>
        <w:jc w:val="both"/>
      </w:pPr>
      <w:r w:rsidRPr="00F209B7">
        <w:t xml:space="preserve">The third section assesses the administrative and where relevant the inherent costs for small business based on the textual analysis and associated evidence. </w:t>
      </w:r>
    </w:p>
    <w:p w14:paraId="1637E4F2" w14:textId="77777777" w:rsidR="00D81F08" w:rsidRPr="00F209B7" w:rsidRDefault="00D81F08" w:rsidP="00D66738">
      <w:pPr>
        <w:pStyle w:val="ListParagraph"/>
        <w:numPr>
          <w:ilvl w:val="0"/>
          <w:numId w:val="18"/>
        </w:numPr>
        <w:jc w:val="both"/>
      </w:pPr>
      <w:r w:rsidRPr="00F209B7">
        <w:t xml:space="preserve">The final section proposes and evaluates three options for mitigating the burdens on small business, and indicates which one seems preferable. </w:t>
      </w:r>
    </w:p>
    <w:p w14:paraId="05D7E8D7" w14:textId="470C3D3F" w:rsidR="00D81F08" w:rsidRPr="00F209B7" w:rsidRDefault="00D81F08" w:rsidP="00D66738">
      <w:pPr>
        <w:jc w:val="both"/>
      </w:pPr>
    </w:p>
    <w:p w14:paraId="086F75EF" w14:textId="77777777" w:rsidR="00522D77" w:rsidRPr="00F209B7" w:rsidRDefault="00C000DD" w:rsidP="00D66738">
      <w:pPr>
        <w:pStyle w:val="Heading2"/>
        <w:numPr>
          <w:ilvl w:val="1"/>
          <w:numId w:val="127"/>
        </w:numPr>
        <w:ind w:left="0" w:firstLine="0"/>
        <w:jc w:val="both"/>
      </w:pPr>
      <w:bookmarkStart w:id="575" w:name="_Toc479843909"/>
      <w:bookmarkStart w:id="576" w:name="_Toc479844533"/>
      <w:bookmarkStart w:id="577" w:name="_Toc479940860"/>
      <w:r w:rsidRPr="00F209B7">
        <w:t>Scope</w:t>
      </w:r>
      <w:bookmarkEnd w:id="575"/>
      <w:bookmarkEnd w:id="576"/>
      <w:bookmarkEnd w:id="577"/>
    </w:p>
    <w:p w14:paraId="370C1962" w14:textId="77777777" w:rsidR="00C000DD" w:rsidRPr="00F209B7" w:rsidRDefault="00C000DD" w:rsidP="00D66738">
      <w:pPr>
        <w:jc w:val="both"/>
      </w:pPr>
      <w:r w:rsidRPr="00F209B7">
        <w:t xml:space="preserve">This study aims to analyse the impact of laws on small business. That requires some common definition of small business, although it can be fairly broad.  </w:t>
      </w:r>
    </w:p>
    <w:p w14:paraId="663689FC" w14:textId="51A089AB" w:rsidR="0082092E" w:rsidRPr="00F209B7" w:rsidRDefault="0082092E" w:rsidP="00D66738">
      <w:pPr>
        <w:jc w:val="both"/>
      </w:pPr>
      <w:r w:rsidRPr="00F209B7">
        <w:t>As discussed in Section</w:t>
      </w:r>
      <w:r w:rsidR="00B14753">
        <w:t xml:space="preserve"> </w:t>
      </w:r>
      <w:r w:rsidR="00B14753">
        <w:fldChar w:fldCharType="begin"/>
      </w:r>
      <w:r w:rsidR="00B14753">
        <w:instrText xml:space="preserve"> REF _Ref479588954 \r \h </w:instrText>
      </w:r>
      <w:r w:rsidR="00D66738">
        <w:instrText xml:space="preserve"> \* MERGEFORMAT </w:instrText>
      </w:r>
      <w:r w:rsidR="00B14753">
        <w:fldChar w:fldCharType="separate"/>
      </w:r>
      <w:r w:rsidR="005062E7">
        <w:t>2.2</w:t>
      </w:r>
      <w:r w:rsidR="00B14753">
        <w:fldChar w:fldCharType="end"/>
      </w:r>
      <w:r w:rsidRPr="00F209B7">
        <w:t xml:space="preserve">, small businesses diverge broadly in size, operations and relationship to different laws. For the purposes of this study, it is important to be clear both about the definition of small business used and about the factors that may affect the burdens imposed by specific regulations. </w:t>
      </w:r>
    </w:p>
    <w:p w14:paraId="55586A07" w14:textId="4DEC2ED4" w:rsidR="00522D77" w:rsidRPr="00F209B7" w:rsidRDefault="0082092E" w:rsidP="00D66738">
      <w:pPr>
        <w:jc w:val="both"/>
      </w:pPr>
      <w:r w:rsidRPr="00F209B7">
        <w:t>The</w:t>
      </w:r>
      <w:r w:rsidR="00C000DD" w:rsidRPr="00F209B7">
        <w:t xml:space="preserve"> National</w:t>
      </w:r>
      <w:r w:rsidRPr="00F209B7">
        <w:t xml:space="preserve"> </w:t>
      </w:r>
      <w:r w:rsidR="00522D77" w:rsidRPr="00F209B7">
        <w:t>Small Business Act (1996) uses employment, turnover and assets</w:t>
      </w:r>
      <w:r w:rsidR="0055103F" w:rsidRPr="00F209B7">
        <w:t xml:space="preserve"> to define small business by sector. </w:t>
      </w:r>
      <w:r w:rsidR="00C000DD" w:rsidRPr="00F209B7">
        <w:t xml:space="preserve">As </w:t>
      </w:r>
      <w:r w:rsidR="00C000DD" w:rsidRPr="00F209B7">
        <w:fldChar w:fldCharType="begin"/>
      </w:r>
      <w:r w:rsidR="00C000DD" w:rsidRPr="00F209B7">
        <w:instrText xml:space="preserve"> REF _Ref477851728 \h </w:instrText>
      </w:r>
      <w:r w:rsidR="00493691" w:rsidRPr="00F209B7">
        <w:instrText xml:space="preserve"> \* MERGEFORMAT </w:instrText>
      </w:r>
      <w:r w:rsidR="00C000DD" w:rsidRPr="00F209B7">
        <w:fldChar w:fldCharType="separate"/>
      </w:r>
      <w:r w:rsidR="005062E7" w:rsidRPr="00F209B7">
        <w:t xml:space="preserve">Table </w:t>
      </w:r>
      <w:r w:rsidR="005062E7">
        <w:rPr>
          <w:noProof/>
        </w:rPr>
        <w:t>2</w:t>
      </w:r>
      <w:r w:rsidR="00C000DD" w:rsidRPr="00F209B7">
        <w:fldChar w:fldCharType="end"/>
      </w:r>
      <w:r w:rsidR="00C000DD" w:rsidRPr="00F209B7">
        <w:t xml:space="preserve"> shows, the criteria vary widely, </w:t>
      </w:r>
      <w:r w:rsidR="00F209B7" w:rsidRPr="00F209B7">
        <w:t>largely</w:t>
      </w:r>
      <w:r w:rsidR="00C000DD" w:rsidRPr="00F209B7">
        <w:t xml:space="preserve"> because the definition aimed, not to identify small business for the economy as a whole, but rather to encompass the smallest businesses in each industry. Because the scale of companies varies widely between </w:t>
      </w:r>
      <w:r w:rsidR="00F209B7" w:rsidRPr="00F209B7">
        <w:t>industries</w:t>
      </w:r>
      <w:r w:rsidR="00C000DD" w:rsidRPr="00F209B7">
        <w:t xml:space="preserve">, the result was a fairly wide scope especially for small and medium businesses. </w:t>
      </w:r>
    </w:p>
    <w:p w14:paraId="3BE87472" w14:textId="00F983E4" w:rsidR="0055103F" w:rsidRPr="00F209B7" w:rsidRDefault="0055103F" w:rsidP="00D66738">
      <w:pPr>
        <w:pStyle w:val="Caption"/>
        <w:jc w:val="both"/>
      </w:pPr>
      <w:bookmarkStart w:id="578" w:name="_Ref477851728"/>
      <w:bookmarkStart w:id="579" w:name="_Toc479940959"/>
      <w:r w:rsidRPr="00F209B7">
        <w:t xml:space="preserve">Table </w:t>
      </w:r>
      <w:fldSimple w:instr=" SEQ Table \* ARABIC ">
        <w:r w:rsidR="005062E7">
          <w:rPr>
            <w:noProof/>
          </w:rPr>
          <w:t>2</w:t>
        </w:r>
      </w:fldSimple>
      <w:bookmarkEnd w:id="578"/>
      <w:r w:rsidR="00E95CAE">
        <w:rPr>
          <w:noProof/>
        </w:rPr>
        <w:t>.</w:t>
      </w:r>
      <w:r w:rsidRPr="00F209B7">
        <w:t xml:space="preserve"> Definition of small business by class from </w:t>
      </w:r>
      <w:r w:rsidR="00C000DD" w:rsidRPr="00F209B7">
        <w:t>the National Small Business Act (1996)</w:t>
      </w:r>
      <w:bookmarkEnd w:id="579"/>
    </w:p>
    <w:tbl>
      <w:tblPr>
        <w:tblStyle w:val="TableGrid"/>
        <w:tblW w:w="5000" w:type="pct"/>
        <w:tblLook w:val="04A0" w:firstRow="1" w:lastRow="0" w:firstColumn="1" w:lastColumn="0" w:noHBand="0" w:noVBand="1"/>
      </w:tblPr>
      <w:tblGrid>
        <w:gridCol w:w="1935"/>
        <w:gridCol w:w="2710"/>
        <w:gridCol w:w="2128"/>
        <w:gridCol w:w="2469"/>
      </w:tblGrid>
      <w:tr w:rsidR="0055103F" w:rsidRPr="00F209B7" w14:paraId="5D18A3AB" w14:textId="77777777" w:rsidTr="00653E39">
        <w:trPr>
          <w:tblHeader/>
        </w:trPr>
        <w:tc>
          <w:tcPr>
            <w:tcW w:w="1047" w:type="pct"/>
          </w:tcPr>
          <w:p w14:paraId="5FC81473" w14:textId="77777777" w:rsidR="0055103F" w:rsidRPr="00F209B7" w:rsidRDefault="0055103F" w:rsidP="00D66738">
            <w:pPr>
              <w:pStyle w:val="charts"/>
              <w:jc w:val="both"/>
              <w:rPr>
                <w:b/>
                <w:sz w:val="22"/>
                <w:lang w:eastAsia="en-ZA"/>
              </w:rPr>
            </w:pPr>
            <w:r w:rsidRPr="00F209B7">
              <w:rPr>
                <w:b/>
                <w:sz w:val="22"/>
                <w:lang w:eastAsia="en-ZA"/>
              </w:rPr>
              <w:t>Size</w:t>
            </w:r>
          </w:p>
        </w:tc>
        <w:tc>
          <w:tcPr>
            <w:tcW w:w="1466" w:type="pct"/>
          </w:tcPr>
          <w:p w14:paraId="19C57438" w14:textId="77777777" w:rsidR="0055103F" w:rsidRPr="00F209B7" w:rsidRDefault="00653E39" w:rsidP="00D66738">
            <w:pPr>
              <w:pStyle w:val="charts"/>
              <w:jc w:val="both"/>
              <w:rPr>
                <w:b/>
                <w:sz w:val="22"/>
                <w:lang w:eastAsia="en-ZA"/>
              </w:rPr>
            </w:pPr>
            <w:r w:rsidRPr="00F209B7">
              <w:rPr>
                <w:b/>
                <w:sz w:val="22"/>
                <w:lang w:eastAsia="en-ZA"/>
              </w:rPr>
              <w:t>Number of employees (a</w:t>
            </w:r>
            <w:r w:rsidR="0055103F" w:rsidRPr="00F209B7">
              <w:rPr>
                <w:b/>
                <w:sz w:val="22"/>
                <w:lang w:eastAsia="en-ZA"/>
              </w:rPr>
              <w:t>)</w:t>
            </w:r>
          </w:p>
        </w:tc>
        <w:tc>
          <w:tcPr>
            <w:tcW w:w="1151" w:type="pct"/>
          </w:tcPr>
          <w:p w14:paraId="47084629" w14:textId="77777777" w:rsidR="0055103F" w:rsidRPr="00F209B7" w:rsidRDefault="0055103F" w:rsidP="00D66738">
            <w:pPr>
              <w:pStyle w:val="charts"/>
              <w:jc w:val="both"/>
              <w:rPr>
                <w:b/>
                <w:sz w:val="22"/>
                <w:lang w:eastAsia="en-ZA"/>
              </w:rPr>
            </w:pPr>
            <w:r w:rsidRPr="00F209B7">
              <w:rPr>
                <w:b/>
                <w:sz w:val="22"/>
                <w:lang w:eastAsia="en-ZA"/>
              </w:rPr>
              <w:t>Turnover</w:t>
            </w:r>
          </w:p>
        </w:tc>
        <w:tc>
          <w:tcPr>
            <w:tcW w:w="1337" w:type="pct"/>
          </w:tcPr>
          <w:p w14:paraId="2378671E" w14:textId="77777777" w:rsidR="0055103F" w:rsidRPr="00F209B7" w:rsidRDefault="0055103F" w:rsidP="00D66738">
            <w:pPr>
              <w:pStyle w:val="charts"/>
              <w:jc w:val="both"/>
              <w:rPr>
                <w:b/>
                <w:sz w:val="22"/>
                <w:lang w:eastAsia="en-ZA"/>
              </w:rPr>
            </w:pPr>
            <w:r w:rsidRPr="00F209B7">
              <w:rPr>
                <w:b/>
                <w:sz w:val="22"/>
                <w:lang w:eastAsia="en-ZA"/>
              </w:rPr>
              <w:t>Assets</w:t>
            </w:r>
            <w:r w:rsidR="00653E39" w:rsidRPr="00F209B7">
              <w:rPr>
                <w:b/>
                <w:sz w:val="22"/>
                <w:lang w:eastAsia="en-ZA"/>
              </w:rPr>
              <w:t xml:space="preserve"> (b)</w:t>
            </w:r>
          </w:p>
        </w:tc>
      </w:tr>
      <w:tr w:rsidR="0055103F" w:rsidRPr="00F209B7" w14:paraId="39861B05" w14:textId="77777777" w:rsidTr="00653E39">
        <w:tc>
          <w:tcPr>
            <w:tcW w:w="1047" w:type="pct"/>
            <w:hideMark/>
          </w:tcPr>
          <w:p w14:paraId="154BB2B0" w14:textId="77777777" w:rsidR="0055103F" w:rsidRPr="00F209B7" w:rsidRDefault="0055103F" w:rsidP="00D66738">
            <w:pPr>
              <w:pStyle w:val="charts"/>
              <w:jc w:val="both"/>
              <w:rPr>
                <w:sz w:val="22"/>
                <w:lang w:eastAsia="en-ZA"/>
              </w:rPr>
            </w:pPr>
            <w:r w:rsidRPr="00F209B7">
              <w:rPr>
                <w:sz w:val="22"/>
                <w:lang w:eastAsia="en-ZA"/>
              </w:rPr>
              <w:t>Medium</w:t>
            </w:r>
          </w:p>
        </w:tc>
        <w:tc>
          <w:tcPr>
            <w:tcW w:w="1466" w:type="pct"/>
            <w:vAlign w:val="center"/>
            <w:hideMark/>
          </w:tcPr>
          <w:p w14:paraId="1412BC11" w14:textId="77777777" w:rsidR="0055103F" w:rsidRPr="00F209B7" w:rsidRDefault="0055103F" w:rsidP="00D66738">
            <w:pPr>
              <w:pStyle w:val="charts"/>
              <w:jc w:val="both"/>
              <w:rPr>
                <w:sz w:val="22"/>
                <w:lang w:eastAsia="en-ZA"/>
              </w:rPr>
            </w:pPr>
            <w:r w:rsidRPr="00F209B7">
              <w:rPr>
                <w:sz w:val="22"/>
                <w:lang w:eastAsia="en-ZA"/>
              </w:rPr>
              <w:t>100 to 200</w:t>
            </w:r>
          </w:p>
        </w:tc>
        <w:tc>
          <w:tcPr>
            <w:tcW w:w="1151" w:type="pct"/>
            <w:vAlign w:val="center"/>
            <w:hideMark/>
          </w:tcPr>
          <w:p w14:paraId="2DC59F82" w14:textId="4DF9E285" w:rsidR="0055103F" w:rsidRPr="00F209B7" w:rsidRDefault="0055103F" w:rsidP="00D66738">
            <w:pPr>
              <w:pStyle w:val="charts"/>
              <w:jc w:val="both"/>
              <w:rPr>
                <w:sz w:val="22"/>
                <w:lang w:eastAsia="en-ZA"/>
              </w:rPr>
            </w:pPr>
            <w:r w:rsidRPr="00F209B7">
              <w:rPr>
                <w:sz w:val="22"/>
                <w:lang w:eastAsia="en-ZA"/>
              </w:rPr>
              <w:t>R5</w:t>
            </w:r>
            <w:r w:rsidR="00781252">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r w:rsidR="00C000DD" w:rsidRPr="00F209B7">
              <w:rPr>
                <w:sz w:val="22"/>
                <w:lang w:eastAsia="en-ZA"/>
              </w:rPr>
              <w:t xml:space="preserve"> to R64</w:t>
            </w:r>
            <w:r w:rsidR="00781252">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p>
        </w:tc>
        <w:tc>
          <w:tcPr>
            <w:tcW w:w="1337" w:type="pct"/>
            <w:vAlign w:val="center"/>
            <w:hideMark/>
          </w:tcPr>
          <w:p w14:paraId="11851512" w14:textId="58BD07F9" w:rsidR="0055103F" w:rsidRPr="00F209B7" w:rsidRDefault="00C000DD" w:rsidP="00D66738">
            <w:pPr>
              <w:pStyle w:val="charts"/>
              <w:jc w:val="both"/>
              <w:rPr>
                <w:sz w:val="22"/>
                <w:lang w:eastAsia="en-ZA"/>
              </w:rPr>
            </w:pPr>
            <w:r w:rsidRPr="00F209B7">
              <w:rPr>
                <w:sz w:val="22"/>
                <w:lang w:eastAsia="en-ZA"/>
              </w:rPr>
              <w:t>R3</w:t>
            </w:r>
            <w:r w:rsidR="00653E39" w:rsidRPr="00F209B7">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r w:rsidRPr="00F209B7">
              <w:rPr>
                <w:sz w:val="22"/>
                <w:lang w:eastAsia="en-ZA"/>
              </w:rPr>
              <w:t xml:space="preserve"> to R23</w:t>
            </w:r>
            <w:r w:rsidR="006D7A1C">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p>
        </w:tc>
      </w:tr>
      <w:tr w:rsidR="0055103F" w:rsidRPr="00F209B7" w14:paraId="56F72BBA" w14:textId="77777777" w:rsidTr="00653E39">
        <w:tc>
          <w:tcPr>
            <w:tcW w:w="1047" w:type="pct"/>
            <w:hideMark/>
          </w:tcPr>
          <w:p w14:paraId="68C77398" w14:textId="77777777" w:rsidR="0055103F" w:rsidRPr="00F209B7" w:rsidRDefault="0055103F" w:rsidP="00D66738">
            <w:pPr>
              <w:pStyle w:val="charts"/>
              <w:jc w:val="both"/>
              <w:rPr>
                <w:sz w:val="22"/>
                <w:lang w:eastAsia="en-ZA"/>
              </w:rPr>
            </w:pPr>
            <w:r w:rsidRPr="00F209B7">
              <w:rPr>
                <w:sz w:val="22"/>
                <w:lang w:eastAsia="en-ZA"/>
              </w:rPr>
              <w:t>Small</w:t>
            </w:r>
          </w:p>
        </w:tc>
        <w:tc>
          <w:tcPr>
            <w:tcW w:w="1466" w:type="pct"/>
            <w:vAlign w:val="center"/>
            <w:hideMark/>
          </w:tcPr>
          <w:p w14:paraId="46AA73D2" w14:textId="77777777" w:rsidR="0055103F" w:rsidRPr="00F209B7" w:rsidRDefault="0055103F" w:rsidP="00D66738">
            <w:pPr>
              <w:pStyle w:val="charts"/>
              <w:jc w:val="both"/>
              <w:rPr>
                <w:sz w:val="22"/>
                <w:lang w:eastAsia="en-ZA"/>
              </w:rPr>
            </w:pPr>
            <w:r w:rsidRPr="00F209B7">
              <w:rPr>
                <w:sz w:val="22"/>
                <w:lang w:eastAsia="en-ZA"/>
              </w:rPr>
              <w:t>50</w:t>
            </w:r>
          </w:p>
        </w:tc>
        <w:tc>
          <w:tcPr>
            <w:tcW w:w="1151" w:type="pct"/>
            <w:vAlign w:val="center"/>
            <w:hideMark/>
          </w:tcPr>
          <w:p w14:paraId="142A24D2" w14:textId="6619A8A1" w:rsidR="0055103F" w:rsidRPr="00F209B7" w:rsidRDefault="0055103F" w:rsidP="00D66738">
            <w:pPr>
              <w:pStyle w:val="charts"/>
              <w:jc w:val="both"/>
              <w:rPr>
                <w:sz w:val="22"/>
                <w:lang w:eastAsia="en-ZA"/>
              </w:rPr>
            </w:pPr>
            <w:r w:rsidRPr="00F209B7">
              <w:rPr>
                <w:sz w:val="22"/>
                <w:lang w:eastAsia="en-ZA"/>
              </w:rPr>
              <w:t>R3</w:t>
            </w:r>
            <w:r w:rsidR="00781252">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r w:rsidR="00C000DD" w:rsidRPr="00F209B7">
              <w:rPr>
                <w:sz w:val="22"/>
                <w:lang w:eastAsia="en-ZA"/>
              </w:rPr>
              <w:t xml:space="preserve"> to R32</w:t>
            </w:r>
            <w:r w:rsidR="00781252">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p>
        </w:tc>
        <w:tc>
          <w:tcPr>
            <w:tcW w:w="1337" w:type="pct"/>
            <w:vAlign w:val="center"/>
            <w:hideMark/>
          </w:tcPr>
          <w:p w14:paraId="2FD3447D" w14:textId="6835BDA9" w:rsidR="0055103F" w:rsidRPr="00F209B7" w:rsidRDefault="00C000DD" w:rsidP="00D66738">
            <w:pPr>
              <w:pStyle w:val="charts"/>
              <w:jc w:val="both"/>
              <w:rPr>
                <w:sz w:val="22"/>
                <w:lang w:eastAsia="en-ZA"/>
              </w:rPr>
            </w:pPr>
            <w:r w:rsidRPr="00F209B7">
              <w:rPr>
                <w:sz w:val="22"/>
                <w:lang w:eastAsia="en-ZA"/>
              </w:rPr>
              <w:t>R1</w:t>
            </w:r>
            <w:r w:rsidR="00781252">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r w:rsidRPr="00F209B7">
              <w:rPr>
                <w:sz w:val="22"/>
                <w:lang w:eastAsia="en-ZA"/>
              </w:rPr>
              <w:t xml:space="preserve"> to R6</w:t>
            </w:r>
            <w:r w:rsidR="006D7A1C">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p>
        </w:tc>
      </w:tr>
      <w:tr w:rsidR="0055103F" w:rsidRPr="00F209B7" w14:paraId="1632CC1F" w14:textId="77777777" w:rsidTr="00653E39">
        <w:tc>
          <w:tcPr>
            <w:tcW w:w="1047" w:type="pct"/>
            <w:hideMark/>
          </w:tcPr>
          <w:p w14:paraId="635560E0" w14:textId="77777777" w:rsidR="0055103F" w:rsidRPr="00F209B7" w:rsidRDefault="0055103F" w:rsidP="00D66738">
            <w:pPr>
              <w:pStyle w:val="charts"/>
              <w:jc w:val="both"/>
              <w:rPr>
                <w:sz w:val="22"/>
                <w:lang w:eastAsia="en-ZA"/>
              </w:rPr>
            </w:pPr>
            <w:r w:rsidRPr="00F209B7">
              <w:rPr>
                <w:sz w:val="22"/>
                <w:lang w:eastAsia="en-ZA"/>
              </w:rPr>
              <w:t>Very Small</w:t>
            </w:r>
          </w:p>
        </w:tc>
        <w:tc>
          <w:tcPr>
            <w:tcW w:w="1466" w:type="pct"/>
            <w:vAlign w:val="center"/>
            <w:hideMark/>
          </w:tcPr>
          <w:p w14:paraId="5D725733" w14:textId="77777777" w:rsidR="0055103F" w:rsidRPr="00F209B7" w:rsidRDefault="0055103F" w:rsidP="00D66738">
            <w:pPr>
              <w:pStyle w:val="charts"/>
              <w:jc w:val="both"/>
              <w:rPr>
                <w:sz w:val="22"/>
                <w:lang w:eastAsia="en-ZA"/>
              </w:rPr>
            </w:pPr>
            <w:r w:rsidRPr="00F209B7">
              <w:rPr>
                <w:sz w:val="22"/>
                <w:lang w:eastAsia="en-ZA"/>
              </w:rPr>
              <w:t>10</w:t>
            </w:r>
          </w:p>
        </w:tc>
        <w:tc>
          <w:tcPr>
            <w:tcW w:w="1151" w:type="pct"/>
            <w:vAlign w:val="center"/>
            <w:hideMark/>
          </w:tcPr>
          <w:p w14:paraId="068839F7" w14:textId="25ACE9CE" w:rsidR="0055103F" w:rsidRPr="00F209B7" w:rsidRDefault="00781252" w:rsidP="00D66738">
            <w:pPr>
              <w:pStyle w:val="charts"/>
              <w:jc w:val="both"/>
              <w:rPr>
                <w:sz w:val="22"/>
                <w:lang w:eastAsia="en-ZA"/>
              </w:rPr>
            </w:pPr>
            <w:r>
              <w:rPr>
                <w:sz w:val="22"/>
                <w:lang w:eastAsia="en-ZA"/>
              </w:rPr>
              <w:t xml:space="preserve">R0.5 </w:t>
            </w:r>
            <w:proofErr w:type="spellStart"/>
            <w:r w:rsidR="00653E39" w:rsidRPr="00F209B7">
              <w:rPr>
                <w:sz w:val="22"/>
                <w:lang w:eastAsia="en-ZA"/>
              </w:rPr>
              <w:t>mn</w:t>
            </w:r>
            <w:proofErr w:type="spellEnd"/>
            <w:r w:rsidR="00653E39" w:rsidRPr="00F209B7">
              <w:rPr>
                <w:sz w:val="22"/>
                <w:lang w:eastAsia="en-ZA"/>
              </w:rPr>
              <w:t>.</w:t>
            </w:r>
            <w:r w:rsidR="00C000DD" w:rsidRPr="00F209B7">
              <w:rPr>
                <w:sz w:val="22"/>
                <w:lang w:eastAsia="en-ZA"/>
              </w:rPr>
              <w:t xml:space="preserve"> to R6</w:t>
            </w:r>
            <w:r>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p>
        </w:tc>
        <w:tc>
          <w:tcPr>
            <w:tcW w:w="1337" w:type="pct"/>
            <w:vAlign w:val="center"/>
            <w:hideMark/>
          </w:tcPr>
          <w:p w14:paraId="33246491" w14:textId="72DCB6E0" w:rsidR="0055103F" w:rsidRPr="00F209B7" w:rsidRDefault="00C000DD" w:rsidP="00D66738">
            <w:pPr>
              <w:pStyle w:val="charts"/>
              <w:jc w:val="both"/>
              <w:rPr>
                <w:sz w:val="22"/>
                <w:lang w:eastAsia="en-ZA"/>
              </w:rPr>
            </w:pPr>
            <w:r w:rsidRPr="00F209B7">
              <w:rPr>
                <w:sz w:val="22"/>
                <w:lang w:eastAsia="en-ZA"/>
              </w:rPr>
              <w:t>R0.5</w:t>
            </w:r>
            <w:r w:rsidR="00653E39" w:rsidRPr="00F209B7">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r w:rsidRPr="00F209B7">
              <w:rPr>
                <w:sz w:val="22"/>
                <w:lang w:eastAsia="en-ZA"/>
              </w:rPr>
              <w:t xml:space="preserve"> to R2</w:t>
            </w:r>
            <w:r w:rsidR="006D7A1C">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p>
        </w:tc>
      </w:tr>
      <w:tr w:rsidR="00C000DD" w:rsidRPr="00F209B7" w14:paraId="2B9119AB" w14:textId="77777777" w:rsidTr="00653E39">
        <w:tc>
          <w:tcPr>
            <w:tcW w:w="1047" w:type="pct"/>
            <w:hideMark/>
          </w:tcPr>
          <w:p w14:paraId="35CD72A4" w14:textId="77777777" w:rsidR="0055103F" w:rsidRPr="00F209B7" w:rsidRDefault="0055103F" w:rsidP="00D66738">
            <w:pPr>
              <w:pStyle w:val="charts"/>
              <w:jc w:val="both"/>
              <w:rPr>
                <w:sz w:val="22"/>
                <w:lang w:eastAsia="en-ZA"/>
              </w:rPr>
            </w:pPr>
            <w:r w:rsidRPr="00F209B7">
              <w:rPr>
                <w:sz w:val="22"/>
                <w:lang w:eastAsia="en-ZA"/>
              </w:rPr>
              <w:t>Micro</w:t>
            </w:r>
          </w:p>
        </w:tc>
        <w:tc>
          <w:tcPr>
            <w:tcW w:w="1466" w:type="pct"/>
            <w:vAlign w:val="center"/>
            <w:hideMark/>
          </w:tcPr>
          <w:p w14:paraId="25B3CBF4" w14:textId="77777777" w:rsidR="0055103F" w:rsidRPr="00F209B7" w:rsidRDefault="0055103F" w:rsidP="00D66738">
            <w:pPr>
              <w:pStyle w:val="charts"/>
              <w:jc w:val="both"/>
              <w:rPr>
                <w:sz w:val="22"/>
                <w:lang w:eastAsia="en-ZA"/>
              </w:rPr>
            </w:pPr>
            <w:r w:rsidRPr="00F209B7">
              <w:rPr>
                <w:sz w:val="22"/>
                <w:lang w:eastAsia="en-ZA"/>
              </w:rPr>
              <w:t>5</w:t>
            </w:r>
          </w:p>
        </w:tc>
        <w:tc>
          <w:tcPr>
            <w:tcW w:w="1151" w:type="pct"/>
            <w:vAlign w:val="center"/>
            <w:hideMark/>
          </w:tcPr>
          <w:p w14:paraId="7DA42954" w14:textId="1860A610" w:rsidR="0055103F" w:rsidRPr="00F209B7" w:rsidRDefault="0055103F" w:rsidP="00D66738">
            <w:pPr>
              <w:pStyle w:val="charts"/>
              <w:jc w:val="both"/>
              <w:rPr>
                <w:sz w:val="22"/>
                <w:lang w:eastAsia="en-ZA"/>
              </w:rPr>
            </w:pPr>
            <w:r w:rsidRPr="00F209B7">
              <w:rPr>
                <w:sz w:val="22"/>
                <w:lang w:eastAsia="en-ZA"/>
              </w:rPr>
              <w:t>R0.2</w:t>
            </w:r>
            <w:r w:rsidR="00781252">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p>
        </w:tc>
        <w:tc>
          <w:tcPr>
            <w:tcW w:w="1337" w:type="pct"/>
            <w:vAlign w:val="center"/>
            <w:hideMark/>
          </w:tcPr>
          <w:p w14:paraId="1DD2659E" w14:textId="4ECF82DC" w:rsidR="0055103F" w:rsidRPr="00F209B7" w:rsidRDefault="0055103F" w:rsidP="00D66738">
            <w:pPr>
              <w:pStyle w:val="charts"/>
              <w:jc w:val="both"/>
              <w:rPr>
                <w:sz w:val="22"/>
                <w:lang w:eastAsia="en-ZA"/>
              </w:rPr>
            </w:pPr>
            <w:r w:rsidRPr="00F209B7">
              <w:rPr>
                <w:sz w:val="22"/>
                <w:lang w:eastAsia="en-ZA"/>
              </w:rPr>
              <w:t>R0.1</w:t>
            </w:r>
            <w:r w:rsidR="00781252">
              <w:rPr>
                <w:sz w:val="22"/>
                <w:lang w:eastAsia="en-ZA"/>
              </w:rPr>
              <w:t xml:space="preserve"> </w:t>
            </w:r>
            <w:proofErr w:type="spellStart"/>
            <w:r w:rsidR="00653E39" w:rsidRPr="00F209B7">
              <w:rPr>
                <w:sz w:val="22"/>
                <w:lang w:eastAsia="en-ZA"/>
              </w:rPr>
              <w:t>mn</w:t>
            </w:r>
            <w:proofErr w:type="spellEnd"/>
            <w:r w:rsidR="00653E39" w:rsidRPr="00F209B7">
              <w:rPr>
                <w:sz w:val="22"/>
                <w:lang w:eastAsia="en-ZA"/>
              </w:rPr>
              <w:t>.</w:t>
            </w:r>
          </w:p>
        </w:tc>
      </w:tr>
    </w:tbl>
    <w:p w14:paraId="78928298" w14:textId="77777777" w:rsidR="00C000DD" w:rsidRPr="00F209B7" w:rsidRDefault="00C000DD" w:rsidP="00D66738">
      <w:pPr>
        <w:pStyle w:val="source"/>
        <w:jc w:val="both"/>
      </w:pPr>
      <w:r w:rsidRPr="00F209B7">
        <w:rPr>
          <w:i/>
        </w:rPr>
        <w:t xml:space="preserve">Notes: </w:t>
      </w:r>
      <w:r w:rsidRPr="00F209B7">
        <w:t>(a) Expressed</w:t>
      </w:r>
      <w:r w:rsidR="00915DBF" w:rsidRPr="00F209B7">
        <w:t xml:space="preserve"> in full-time equiv</w:t>
      </w:r>
      <w:r w:rsidRPr="00F209B7">
        <w:t xml:space="preserve">alents. (b) Excludes fixed property. </w:t>
      </w:r>
    </w:p>
    <w:p w14:paraId="27A8FA61" w14:textId="09DC23F7" w:rsidR="00C000DD" w:rsidRPr="00F209B7" w:rsidRDefault="005202FC" w:rsidP="00D66738">
      <w:pPr>
        <w:jc w:val="both"/>
      </w:pPr>
      <w:r>
        <w:t>Appendix 4</w:t>
      </w:r>
      <w:r w:rsidR="00C000DD" w:rsidRPr="00F209B7">
        <w:t xml:space="preserve"> gives the full set of definitions by industry. The Act is currently being reviewed, however, which may lead to some changes in the definition. </w:t>
      </w:r>
    </w:p>
    <w:p w14:paraId="189A2A24" w14:textId="5D5C7FBD" w:rsidR="00915DBF" w:rsidRPr="00F209B7" w:rsidRDefault="00915DBF" w:rsidP="00D66738">
      <w:pPr>
        <w:jc w:val="both"/>
      </w:pPr>
      <w:r w:rsidRPr="00F209B7">
        <w:t xml:space="preserve">For the purposes of this study, the figures for number of employees guided the mapping of small businesses. But it was not applied rigidly to informants or in analysing the impact of </w:t>
      </w:r>
      <w:r w:rsidRPr="00F209B7">
        <w:lastRenderedPageBreak/>
        <w:t xml:space="preserve">laws, except where the law itself includes a definition as in the case of BBBEE.  </w:t>
      </w:r>
      <w:r w:rsidR="00653E39" w:rsidRPr="00F209B7">
        <w:t xml:space="preserve">The main focus has been on small and very small business. </w:t>
      </w:r>
    </w:p>
    <w:p w14:paraId="6D4F64D1" w14:textId="7146774F" w:rsidR="00522D77" w:rsidRPr="00F209B7" w:rsidRDefault="00915DBF" w:rsidP="00D66738">
      <w:pPr>
        <w:jc w:val="both"/>
      </w:pPr>
      <w:r w:rsidRPr="00F209B7">
        <w:t>The Act does not take into account differences between formal and informal business. In the event, for this study that becomes a critical factor. In the</w:t>
      </w:r>
      <w:r w:rsidR="00522D77" w:rsidRPr="00F209B7">
        <w:t xml:space="preserve"> three cases where </w:t>
      </w:r>
      <w:r w:rsidRPr="00F209B7">
        <w:t xml:space="preserve">the </w:t>
      </w:r>
      <w:r w:rsidR="00522D77" w:rsidRPr="00F209B7">
        <w:t xml:space="preserve">scope </w:t>
      </w:r>
      <w:r w:rsidRPr="00F209B7">
        <w:t xml:space="preserve">is </w:t>
      </w:r>
      <w:r w:rsidR="00522D77" w:rsidRPr="00F209B7">
        <w:t xml:space="preserve">defined by </w:t>
      </w:r>
      <w:r w:rsidRPr="00F209B7">
        <w:t xml:space="preserve">specific </w:t>
      </w:r>
      <w:r w:rsidR="00522D77" w:rsidRPr="00F209B7">
        <w:t>laws</w:t>
      </w:r>
      <w:r w:rsidRPr="00F209B7">
        <w:t xml:space="preserve"> – that is, registration and reporting; </w:t>
      </w:r>
      <w:r w:rsidR="00790005">
        <w:t>BB</w:t>
      </w:r>
      <w:r w:rsidRPr="00F209B7">
        <w:t xml:space="preserve">BEE; and procurement – the impact assessment focuses on </w:t>
      </w:r>
      <w:r w:rsidR="00522D77" w:rsidRPr="00F209B7">
        <w:t xml:space="preserve">formal </w:t>
      </w:r>
      <w:r w:rsidR="00B00C15" w:rsidRPr="00F209B7">
        <w:t>small business</w:t>
      </w:r>
      <w:r w:rsidR="00522D77" w:rsidRPr="00F209B7">
        <w:t xml:space="preserve">, as informal business by definition </w:t>
      </w:r>
      <w:r w:rsidRPr="00F209B7">
        <w:t xml:space="preserve">is </w:t>
      </w:r>
      <w:r w:rsidR="00522D77" w:rsidRPr="00F209B7">
        <w:t xml:space="preserve">not affected by </w:t>
      </w:r>
      <w:r w:rsidRPr="00F209B7">
        <w:t xml:space="preserve">the </w:t>
      </w:r>
      <w:r w:rsidR="00522D77" w:rsidRPr="00F209B7">
        <w:t>regulatory burdens</w:t>
      </w:r>
      <w:r w:rsidRPr="00F209B7">
        <w:t xml:space="preserve"> identified. </w:t>
      </w:r>
      <w:r w:rsidR="00522D77" w:rsidRPr="00F209B7">
        <w:t xml:space="preserve">In </w:t>
      </w:r>
      <w:r w:rsidR="00653E39" w:rsidRPr="00F209B7">
        <w:t xml:space="preserve">the case of </w:t>
      </w:r>
      <w:r w:rsidR="00522D77" w:rsidRPr="00F209B7">
        <w:t xml:space="preserve">construction, </w:t>
      </w:r>
      <w:r w:rsidR="00653E39" w:rsidRPr="00F209B7">
        <w:t xml:space="preserve">all </w:t>
      </w:r>
      <w:r w:rsidR="00522D77" w:rsidRPr="00F209B7">
        <w:t xml:space="preserve">small business </w:t>
      </w:r>
      <w:r w:rsidR="00E95CAE">
        <w:t>is included</w:t>
      </w:r>
      <w:r w:rsidR="00653E39" w:rsidRPr="00F209B7">
        <w:t xml:space="preserve"> </w:t>
      </w:r>
      <w:r w:rsidR="00522D77" w:rsidRPr="00F209B7">
        <w:t xml:space="preserve">but informants </w:t>
      </w:r>
      <w:r w:rsidR="00653E39" w:rsidRPr="00F209B7">
        <w:t xml:space="preserve">were </w:t>
      </w:r>
      <w:r w:rsidR="00522D77" w:rsidRPr="00F209B7">
        <w:t>mostly drawn from small formal enterprises</w:t>
      </w:r>
      <w:r w:rsidR="00653E39" w:rsidRPr="00F209B7">
        <w:t xml:space="preserve">. </w:t>
      </w:r>
    </w:p>
    <w:p w14:paraId="5384422F" w14:textId="575D2707" w:rsidR="00522D77" w:rsidRPr="00A215BF" w:rsidRDefault="00522D77" w:rsidP="00D66738">
      <w:pPr>
        <w:pStyle w:val="Heading1"/>
        <w:numPr>
          <w:ilvl w:val="0"/>
          <w:numId w:val="118"/>
        </w:numPr>
        <w:spacing w:after="160" w:line="259" w:lineRule="auto"/>
        <w:jc w:val="both"/>
        <w:rPr>
          <w:rFonts w:ascii="Calibri" w:hAnsi="Calibri"/>
          <w:caps/>
          <w:color w:val="1B5068"/>
        </w:rPr>
      </w:pPr>
      <w:bookmarkStart w:id="580" w:name="_Toc479843910"/>
      <w:bookmarkStart w:id="581" w:name="_Toc479844534"/>
      <w:bookmarkStart w:id="582" w:name="_Toc479940861"/>
      <w:r w:rsidRPr="00A215BF">
        <w:rPr>
          <w:rFonts w:ascii="Calibri" w:hAnsi="Calibri"/>
          <w:caps/>
          <w:color w:val="1B5068"/>
        </w:rPr>
        <w:t>Registration and reporting</w:t>
      </w:r>
      <w:bookmarkEnd w:id="580"/>
      <w:bookmarkEnd w:id="581"/>
      <w:bookmarkEnd w:id="582"/>
    </w:p>
    <w:p w14:paraId="13EBF612" w14:textId="77777777" w:rsidR="00522D77" w:rsidRPr="00F209B7" w:rsidRDefault="00653E39" w:rsidP="00D66738">
      <w:pPr>
        <w:pStyle w:val="Heading2"/>
        <w:numPr>
          <w:ilvl w:val="1"/>
          <w:numId w:val="129"/>
        </w:numPr>
        <w:ind w:left="0" w:firstLine="0"/>
        <w:jc w:val="both"/>
      </w:pPr>
      <w:bookmarkStart w:id="583" w:name="_Toc479843911"/>
      <w:bookmarkStart w:id="584" w:name="_Toc479844535"/>
      <w:bookmarkStart w:id="585" w:name="_Toc479940862"/>
      <w:r w:rsidRPr="00F209B7">
        <w:t>Importance for small business</w:t>
      </w:r>
      <w:bookmarkEnd w:id="583"/>
      <w:bookmarkEnd w:id="584"/>
      <w:bookmarkEnd w:id="585"/>
    </w:p>
    <w:p w14:paraId="5E4BC0B7" w14:textId="77777777" w:rsidR="00522D77" w:rsidRPr="00F209B7" w:rsidRDefault="00653E39" w:rsidP="00D66738">
      <w:pPr>
        <w:jc w:val="both"/>
      </w:pPr>
      <w:r w:rsidRPr="00F209B7">
        <w:t>Requirements to register with and report information to state agencies form the c</w:t>
      </w:r>
      <w:r w:rsidR="00522D77" w:rsidRPr="00F209B7">
        <w:t xml:space="preserve">ore of red tape </w:t>
      </w:r>
      <w:r w:rsidRPr="00F209B7">
        <w:t xml:space="preserve">as commonly understood. </w:t>
      </w:r>
      <w:r w:rsidR="00170B5A" w:rsidRPr="00F209B7">
        <w:t>These kinds of obligations arise</w:t>
      </w:r>
      <w:r w:rsidRPr="00F209B7">
        <w:t xml:space="preserve"> from many </w:t>
      </w:r>
      <w:r w:rsidR="00522D77" w:rsidRPr="00F209B7">
        <w:t xml:space="preserve">laws </w:t>
      </w:r>
      <w:r w:rsidRPr="00F209B7">
        <w:t xml:space="preserve">and regulations </w:t>
      </w:r>
      <w:r w:rsidR="00522D77" w:rsidRPr="00F209B7">
        <w:t xml:space="preserve">because </w:t>
      </w:r>
      <w:r w:rsidRPr="00F209B7">
        <w:t xml:space="preserve">the </w:t>
      </w:r>
      <w:r w:rsidR="00522D77" w:rsidRPr="00F209B7">
        <w:t xml:space="preserve">state has </w:t>
      </w:r>
      <w:r w:rsidRPr="00F209B7">
        <w:t xml:space="preserve">an </w:t>
      </w:r>
      <w:r w:rsidR="00522D77" w:rsidRPr="00F209B7">
        <w:t xml:space="preserve">interest in </w:t>
      </w:r>
      <w:r w:rsidRPr="00F209B7">
        <w:t>identifying relevant businesses and knowing information about them, in particular for the purposes of:</w:t>
      </w:r>
    </w:p>
    <w:p w14:paraId="1B2D24D1" w14:textId="77777777" w:rsidR="00522D77" w:rsidRPr="00F209B7" w:rsidRDefault="00653E39" w:rsidP="00D66738">
      <w:pPr>
        <w:pStyle w:val="ListParagraph"/>
        <w:numPr>
          <w:ilvl w:val="0"/>
          <w:numId w:val="12"/>
        </w:numPr>
        <w:jc w:val="both"/>
      </w:pPr>
      <w:r w:rsidRPr="00F209B7">
        <w:t>Determining l</w:t>
      </w:r>
      <w:r w:rsidR="00522D77" w:rsidRPr="00F209B7">
        <w:t xml:space="preserve">egal status </w:t>
      </w:r>
      <w:r w:rsidRPr="00F209B7">
        <w:t xml:space="preserve">and liability in </w:t>
      </w:r>
      <w:r w:rsidR="00522D77" w:rsidRPr="00F209B7">
        <w:t>contracts</w:t>
      </w:r>
      <w:r w:rsidRPr="00F209B7">
        <w:t>,</w:t>
      </w:r>
    </w:p>
    <w:p w14:paraId="2DEA34D4" w14:textId="77777777" w:rsidR="00522D77" w:rsidRPr="00F209B7" w:rsidRDefault="00653E39" w:rsidP="00D66738">
      <w:pPr>
        <w:pStyle w:val="ListParagraph"/>
        <w:numPr>
          <w:ilvl w:val="0"/>
          <w:numId w:val="12"/>
        </w:numPr>
        <w:jc w:val="both"/>
      </w:pPr>
      <w:r w:rsidRPr="00F209B7">
        <w:t>Levying t</w:t>
      </w:r>
      <w:r w:rsidR="00522D77" w:rsidRPr="00F209B7">
        <w:t>ax</w:t>
      </w:r>
      <w:r w:rsidRPr="00F209B7">
        <w:t>es</w:t>
      </w:r>
      <w:r w:rsidR="00522D77" w:rsidRPr="00F209B7">
        <w:t xml:space="preserve"> and rates</w:t>
      </w:r>
      <w:r w:rsidRPr="00F209B7">
        <w:t>,</w:t>
      </w:r>
    </w:p>
    <w:p w14:paraId="0CF966C3" w14:textId="4D86BEC0" w:rsidR="00522D77" w:rsidRPr="00F209B7" w:rsidRDefault="00653E39" w:rsidP="00D66738">
      <w:pPr>
        <w:pStyle w:val="ListParagraph"/>
        <w:numPr>
          <w:ilvl w:val="0"/>
          <w:numId w:val="12"/>
        </w:numPr>
        <w:jc w:val="both"/>
      </w:pPr>
      <w:r w:rsidRPr="00F209B7">
        <w:t xml:space="preserve">Providing </w:t>
      </w:r>
      <w:r w:rsidR="0062622B">
        <w:t xml:space="preserve">targeted </w:t>
      </w:r>
      <w:r w:rsidRPr="00F209B7">
        <w:t>infrastructure and other services</w:t>
      </w:r>
      <w:r w:rsidR="0062622B">
        <w:t xml:space="preserve"> to businesses</w:t>
      </w:r>
      <w:r w:rsidRPr="00F209B7">
        <w:t xml:space="preserve">, and where relevant ensuring </w:t>
      </w:r>
      <w:r w:rsidR="00522D77" w:rsidRPr="00F209B7">
        <w:t>payment for</w:t>
      </w:r>
      <w:r w:rsidRPr="00F209B7">
        <w:t xml:space="preserve"> them, and</w:t>
      </w:r>
    </w:p>
    <w:p w14:paraId="56E7EDBA" w14:textId="00E73457" w:rsidR="00522D77" w:rsidRPr="00F209B7" w:rsidRDefault="00653E39" w:rsidP="00D66738">
      <w:pPr>
        <w:pStyle w:val="ListParagraph"/>
        <w:numPr>
          <w:ilvl w:val="0"/>
          <w:numId w:val="12"/>
        </w:numPr>
        <w:jc w:val="both"/>
      </w:pPr>
      <w:r w:rsidRPr="00F209B7">
        <w:t>Ensuring adherence to standards</w:t>
      </w:r>
      <w:r w:rsidR="0062622B">
        <w:t>,</w:t>
      </w:r>
      <w:r w:rsidRPr="00F209B7">
        <w:t xml:space="preserve"> especially in terms of the </w:t>
      </w:r>
      <w:r w:rsidR="00522D77" w:rsidRPr="00F209B7">
        <w:t xml:space="preserve">environment, labour </w:t>
      </w:r>
      <w:r w:rsidRPr="00F209B7">
        <w:t xml:space="preserve">and </w:t>
      </w:r>
      <w:r w:rsidR="00522D77" w:rsidRPr="00F209B7">
        <w:t>consumer safety</w:t>
      </w:r>
      <w:r w:rsidRPr="00F209B7">
        <w:t xml:space="preserve"> – in effect, in order to ensure internalisation of externalities for businesses.</w:t>
      </w:r>
    </w:p>
    <w:p w14:paraId="1A97DCD4" w14:textId="16A1CDBA" w:rsidR="00522D77" w:rsidRPr="00F209B7" w:rsidRDefault="00653E39" w:rsidP="00D66738">
      <w:pPr>
        <w:jc w:val="both"/>
      </w:pPr>
      <w:r w:rsidRPr="00F209B7">
        <w:t>In some instances, small business</w:t>
      </w:r>
      <w:r w:rsidR="00170B5A" w:rsidRPr="00F209B7">
        <w:t>es</w:t>
      </w:r>
      <w:r w:rsidRPr="00F209B7">
        <w:t xml:space="preserve"> </w:t>
      </w:r>
      <w:r w:rsidR="00170B5A" w:rsidRPr="00F209B7">
        <w:t xml:space="preserve">obtain </w:t>
      </w:r>
      <w:r w:rsidRPr="00F209B7">
        <w:t xml:space="preserve">benefits </w:t>
      </w:r>
      <w:r w:rsidR="0062622B">
        <w:t xml:space="preserve">from these laws and regulations </w:t>
      </w:r>
      <w:r w:rsidRPr="00F209B7">
        <w:t xml:space="preserve">directly, as in the case of </w:t>
      </w:r>
      <w:r w:rsidR="00D81F08">
        <w:t xml:space="preserve">securing </w:t>
      </w:r>
      <w:r w:rsidRPr="00F209B7">
        <w:t xml:space="preserve">legal status and obtaining </w:t>
      </w:r>
      <w:r w:rsidR="00F209B7" w:rsidRPr="00F209B7">
        <w:t>infrastructure</w:t>
      </w:r>
      <w:r w:rsidR="00427787">
        <w:t>. In other instances, businesses benefit</w:t>
      </w:r>
      <w:r w:rsidRPr="00F209B7">
        <w:t xml:space="preserve"> indirectly, through greater social coh</w:t>
      </w:r>
      <w:r w:rsidR="0062622B">
        <w:t xml:space="preserve">esion and reduced conflict with </w:t>
      </w:r>
      <w:r w:rsidR="0062622B" w:rsidRPr="00F209B7">
        <w:t>labour</w:t>
      </w:r>
      <w:r w:rsidR="0062622B">
        <w:t>,</w:t>
      </w:r>
      <w:r w:rsidR="0062622B" w:rsidRPr="00F209B7">
        <w:t xml:space="preserve"> consumers </w:t>
      </w:r>
      <w:r w:rsidR="0062622B">
        <w:t xml:space="preserve">and </w:t>
      </w:r>
      <w:r w:rsidRPr="00F209B7">
        <w:t>communities.</w:t>
      </w:r>
      <w:r w:rsidR="00D81F08">
        <w:t xml:space="preserve"> Still,</w:t>
      </w:r>
      <w:r w:rsidR="00427787">
        <w:t xml:space="preserve"> in most cases </w:t>
      </w:r>
      <w:r w:rsidR="00427787" w:rsidRPr="00F209B7">
        <w:t xml:space="preserve">businesses see </w:t>
      </w:r>
      <w:r w:rsidR="00D81F08">
        <w:t xml:space="preserve">the </w:t>
      </w:r>
      <w:r w:rsidR="00427787" w:rsidRPr="00F209B7">
        <w:t xml:space="preserve">immediate costs </w:t>
      </w:r>
      <w:r w:rsidR="00D81F08">
        <w:t xml:space="preserve">but have </w:t>
      </w:r>
      <w:r w:rsidR="00427787" w:rsidRPr="00F209B7">
        <w:t xml:space="preserve">only vague and general </w:t>
      </w:r>
      <w:r w:rsidR="00427787">
        <w:t>understanding of</w:t>
      </w:r>
      <w:r w:rsidR="00D81F08">
        <w:t xml:space="preserve"> possible benefits</w:t>
      </w:r>
      <w:r w:rsidR="00427787">
        <w:t xml:space="preserve">. </w:t>
      </w:r>
      <w:r w:rsidRPr="00F209B7">
        <w:t>In these</w:t>
      </w:r>
      <w:r w:rsidR="00170B5A" w:rsidRPr="00F209B7">
        <w:t xml:space="preserve"> instances</w:t>
      </w:r>
      <w:r w:rsidRPr="00F209B7">
        <w:t>, even if administrative costs are reduced to the minimum, business</w:t>
      </w:r>
      <w:r w:rsidR="00D81F08">
        <w:t>people</w:t>
      </w:r>
      <w:r w:rsidRPr="00F209B7">
        <w:t xml:space="preserve"> </w:t>
      </w:r>
      <w:r w:rsidR="00D81F08">
        <w:t xml:space="preserve">often </w:t>
      </w:r>
      <w:r w:rsidRPr="00F209B7">
        <w:t xml:space="preserve">argue that they are excessive since they do not perceive the off-setting benefits. </w:t>
      </w:r>
    </w:p>
    <w:p w14:paraId="4EFF65D7" w14:textId="547A48CC" w:rsidR="00C429D2" w:rsidRPr="00F209B7" w:rsidRDefault="00C429D2" w:rsidP="00D66738">
      <w:pPr>
        <w:jc w:val="both"/>
      </w:pPr>
      <w:r w:rsidRPr="00F209B7">
        <w:t>Evaluations of the cost of registration and report</w:t>
      </w:r>
      <w:r w:rsidR="00170B5A" w:rsidRPr="00F209B7">
        <w:t>ing requirements often dovetail</w:t>
      </w:r>
      <w:r w:rsidRPr="00F209B7">
        <w:t xml:space="preserve"> with a broader view of the role of the state.</w:t>
      </w:r>
      <w:r w:rsidR="00D81F08">
        <w:t xml:space="preserve"> Thus</w:t>
      </w:r>
      <w:r w:rsidRPr="00F209B7">
        <w:t xml:space="preserve">, free-market </w:t>
      </w:r>
      <w:r w:rsidR="00F209B7" w:rsidRPr="00F209B7">
        <w:t>proponents</w:t>
      </w:r>
      <w:r w:rsidRPr="00F209B7">
        <w:t xml:space="preserve"> are disposed to view any administrative cost as excessive, because they do not see much in the way of benefits from state regulation. In contrast, proponents of </w:t>
      </w:r>
      <w:r w:rsidR="00522D77" w:rsidRPr="00F209B7">
        <w:t>industrial policy</w:t>
      </w:r>
      <w:r w:rsidRPr="00F209B7">
        <w:t xml:space="preserve"> as well as environmental, consumer and labour protection generally argue that the benefits outweigh the </w:t>
      </w:r>
      <w:r w:rsidR="00F209B7" w:rsidRPr="00F209B7">
        <w:t>administrative</w:t>
      </w:r>
      <w:r w:rsidRPr="00F209B7">
        <w:t xml:space="preserve"> burden, although they may agree that some red tape could be reduced. </w:t>
      </w:r>
    </w:p>
    <w:p w14:paraId="36F2C51E" w14:textId="702C5269" w:rsidR="00522D77" w:rsidRPr="00F209B7" w:rsidRDefault="00C429D2" w:rsidP="00D66738">
      <w:pPr>
        <w:jc w:val="both"/>
      </w:pPr>
      <w:r w:rsidRPr="00F209B7">
        <w:t xml:space="preserve">Assessing the impact of registration and reporting is </w:t>
      </w:r>
      <w:r w:rsidR="00D81F08">
        <w:t xml:space="preserve">often </w:t>
      </w:r>
      <w:r w:rsidRPr="00F209B7">
        <w:t>difficult because s</w:t>
      </w:r>
      <w:r w:rsidR="00522D77" w:rsidRPr="00F209B7">
        <w:t xml:space="preserve">tudies </w:t>
      </w:r>
      <w:r w:rsidRPr="00F209B7">
        <w:t xml:space="preserve">are rarely able to track </w:t>
      </w:r>
      <w:r w:rsidR="00D81F08">
        <w:t xml:space="preserve">how much </w:t>
      </w:r>
      <w:r w:rsidRPr="00F209B7">
        <w:t>actual time and</w:t>
      </w:r>
      <w:r w:rsidR="00D81F08">
        <w:t xml:space="preserve"> funding businesses use</w:t>
      </w:r>
      <w:r w:rsidRPr="00F209B7">
        <w:t xml:space="preserve">. Instead, </w:t>
      </w:r>
      <w:r w:rsidR="00D81F08">
        <w:t>most studies depend on self-reporting by business owners. That</w:t>
      </w:r>
      <w:r w:rsidRPr="00F209B7">
        <w:t xml:space="preserve"> may over-emphasise the amount of time required, both because respondents see </w:t>
      </w:r>
      <w:r w:rsidR="00D81F08">
        <w:t xml:space="preserve">the whole exercise </w:t>
      </w:r>
      <w:r w:rsidRPr="00F209B7">
        <w:t xml:space="preserve">as an unnecessary burden and because people with the worst experiences are the most vocal. </w:t>
      </w:r>
    </w:p>
    <w:p w14:paraId="1A80EBD7" w14:textId="10D99EE4" w:rsidR="00170B5A" w:rsidRPr="00F209B7" w:rsidRDefault="00170B5A" w:rsidP="00D66738">
      <w:pPr>
        <w:jc w:val="both"/>
      </w:pPr>
      <w:r w:rsidRPr="00F209B7">
        <w:lastRenderedPageBreak/>
        <w:t xml:space="preserve">The most recent efforts to quantify the cost of reporting and registration are over a decade old. The Small Business Project </w:t>
      </w:r>
      <w:r w:rsidR="00D81F08">
        <w:t xml:space="preserve">put </w:t>
      </w:r>
      <w:r w:rsidRPr="00F209B7">
        <w:t xml:space="preserve">the burden at up to R20 billion </w:t>
      </w:r>
      <w:r w:rsidR="00D81F08">
        <w:t xml:space="preserve">annually </w:t>
      </w:r>
      <w:r w:rsidRPr="00F209B7">
        <w:t xml:space="preserve">in </w:t>
      </w:r>
      <w:r w:rsidR="00D81F08">
        <w:t xml:space="preserve">aggregate. </w:t>
      </w:r>
      <w:r w:rsidRPr="00F209B7">
        <w:t>(SBP, 2005) Upstart Business Strategies came to an estimate of between R6000 and R8000 per individual enterprise per year</w:t>
      </w:r>
      <w:r w:rsidR="00D81F08">
        <w:t>.</w:t>
      </w:r>
      <w:r w:rsidRPr="00F209B7">
        <w:t xml:space="preserve"> (Upstart Business Strategies, 2004) </w:t>
      </w:r>
    </w:p>
    <w:p w14:paraId="5EE445B6" w14:textId="25808360" w:rsidR="00C429D2" w:rsidRPr="00F209B7" w:rsidRDefault="00522D77" w:rsidP="00D66738">
      <w:pPr>
        <w:jc w:val="both"/>
      </w:pPr>
      <w:r w:rsidRPr="00F209B7">
        <w:t xml:space="preserve">In practice, informants </w:t>
      </w:r>
      <w:r w:rsidR="00C429D2" w:rsidRPr="00F209B7">
        <w:t xml:space="preserve">for this study typically see the registration and </w:t>
      </w:r>
      <w:r w:rsidR="00F209B7" w:rsidRPr="00F209B7">
        <w:t>reporting</w:t>
      </w:r>
      <w:r w:rsidR="00C429D2" w:rsidRPr="00F209B7">
        <w:t xml:space="preserve"> requirements </w:t>
      </w:r>
      <w:r w:rsidRPr="00F209B7">
        <w:t xml:space="preserve">as an annoyance and a cost, but not </w:t>
      </w:r>
      <w:r w:rsidR="00C429D2" w:rsidRPr="00F209B7">
        <w:t xml:space="preserve">as a </w:t>
      </w:r>
      <w:r w:rsidRPr="00F209B7">
        <w:t>determinant</w:t>
      </w:r>
      <w:r w:rsidR="00C429D2" w:rsidRPr="00F209B7">
        <w:t xml:space="preserve"> of their success and failure. While </w:t>
      </w:r>
      <w:r w:rsidR="00D81F08">
        <w:t>the analysis generates proposals to</w:t>
      </w:r>
      <w:r w:rsidR="00C429D2" w:rsidRPr="00F209B7">
        <w:t xml:space="preserve"> re-</w:t>
      </w:r>
      <w:r w:rsidR="00D81F08">
        <w:t>engineer</w:t>
      </w:r>
      <w:r w:rsidR="00C429D2" w:rsidRPr="00F209B7">
        <w:t xml:space="preserve"> </w:t>
      </w:r>
      <w:r w:rsidR="00D81F08">
        <w:t xml:space="preserve">some </w:t>
      </w:r>
      <w:r w:rsidR="00C429D2" w:rsidRPr="00F209B7">
        <w:t xml:space="preserve">processes, they will not provide a big boost to the operations of most </w:t>
      </w:r>
      <w:r w:rsidR="00557CFD">
        <w:t xml:space="preserve">of </w:t>
      </w:r>
      <w:r w:rsidR="00C429D2" w:rsidRPr="00F209B7">
        <w:t>small businesses</w:t>
      </w:r>
      <w:r w:rsidR="00D81F08">
        <w:t xml:space="preserve">. </w:t>
      </w:r>
    </w:p>
    <w:p w14:paraId="76533034" w14:textId="77777777" w:rsidR="00170B5A" w:rsidRPr="00F209B7" w:rsidRDefault="00E41438" w:rsidP="00D66738">
      <w:pPr>
        <w:jc w:val="both"/>
      </w:pPr>
      <w:r w:rsidRPr="00F209B7">
        <w:t xml:space="preserve">This section </w:t>
      </w:r>
      <w:r w:rsidR="00170B5A" w:rsidRPr="00F209B7">
        <w:t xml:space="preserve">focuses on three main groups of laws, which constitute </w:t>
      </w:r>
      <w:r w:rsidRPr="00F209B7">
        <w:t xml:space="preserve">the minimum </w:t>
      </w:r>
      <w:r w:rsidR="00170B5A" w:rsidRPr="00F209B7">
        <w:t xml:space="preserve">to which all </w:t>
      </w:r>
      <w:r w:rsidRPr="00F209B7">
        <w:t>formal enterprises</w:t>
      </w:r>
      <w:r w:rsidR="00170B5A" w:rsidRPr="00F209B7">
        <w:t>, irrespective of industry,</w:t>
      </w:r>
      <w:r w:rsidRPr="00F209B7">
        <w:t xml:space="preserve"> would have to</w:t>
      </w:r>
      <w:r w:rsidR="00170B5A" w:rsidRPr="00F209B7">
        <w:t xml:space="preserve"> conform</w:t>
      </w:r>
      <w:r w:rsidRPr="00F209B7">
        <w:t xml:space="preserve">. The </w:t>
      </w:r>
      <w:r w:rsidR="00170B5A" w:rsidRPr="00F209B7">
        <w:t xml:space="preserve">areas </w:t>
      </w:r>
      <w:r w:rsidRPr="00F209B7">
        <w:t xml:space="preserve">identified include: </w:t>
      </w:r>
    </w:p>
    <w:p w14:paraId="706D39F7" w14:textId="77777777" w:rsidR="00170B5A" w:rsidRPr="00F209B7" w:rsidRDefault="00170B5A" w:rsidP="00D66738">
      <w:pPr>
        <w:pStyle w:val="ListParagraph"/>
        <w:numPr>
          <w:ilvl w:val="0"/>
          <w:numId w:val="22"/>
        </w:numPr>
        <w:jc w:val="both"/>
      </w:pPr>
      <w:r w:rsidRPr="00F209B7">
        <w:t xml:space="preserve">The </w:t>
      </w:r>
      <w:r w:rsidR="00E41438" w:rsidRPr="00F209B7">
        <w:t xml:space="preserve">Companies Act and </w:t>
      </w:r>
      <w:r w:rsidRPr="00F209B7">
        <w:t xml:space="preserve">the </w:t>
      </w:r>
      <w:r w:rsidR="00E41438" w:rsidRPr="00F209B7">
        <w:t>Cooperatives Act</w:t>
      </w:r>
      <w:r w:rsidRPr="00F209B7">
        <w:t xml:space="preserve"> as</w:t>
      </w:r>
      <w:r w:rsidR="00E41438" w:rsidRPr="00F209B7">
        <w:t xml:space="preserve"> administered by the Companies and Intellectual Property Commission (CIPC), </w:t>
      </w:r>
    </w:p>
    <w:p w14:paraId="2955BB55" w14:textId="77777777" w:rsidR="00170B5A" w:rsidRPr="00F209B7" w:rsidRDefault="00170B5A" w:rsidP="00D66738">
      <w:pPr>
        <w:pStyle w:val="ListParagraph"/>
        <w:numPr>
          <w:ilvl w:val="0"/>
          <w:numId w:val="22"/>
        </w:numPr>
        <w:jc w:val="both"/>
      </w:pPr>
      <w:r w:rsidRPr="00F209B7">
        <w:t>Tax</w:t>
      </w:r>
      <w:r w:rsidR="00E41438" w:rsidRPr="00F209B7">
        <w:t xml:space="preserve"> legislation administered by the South African Revenue Services (SARS)</w:t>
      </w:r>
      <w:r w:rsidRPr="00F209B7">
        <w:t>, and</w:t>
      </w:r>
    </w:p>
    <w:p w14:paraId="5900766E" w14:textId="77777777" w:rsidR="00170B5A" w:rsidRPr="00F209B7" w:rsidRDefault="00170B5A" w:rsidP="00D66738">
      <w:pPr>
        <w:pStyle w:val="ListParagraph"/>
        <w:numPr>
          <w:ilvl w:val="0"/>
          <w:numId w:val="22"/>
        </w:numPr>
        <w:jc w:val="both"/>
      </w:pPr>
      <w:r w:rsidRPr="00F209B7">
        <w:t>L</w:t>
      </w:r>
      <w:r w:rsidR="00E41438" w:rsidRPr="00F209B7">
        <w:t xml:space="preserve">abour registration administered by the Department of Labour (DOL). </w:t>
      </w:r>
    </w:p>
    <w:p w14:paraId="01CC4FE7" w14:textId="1DDE712A" w:rsidR="00E41438" w:rsidRPr="00F209B7" w:rsidRDefault="00E41438" w:rsidP="00D66738">
      <w:pPr>
        <w:jc w:val="both"/>
      </w:pPr>
      <w:r w:rsidRPr="00F209B7">
        <w:t xml:space="preserve">A schedule of the </w:t>
      </w:r>
      <w:r w:rsidR="00170B5A" w:rsidRPr="00F209B7">
        <w:t xml:space="preserve">relevant </w:t>
      </w:r>
      <w:r w:rsidRPr="00F209B7">
        <w:t xml:space="preserve">laws is provided in </w:t>
      </w:r>
      <w:r w:rsidRPr="00F209B7">
        <w:fldChar w:fldCharType="begin"/>
      </w:r>
      <w:r w:rsidRPr="00F209B7">
        <w:instrText xml:space="preserve"> REF _Ref477088891 \h </w:instrText>
      </w:r>
      <w:r w:rsidR="00493691" w:rsidRPr="00F209B7">
        <w:instrText xml:space="preserve"> \* MERGEFORMAT </w:instrText>
      </w:r>
      <w:r w:rsidRPr="00F209B7">
        <w:fldChar w:fldCharType="separate"/>
      </w:r>
      <w:r w:rsidR="005062E7" w:rsidRPr="00F209B7">
        <w:t xml:space="preserve">Table </w:t>
      </w:r>
      <w:r w:rsidR="005062E7">
        <w:rPr>
          <w:noProof/>
        </w:rPr>
        <w:t>3</w:t>
      </w:r>
      <w:r w:rsidRPr="00F209B7">
        <w:fldChar w:fldCharType="end"/>
      </w:r>
      <w:r w:rsidRPr="00F209B7">
        <w:t xml:space="preserve"> below.</w:t>
      </w:r>
      <w:r w:rsidR="007F3969" w:rsidRPr="00F209B7">
        <w:t xml:space="preserve"> This section analyses each area in turn. </w:t>
      </w:r>
    </w:p>
    <w:p w14:paraId="162200A6" w14:textId="2A83306A" w:rsidR="00E41438" w:rsidRPr="00F209B7" w:rsidRDefault="00E41438" w:rsidP="00D66738">
      <w:pPr>
        <w:pStyle w:val="Caption"/>
        <w:jc w:val="both"/>
      </w:pPr>
      <w:bookmarkStart w:id="586" w:name="_Ref477088891"/>
      <w:bookmarkStart w:id="587" w:name="_Toc479940960"/>
      <w:r w:rsidRPr="00F209B7">
        <w:t xml:space="preserve">Table </w:t>
      </w:r>
      <w:fldSimple w:instr=" SEQ Table \* ARABIC ">
        <w:r w:rsidR="005062E7">
          <w:rPr>
            <w:noProof/>
          </w:rPr>
          <w:t>3</w:t>
        </w:r>
      </w:fldSimple>
      <w:bookmarkEnd w:id="586"/>
      <w:r w:rsidR="00D81F08">
        <w:rPr>
          <w:noProof/>
        </w:rPr>
        <w:t>.</w:t>
      </w:r>
      <w:r w:rsidRPr="00F209B7">
        <w:t xml:space="preserve"> </w:t>
      </w:r>
      <w:r w:rsidR="007F3969" w:rsidRPr="00F209B7">
        <w:t>R</w:t>
      </w:r>
      <w:r w:rsidRPr="00F209B7">
        <w:t xml:space="preserve">eporting and registration </w:t>
      </w:r>
      <w:r w:rsidR="007F3969" w:rsidRPr="00F209B7">
        <w:t xml:space="preserve">requirements </w:t>
      </w:r>
      <w:r w:rsidRPr="00F209B7">
        <w:t xml:space="preserve">for formal </w:t>
      </w:r>
      <w:r w:rsidR="00170B5A" w:rsidRPr="00F209B7">
        <w:t>small business</w:t>
      </w:r>
      <w:bookmarkEnd w:id="587"/>
    </w:p>
    <w:tbl>
      <w:tblPr>
        <w:tblStyle w:val="TableGrid"/>
        <w:tblW w:w="5000" w:type="pct"/>
        <w:tblLayout w:type="fixed"/>
        <w:tblLook w:val="04A0" w:firstRow="1" w:lastRow="0" w:firstColumn="1" w:lastColumn="0" w:noHBand="0" w:noVBand="1"/>
      </w:tblPr>
      <w:tblGrid>
        <w:gridCol w:w="1384"/>
        <w:gridCol w:w="2891"/>
        <w:gridCol w:w="1455"/>
        <w:gridCol w:w="3512"/>
      </w:tblGrid>
      <w:tr w:rsidR="00E544E8" w:rsidRPr="00F209B7" w14:paraId="48454F70" w14:textId="77777777" w:rsidTr="00E544E8">
        <w:trPr>
          <w:tblHeader/>
        </w:trPr>
        <w:tc>
          <w:tcPr>
            <w:tcW w:w="749" w:type="pct"/>
            <w:vAlign w:val="bottom"/>
          </w:tcPr>
          <w:p w14:paraId="317FAED5" w14:textId="77777777" w:rsidR="007F3969" w:rsidRPr="00F209B7" w:rsidRDefault="007F3969" w:rsidP="00D66738">
            <w:pPr>
              <w:spacing w:before="0"/>
              <w:jc w:val="both"/>
              <w:rPr>
                <w:b/>
                <w:w w:val="105"/>
                <w:sz w:val="20"/>
                <w:szCs w:val="20"/>
              </w:rPr>
            </w:pPr>
            <w:r w:rsidRPr="00F209B7">
              <w:rPr>
                <w:b/>
                <w:w w:val="105"/>
                <w:sz w:val="20"/>
                <w:szCs w:val="20"/>
              </w:rPr>
              <w:t>Area</w:t>
            </w:r>
          </w:p>
        </w:tc>
        <w:tc>
          <w:tcPr>
            <w:tcW w:w="1564" w:type="pct"/>
            <w:vAlign w:val="bottom"/>
          </w:tcPr>
          <w:p w14:paraId="0A62F9A6" w14:textId="77777777" w:rsidR="007F3969" w:rsidRPr="00F209B7" w:rsidRDefault="007F3969" w:rsidP="00D66738">
            <w:pPr>
              <w:spacing w:before="0"/>
              <w:jc w:val="both"/>
              <w:rPr>
                <w:b/>
                <w:w w:val="105"/>
                <w:sz w:val="20"/>
                <w:szCs w:val="20"/>
              </w:rPr>
            </w:pPr>
            <w:r w:rsidRPr="00F209B7">
              <w:rPr>
                <w:b/>
                <w:w w:val="105"/>
                <w:sz w:val="20"/>
                <w:szCs w:val="20"/>
              </w:rPr>
              <w:t>Requirements</w:t>
            </w:r>
          </w:p>
        </w:tc>
        <w:tc>
          <w:tcPr>
            <w:tcW w:w="787" w:type="pct"/>
            <w:vAlign w:val="bottom"/>
          </w:tcPr>
          <w:p w14:paraId="121007BC" w14:textId="77777777" w:rsidR="007F3969" w:rsidRPr="00F209B7" w:rsidRDefault="007F3969" w:rsidP="00D66738">
            <w:pPr>
              <w:spacing w:before="0"/>
              <w:jc w:val="both"/>
              <w:rPr>
                <w:b/>
                <w:w w:val="105"/>
                <w:sz w:val="20"/>
                <w:szCs w:val="20"/>
              </w:rPr>
            </w:pPr>
            <w:r w:rsidRPr="00F209B7">
              <w:rPr>
                <w:b/>
                <w:w w:val="105"/>
                <w:sz w:val="20"/>
                <w:szCs w:val="20"/>
              </w:rPr>
              <w:t>Responsible state agency</w:t>
            </w:r>
          </w:p>
        </w:tc>
        <w:tc>
          <w:tcPr>
            <w:tcW w:w="1901" w:type="pct"/>
            <w:vAlign w:val="bottom"/>
          </w:tcPr>
          <w:p w14:paraId="0C057424" w14:textId="77777777" w:rsidR="007F3969" w:rsidRPr="00F209B7" w:rsidRDefault="007F3969" w:rsidP="00D66738">
            <w:pPr>
              <w:spacing w:before="0"/>
              <w:jc w:val="both"/>
              <w:rPr>
                <w:b/>
                <w:w w:val="105"/>
                <w:sz w:val="20"/>
                <w:szCs w:val="20"/>
              </w:rPr>
            </w:pPr>
            <w:r w:rsidRPr="00F209B7">
              <w:rPr>
                <w:b/>
                <w:w w:val="105"/>
                <w:sz w:val="20"/>
                <w:szCs w:val="20"/>
              </w:rPr>
              <w:t>Acts</w:t>
            </w:r>
          </w:p>
        </w:tc>
      </w:tr>
      <w:tr w:rsidR="00E544E8" w:rsidRPr="00F209B7" w14:paraId="0DBC2FAE" w14:textId="77777777" w:rsidTr="00E544E8">
        <w:tc>
          <w:tcPr>
            <w:tcW w:w="749" w:type="pct"/>
          </w:tcPr>
          <w:p w14:paraId="260544AB" w14:textId="77777777" w:rsidR="007F3969" w:rsidRPr="00F209B7" w:rsidRDefault="007F3969" w:rsidP="00D66738">
            <w:pPr>
              <w:spacing w:before="0"/>
              <w:jc w:val="both"/>
              <w:rPr>
                <w:w w:val="105"/>
                <w:sz w:val="20"/>
                <w:szCs w:val="20"/>
              </w:rPr>
            </w:pPr>
            <w:r w:rsidRPr="00F209B7">
              <w:rPr>
                <w:w w:val="105"/>
                <w:sz w:val="20"/>
                <w:szCs w:val="20"/>
              </w:rPr>
              <w:t>Registration and report</w:t>
            </w:r>
            <w:r w:rsidR="00E544E8" w:rsidRPr="00F209B7">
              <w:rPr>
                <w:w w:val="105"/>
                <w:sz w:val="20"/>
                <w:szCs w:val="20"/>
              </w:rPr>
              <w:t>ing for companies and cooperatives</w:t>
            </w:r>
          </w:p>
        </w:tc>
        <w:tc>
          <w:tcPr>
            <w:tcW w:w="1564" w:type="pct"/>
          </w:tcPr>
          <w:p w14:paraId="33282AD0" w14:textId="77777777" w:rsidR="007F3969" w:rsidRPr="00F209B7" w:rsidRDefault="007F3969" w:rsidP="00D66738">
            <w:pPr>
              <w:spacing w:before="0"/>
              <w:jc w:val="both"/>
              <w:rPr>
                <w:w w:val="105"/>
                <w:sz w:val="20"/>
                <w:szCs w:val="20"/>
              </w:rPr>
            </w:pPr>
            <w:r w:rsidRPr="00F209B7">
              <w:rPr>
                <w:w w:val="105"/>
                <w:sz w:val="20"/>
                <w:szCs w:val="20"/>
              </w:rPr>
              <w:t>Registration with CIPC</w:t>
            </w:r>
          </w:p>
        </w:tc>
        <w:tc>
          <w:tcPr>
            <w:tcW w:w="787" w:type="pct"/>
          </w:tcPr>
          <w:p w14:paraId="26FF4D79" w14:textId="77777777" w:rsidR="007F3969" w:rsidRPr="00F209B7" w:rsidRDefault="007F3969" w:rsidP="00D66738">
            <w:pPr>
              <w:spacing w:before="0"/>
              <w:jc w:val="both"/>
              <w:rPr>
                <w:w w:val="105"/>
                <w:sz w:val="20"/>
                <w:szCs w:val="20"/>
              </w:rPr>
            </w:pPr>
            <w:r w:rsidRPr="00F209B7">
              <w:rPr>
                <w:w w:val="105"/>
                <w:sz w:val="20"/>
                <w:szCs w:val="20"/>
              </w:rPr>
              <w:t>Companies and Intellectual Property Commission (CIPC)</w:t>
            </w:r>
          </w:p>
        </w:tc>
        <w:tc>
          <w:tcPr>
            <w:tcW w:w="1901" w:type="pct"/>
          </w:tcPr>
          <w:p w14:paraId="2B4BE19E" w14:textId="77777777" w:rsidR="007F3969" w:rsidRPr="00F209B7" w:rsidRDefault="007F3969" w:rsidP="00D66738">
            <w:pPr>
              <w:spacing w:before="0"/>
              <w:jc w:val="both"/>
              <w:rPr>
                <w:sz w:val="20"/>
                <w:szCs w:val="20"/>
              </w:rPr>
            </w:pPr>
            <w:r w:rsidRPr="00F209B7">
              <w:rPr>
                <w:w w:val="105"/>
                <w:sz w:val="20"/>
                <w:szCs w:val="20"/>
              </w:rPr>
              <w:t>Companies</w:t>
            </w:r>
            <w:r w:rsidRPr="00F209B7">
              <w:rPr>
                <w:spacing w:val="-12"/>
                <w:w w:val="105"/>
                <w:sz w:val="20"/>
                <w:szCs w:val="20"/>
              </w:rPr>
              <w:t xml:space="preserve"> </w:t>
            </w:r>
            <w:r w:rsidRPr="00F209B7">
              <w:rPr>
                <w:w w:val="105"/>
                <w:sz w:val="20"/>
                <w:szCs w:val="20"/>
              </w:rPr>
              <w:t>Act</w:t>
            </w:r>
            <w:r w:rsidRPr="00F209B7">
              <w:rPr>
                <w:spacing w:val="-3"/>
                <w:w w:val="105"/>
                <w:sz w:val="20"/>
                <w:szCs w:val="20"/>
              </w:rPr>
              <w:t xml:space="preserve"> </w:t>
            </w:r>
            <w:r w:rsidRPr="00F209B7">
              <w:rPr>
                <w:w w:val="105"/>
                <w:sz w:val="20"/>
                <w:szCs w:val="20"/>
              </w:rPr>
              <w:t>No.</w:t>
            </w:r>
            <w:r w:rsidRPr="00F209B7">
              <w:rPr>
                <w:spacing w:val="-15"/>
                <w:w w:val="105"/>
                <w:sz w:val="20"/>
                <w:szCs w:val="20"/>
              </w:rPr>
              <w:t xml:space="preserve"> </w:t>
            </w:r>
            <w:r w:rsidRPr="00F209B7">
              <w:rPr>
                <w:w w:val="105"/>
                <w:sz w:val="20"/>
                <w:szCs w:val="20"/>
              </w:rPr>
              <w:t>71</w:t>
            </w:r>
            <w:r w:rsidRPr="00F209B7">
              <w:rPr>
                <w:spacing w:val="-13"/>
                <w:w w:val="105"/>
                <w:sz w:val="20"/>
                <w:szCs w:val="20"/>
              </w:rPr>
              <w:t xml:space="preserve"> </w:t>
            </w:r>
            <w:r w:rsidRPr="00F209B7">
              <w:rPr>
                <w:w w:val="105"/>
                <w:sz w:val="20"/>
                <w:szCs w:val="20"/>
              </w:rPr>
              <w:t>of</w:t>
            </w:r>
            <w:r w:rsidRPr="00F209B7">
              <w:rPr>
                <w:spacing w:val="-10"/>
                <w:w w:val="105"/>
                <w:sz w:val="20"/>
                <w:szCs w:val="20"/>
              </w:rPr>
              <w:t xml:space="preserve"> </w:t>
            </w:r>
            <w:r w:rsidRPr="00F209B7">
              <w:rPr>
                <w:spacing w:val="3"/>
                <w:w w:val="105"/>
                <w:sz w:val="20"/>
                <w:szCs w:val="20"/>
              </w:rPr>
              <w:t>2008</w:t>
            </w:r>
          </w:p>
          <w:p w14:paraId="191B28E4" w14:textId="77777777" w:rsidR="007F3969" w:rsidRPr="00F209B7" w:rsidRDefault="007F3969" w:rsidP="00D66738">
            <w:pPr>
              <w:spacing w:before="0"/>
              <w:jc w:val="both"/>
              <w:rPr>
                <w:sz w:val="20"/>
                <w:szCs w:val="20"/>
              </w:rPr>
            </w:pPr>
            <w:r w:rsidRPr="00F209B7">
              <w:rPr>
                <w:w w:val="105"/>
                <w:sz w:val="20"/>
                <w:szCs w:val="20"/>
              </w:rPr>
              <w:t>Cooperatives</w:t>
            </w:r>
            <w:r w:rsidRPr="00F209B7">
              <w:rPr>
                <w:spacing w:val="-12"/>
                <w:w w:val="105"/>
                <w:sz w:val="20"/>
                <w:szCs w:val="20"/>
              </w:rPr>
              <w:t xml:space="preserve"> </w:t>
            </w:r>
            <w:r w:rsidRPr="00F209B7">
              <w:rPr>
                <w:w w:val="105"/>
                <w:sz w:val="20"/>
                <w:szCs w:val="20"/>
              </w:rPr>
              <w:t>Act</w:t>
            </w:r>
            <w:r w:rsidRPr="00F209B7">
              <w:rPr>
                <w:spacing w:val="-11"/>
                <w:w w:val="105"/>
                <w:sz w:val="20"/>
                <w:szCs w:val="20"/>
              </w:rPr>
              <w:t xml:space="preserve"> </w:t>
            </w:r>
            <w:r w:rsidRPr="00F209B7">
              <w:rPr>
                <w:w w:val="105"/>
                <w:sz w:val="20"/>
                <w:szCs w:val="20"/>
              </w:rPr>
              <w:t>No.</w:t>
            </w:r>
            <w:r w:rsidRPr="00F209B7">
              <w:rPr>
                <w:spacing w:val="-15"/>
                <w:w w:val="105"/>
                <w:sz w:val="20"/>
                <w:szCs w:val="20"/>
              </w:rPr>
              <w:t xml:space="preserve"> </w:t>
            </w:r>
            <w:r w:rsidRPr="00F209B7">
              <w:rPr>
                <w:w w:val="105"/>
                <w:sz w:val="20"/>
                <w:szCs w:val="20"/>
              </w:rPr>
              <w:t>14</w:t>
            </w:r>
            <w:r w:rsidRPr="00F209B7">
              <w:rPr>
                <w:spacing w:val="-5"/>
                <w:w w:val="105"/>
                <w:sz w:val="20"/>
                <w:szCs w:val="20"/>
              </w:rPr>
              <w:t xml:space="preserve"> </w:t>
            </w:r>
            <w:r w:rsidRPr="00F209B7">
              <w:rPr>
                <w:w w:val="105"/>
                <w:sz w:val="20"/>
                <w:szCs w:val="20"/>
              </w:rPr>
              <w:t>of</w:t>
            </w:r>
            <w:r w:rsidRPr="00F209B7">
              <w:rPr>
                <w:spacing w:val="-15"/>
                <w:w w:val="105"/>
                <w:sz w:val="20"/>
                <w:szCs w:val="20"/>
              </w:rPr>
              <w:t xml:space="preserve"> </w:t>
            </w:r>
            <w:r w:rsidRPr="00F209B7">
              <w:rPr>
                <w:spacing w:val="2"/>
                <w:w w:val="105"/>
                <w:sz w:val="20"/>
                <w:szCs w:val="20"/>
              </w:rPr>
              <w:t>2005</w:t>
            </w:r>
          </w:p>
          <w:p w14:paraId="41FC7909" w14:textId="77777777" w:rsidR="007F3969" w:rsidRPr="00F209B7" w:rsidRDefault="007F3969" w:rsidP="00D66738">
            <w:pPr>
              <w:spacing w:before="0"/>
              <w:jc w:val="both"/>
              <w:rPr>
                <w:w w:val="105"/>
                <w:sz w:val="20"/>
                <w:szCs w:val="20"/>
              </w:rPr>
            </w:pPr>
          </w:p>
        </w:tc>
      </w:tr>
      <w:tr w:rsidR="00E544E8" w:rsidRPr="00F209B7" w14:paraId="673021C0" w14:textId="77777777" w:rsidTr="00E544E8">
        <w:tc>
          <w:tcPr>
            <w:tcW w:w="749" w:type="pct"/>
          </w:tcPr>
          <w:p w14:paraId="077DDEC9" w14:textId="77777777" w:rsidR="007F3969" w:rsidRPr="00F209B7" w:rsidRDefault="007F3969" w:rsidP="00D66738">
            <w:pPr>
              <w:spacing w:before="0"/>
              <w:jc w:val="both"/>
              <w:rPr>
                <w:w w:val="105"/>
                <w:sz w:val="20"/>
                <w:szCs w:val="20"/>
              </w:rPr>
            </w:pPr>
            <w:r w:rsidRPr="00F209B7">
              <w:rPr>
                <w:w w:val="105"/>
                <w:sz w:val="20"/>
                <w:szCs w:val="20"/>
              </w:rPr>
              <w:t>Tax payments and administration of payroll taxes for employees</w:t>
            </w:r>
          </w:p>
        </w:tc>
        <w:tc>
          <w:tcPr>
            <w:tcW w:w="1564" w:type="pct"/>
          </w:tcPr>
          <w:p w14:paraId="02D87DD2" w14:textId="77777777" w:rsidR="007F3969" w:rsidRPr="00F209B7" w:rsidRDefault="007F3969" w:rsidP="00D66738">
            <w:pPr>
              <w:spacing w:before="0"/>
              <w:jc w:val="both"/>
              <w:rPr>
                <w:w w:val="105"/>
                <w:sz w:val="20"/>
                <w:szCs w:val="20"/>
              </w:rPr>
            </w:pPr>
            <w:r w:rsidRPr="00F209B7">
              <w:rPr>
                <w:w w:val="105"/>
                <w:sz w:val="20"/>
                <w:szCs w:val="20"/>
              </w:rPr>
              <w:t>Registration</w:t>
            </w:r>
          </w:p>
          <w:p w14:paraId="465F88A0" w14:textId="77777777" w:rsidR="007F3969" w:rsidRPr="00F209B7" w:rsidRDefault="007F3969" w:rsidP="00D66738">
            <w:pPr>
              <w:spacing w:before="0"/>
              <w:jc w:val="both"/>
              <w:rPr>
                <w:spacing w:val="-5"/>
                <w:w w:val="105"/>
                <w:sz w:val="20"/>
                <w:szCs w:val="20"/>
              </w:rPr>
            </w:pPr>
            <w:r w:rsidRPr="00F209B7">
              <w:rPr>
                <w:w w:val="105"/>
                <w:sz w:val="20"/>
                <w:szCs w:val="20"/>
              </w:rPr>
              <w:t>Regular payments with associated reporting on income, turnover and payroll</w:t>
            </w:r>
          </w:p>
        </w:tc>
        <w:tc>
          <w:tcPr>
            <w:tcW w:w="787" w:type="pct"/>
          </w:tcPr>
          <w:p w14:paraId="5A0949D4" w14:textId="77777777" w:rsidR="007F3969" w:rsidRPr="00F209B7" w:rsidRDefault="007F3969" w:rsidP="00D66738">
            <w:pPr>
              <w:spacing w:before="0"/>
              <w:jc w:val="both"/>
              <w:rPr>
                <w:w w:val="105"/>
                <w:sz w:val="20"/>
                <w:szCs w:val="20"/>
              </w:rPr>
            </w:pPr>
            <w:r w:rsidRPr="00F209B7">
              <w:rPr>
                <w:w w:val="105"/>
                <w:sz w:val="20"/>
                <w:szCs w:val="20"/>
              </w:rPr>
              <w:t>South African Revenue Service (SARS)</w:t>
            </w:r>
          </w:p>
        </w:tc>
        <w:tc>
          <w:tcPr>
            <w:tcW w:w="1901" w:type="pct"/>
          </w:tcPr>
          <w:p w14:paraId="3162237B" w14:textId="77777777" w:rsidR="007F3969" w:rsidRPr="00F209B7" w:rsidRDefault="007F3969" w:rsidP="00D66738">
            <w:pPr>
              <w:spacing w:before="0"/>
              <w:jc w:val="both"/>
              <w:rPr>
                <w:sz w:val="20"/>
                <w:szCs w:val="20"/>
              </w:rPr>
            </w:pPr>
            <w:r w:rsidRPr="00F209B7">
              <w:rPr>
                <w:w w:val="105"/>
                <w:sz w:val="20"/>
                <w:szCs w:val="20"/>
              </w:rPr>
              <w:t>Income</w:t>
            </w:r>
            <w:r w:rsidRPr="00F209B7">
              <w:rPr>
                <w:spacing w:val="-17"/>
                <w:w w:val="105"/>
                <w:sz w:val="20"/>
                <w:szCs w:val="20"/>
              </w:rPr>
              <w:t xml:space="preserve"> </w:t>
            </w:r>
            <w:r w:rsidRPr="00F209B7">
              <w:rPr>
                <w:spacing w:val="-5"/>
                <w:w w:val="105"/>
                <w:sz w:val="20"/>
                <w:szCs w:val="20"/>
              </w:rPr>
              <w:t>Tax</w:t>
            </w:r>
            <w:r w:rsidRPr="00F209B7">
              <w:rPr>
                <w:spacing w:val="-17"/>
                <w:w w:val="105"/>
                <w:sz w:val="20"/>
                <w:szCs w:val="20"/>
              </w:rPr>
              <w:t xml:space="preserve"> </w:t>
            </w:r>
            <w:r w:rsidRPr="00F209B7">
              <w:rPr>
                <w:w w:val="105"/>
                <w:sz w:val="20"/>
                <w:szCs w:val="20"/>
              </w:rPr>
              <w:t>Act</w:t>
            </w:r>
            <w:r w:rsidRPr="00F209B7">
              <w:rPr>
                <w:spacing w:val="-7"/>
                <w:w w:val="105"/>
                <w:sz w:val="20"/>
                <w:szCs w:val="20"/>
              </w:rPr>
              <w:t xml:space="preserve"> </w:t>
            </w:r>
            <w:r w:rsidRPr="00F209B7">
              <w:rPr>
                <w:w w:val="105"/>
                <w:sz w:val="20"/>
                <w:szCs w:val="20"/>
              </w:rPr>
              <w:t>No.</w:t>
            </w:r>
            <w:r w:rsidRPr="00F209B7">
              <w:rPr>
                <w:spacing w:val="-2"/>
                <w:w w:val="105"/>
                <w:sz w:val="20"/>
                <w:szCs w:val="20"/>
              </w:rPr>
              <w:t xml:space="preserve"> </w:t>
            </w:r>
            <w:r w:rsidRPr="00F209B7">
              <w:rPr>
                <w:w w:val="105"/>
                <w:sz w:val="20"/>
                <w:szCs w:val="20"/>
              </w:rPr>
              <w:t>58</w:t>
            </w:r>
            <w:r w:rsidRPr="00F209B7">
              <w:rPr>
                <w:spacing w:val="-10"/>
                <w:w w:val="105"/>
                <w:sz w:val="20"/>
                <w:szCs w:val="20"/>
              </w:rPr>
              <w:t xml:space="preserve"> </w:t>
            </w:r>
            <w:r w:rsidRPr="00F209B7">
              <w:rPr>
                <w:w w:val="105"/>
                <w:sz w:val="20"/>
                <w:szCs w:val="20"/>
              </w:rPr>
              <w:t>of</w:t>
            </w:r>
            <w:r w:rsidRPr="00F209B7">
              <w:rPr>
                <w:spacing w:val="-2"/>
                <w:w w:val="105"/>
                <w:sz w:val="20"/>
                <w:szCs w:val="20"/>
              </w:rPr>
              <w:t xml:space="preserve"> </w:t>
            </w:r>
            <w:r w:rsidRPr="00F209B7">
              <w:rPr>
                <w:spacing w:val="2"/>
                <w:w w:val="105"/>
                <w:sz w:val="20"/>
                <w:szCs w:val="20"/>
              </w:rPr>
              <w:t>1962</w:t>
            </w:r>
          </w:p>
          <w:p w14:paraId="1CF7FAE1" w14:textId="77777777" w:rsidR="007F3969" w:rsidRPr="00F209B7" w:rsidRDefault="007F3969" w:rsidP="00D66738">
            <w:pPr>
              <w:spacing w:before="0"/>
              <w:jc w:val="both"/>
              <w:rPr>
                <w:sz w:val="20"/>
                <w:szCs w:val="20"/>
              </w:rPr>
            </w:pPr>
            <w:r w:rsidRPr="00F209B7">
              <w:rPr>
                <w:spacing w:val="-3"/>
                <w:w w:val="105"/>
                <w:sz w:val="20"/>
                <w:szCs w:val="20"/>
              </w:rPr>
              <w:t xml:space="preserve">Value-Added </w:t>
            </w:r>
            <w:r w:rsidRPr="00F209B7">
              <w:rPr>
                <w:spacing w:val="-5"/>
                <w:w w:val="105"/>
                <w:sz w:val="20"/>
                <w:szCs w:val="20"/>
              </w:rPr>
              <w:t xml:space="preserve">Tax </w:t>
            </w:r>
            <w:r w:rsidRPr="00F209B7">
              <w:rPr>
                <w:w w:val="105"/>
                <w:sz w:val="20"/>
                <w:szCs w:val="20"/>
              </w:rPr>
              <w:t>Act No. 89 of</w:t>
            </w:r>
            <w:r w:rsidRPr="00F209B7">
              <w:rPr>
                <w:spacing w:val="-21"/>
                <w:w w:val="105"/>
                <w:sz w:val="20"/>
                <w:szCs w:val="20"/>
              </w:rPr>
              <w:t xml:space="preserve"> </w:t>
            </w:r>
            <w:r w:rsidRPr="00F209B7">
              <w:rPr>
                <w:w w:val="105"/>
                <w:sz w:val="20"/>
                <w:szCs w:val="20"/>
              </w:rPr>
              <w:t>1991</w:t>
            </w:r>
          </w:p>
          <w:p w14:paraId="7060515E" w14:textId="77777777" w:rsidR="007F3969" w:rsidRPr="00F209B7" w:rsidRDefault="007F3969" w:rsidP="00D66738">
            <w:pPr>
              <w:spacing w:before="0"/>
              <w:jc w:val="both"/>
              <w:rPr>
                <w:sz w:val="20"/>
                <w:szCs w:val="20"/>
              </w:rPr>
            </w:pPr>
            <w:r w:rsidRPr="00F209B7">
              <w:rPr>
                <w:w w:val="105"/>
                <w:sz w:val="20"/>
                <w:szCs w:val="20"/>
              </w:rPr>
              <w:t>Customs</w:t>
            </w:r>
            <w:r w:rsidRPr="00F209B7">
              <w:rPr>
                <w:spacing w:val="-10"/>
                <w:w w:val="105"/>
                <w:sz w:val="20"/>
                <w:szCs w:val="20"/>
              </w:rPr>
              <w:t xml:space="preserve"> </w:t>
            </w:r>
            <w:r w:rsidRPr="00F209B7">
              <w:rPr>
                <w:w w:val="105"/>
                <w:sz w:val="20"/>
                <w:szCs w:val="20"/>
              </w:rPr>
              <w:t>and</w:t>
            </w:r>
            <w:r w:rsidRPr="00F209B7">
              <w:rPr>
                <w:spacing w:val="-14"/>
                <w:w w:val="105"/>
                <w:sz w:val="20"/>
                <w:szCs w:val="20"/>
              </w:rPr>
              <w:t xml:space="preserve"> </w:t>
            </w:r>
            <w:r w:rsidRPr="00F209B7">
              <w:rPr>
                <w:w w:val="105"/>
                <w:sz w:val="20"/>
                <w:szCs w:val="20"/>
              </w:rPr>
              <w:t>Excise</w:t>
            </w:r>
            <w:r w:rsidRPr="00F209B7">
              <w:rPr>
                <w:spacing w:val="-11"/>
                <w:w w:val="105"/>
                <w:sz w:val="20"/>
                <w:szCs w:val="20"/>
              </w:rPr>
              <w:t xml:space="preserve"> </w:t>
            </w:r>
            <w:r w:rsidRPr="00F209B7">
              <w:rPr>
                <w:w w:val="105"/>
                <w:sz w:val="20"/>
                <w:szCs w:val="20"/>
              </w:rPr>
              <w:t>Act</w:t>
            </w:r>
            <w:r w:rsidRPr="00F209B7">
              <w:rPr>
                <w:spacing w:val="-10"/>
                <w:w w:val="105"/>
                <w:sz w:val="20"/>
                <w:szCs w:val="20"/>
              </w:rPr>
              <w:t xml:space="preserve"> </w:t>
            </w:r>
            <w:r w:rsidRPr="00F209B7">
              <w:rPr>
                <w:w w:val="105"/>
                <w:sz w:val="20"/>
                <w:szCs w:val="20"/>
              </w:rPr>
              <w:t>No.91</w:t>
            </w:r>
            <w:r w:rsidRPr="00F209B7">
              <w:rPr>
                <w:spacing w:val="-12"/>
                <w:w w:val="105"/>
                <w:sz w:val="20"/>
                <w:szCs w:val="20"/>
              </w:rPr>
              <w:t xml:space="preserve"> </w:t>
            </w:r>
            <w:r w:rsidRPr="00F209B7">
              <w:rPr>
                <w:w w:val="105"/>
                <w:sz w:val="20"/>
                <w:szCs w:val="20"/>
              </w:rPr>
              <w:t>of</w:t>
            </w:r>
            <w:r w:rsidRPr="00F209B7">
              <w:rPr>
                <w:spacing w:val="-5"/>
                <w:w w:val="105"/>
                <w:sz w:val="20"/>
                <w:szCs w:val="20"/>
              </w:rPr>
              <w:t xml:space="preserve"> </w:t>
            </w:r>
            <w:r w:rsidRPr="00F209B7">
              <w:rPr>
                <w:spacing w:val="2"/>
                <w:w w:val="105"/>
                <w:sz w:val="20"/>
                <w:szCs w:val="20"/>
              </w:rPr>
              <w:t>1964</w:t>
            </w:r>
          </w:p>
          <w:p w14:paraId="3A1E75DD" w14:textId="77777777" w:rsidR="007F3969" w:rsidRPr="00F209B7" w:rsidRDefault="007F3969" w:rsidP="00D66738">
            <w:pPr>
              <w:spacing w:before="0"/>
              <w:jc w:val="both"/>
              <w:rPr>
                <w:sz w:val="20"/>
                <w:szCs w:val="20"/>
              </w:rPr>
            </w:pPr>
            <w:r w:rsidRPr="00F209B7">
              <w:rPr>
                <w:spacing w:val="-5"/>
                <w:w w:val="105"/>
                <w:sz w:val="20"/>
                <w:szCs w:val="20"/>
              </w:rPr>
              <w:t>Tax</w:t>
            </w:r>
            <w:r w:rsidRPr="00F209B7">
              <w:rPr>
                <w:spacing w:val="-12"/>
                <w:w w:val="105"/>
                <w:sz w:val="20"/>
                <w:szCs w:val="20"/>
              </w:rPr>
              <w:t xml:space="preserve"> </w:t>
            </w:r>
            <w:r w:rsidRPr="00F209B7">
              <w:rPr>
                <w:w w:val="105"/>
                <w:sz w:val="20"/>
                <w:szCs w:val="20"/>
              </w:rPr>
              <w:t>Administration</w:t>
            </w:r>
            <w:r w:rsidRPr="00F209B7">
              <w:rPr>
                <w:spacing w:val="-18"/>
                <w:w w:val="105"/>
                <w:sz w:val="20"/>
                <w:szCs w:val="20"/>
              </w:rPr>
              <w:t xml:space="preserve"> </w:t>
            </w:r>
            <w:r w:rsidRPr="00F209B7">
              <w:rPr>
                <w:w w:val="105"/>
                <w:sz w:val="20"/>
                <w:szCs w:val="20"/>
              </w:rPr>
              <w:t>Laws</w:t>
            </w:r>
            <w:r w:rsidRPr="00F209B7">
              <w:rPr>
                <w:spacing w:val="-13"/>
                <w:w w:val="105"/>
                <w:sz w:val="20"/>
                <w:szCs w:val="20"/>
              </w:rPr>
              <w:t xml:space="preserve"> </w:t>
            </w:r>
            <w:r w:rsidRPr="00F209B7">
              <w:rPr>
                <w:w w:val="105"/>
                <w:sz w:val="20"/>
                <w:szCs w:val="20"/>
              </w:rPr>
              <w:t>Amendment</w:t>
            </w:r>
            <w:r w:rsidRPr="00F209B7">
              <w:rPr>
                <w:spacing w:val="-20"/>
                <w:w w:val="105"/>
                <w:sz w:val="20"/>
                <w:szCs w:val="20"/>
              </w:rPr>
              <w:t xml:space="preserve"> </w:t>
            </w:r>
            <w:r w:rsidRPr="00F209B7">
              <w:rPr>
                <w:w w:val="105"/>
                <w:sz w:val="20"/>
                <w:szCs w:val="20"/>
              </w:rPr>
              <w:t>Act</w:t>
            </w:r>
            <w:r w:rsidRPr="00F209B7">
              <w:rPr>
                <w:spacing w:val="-12"/>
                <w:w w:val="105"/>
                <w:sz w:val="20"/>
                <w:szCs w:val="20"/>
              </w:rPr>
              <w:t xml:space="preserve"> </w:t>
            </w:r>
            <w:r w:rsidRPr="00F209B7">
              <w:rPr>
                <w:w w:val="105"/>
                <w:sz w:val="20"/>
                <w:szCs w:val="20"/>
              </w:rPr>
              <w:t>No.</w:t>
            </w:r>
            <w:r w:rsidRPr="00F209B7">
              <w:rPr>
                <w:spacing w:val="-8"/>
                <w:w w:val="105"/>
                <w:sz w:val="20"/>
                <w:szCs w:val="20"/>
              </w:rPr>
              <w:t xml:space="preserve"> </w:t>
            </w:r>
            <w:r w:rsidRPr="00F209B7">
              <w:rPr>
                <w:w w:val="105"/>
                <w:sz w:val="20"/>
                <w:szCs w:val="20"/>
              </w:rPr>
              <w:t>21</w:t>
            </w:r>
            <w:r w:rsidRPr="00F209B7">
              <w:rPr>
                <w:spacing w:val="-15"/>
                <w:w w:val="105"/>
                <w:sz w:val="20"/>
                <w:szCs w:val="20"/>
              </w:rPr>
              <w:t xml:space="preserve"> </w:t>
            </w:r>
            <w:r w:rsidRPr="00F209B7">
              <w:rPr>
                <w:w w:val="105"/>
                <w:sz w:val="20"/>
                <w:szCs w:val="20"/>
              </w:rPr>
              <w:t>of 2012</w:t>
            </w:r>
          </w:p>
          <w:p w14:paraId="3D9C7CB9" w14:textId="77777777" w:rsidR="007F3969" w:rsidRPr="00F209B7" w:rsidRDefault="007F3969" w:rsidP="00D66738">
            <w:pPr>
              <w:spacing w:before="0"/>
              <w:jc w:val="both"/>
              <w:rPr>
                <w:sz w:val="20"/>
                <w:szCs w:val="20"/>
              </w:rPr>
            </w:pPr>
            <w:r w:rsidRPr="00F209B7">
              <w:rPr>
                <w:spacing w:val="-5"/>
                <w:w w:val="105"/>
                <w:sz w:val="20"/>
                <w:szCs w:val="20"/>
              </w:rPr>
              <w:t>Tax</w:t>
            </w:r>
            <w:r w:rsidRPr="00F209B7">
              <w:rPr>
                <w:spacing w:val="-9"/>
                <w:w w:val="105"/>
                <w:sz w:val="20"/>
                <w:szCs w:val="20"/>
              </w:rPr>
              <w:t xml:space="preserve"> </w:t>
            </w:r>
            <w:r w:rsidRPr="00F209B7">
              <w:rPr>
                <w:w w:val="105"/>
                <w:sz w:val="20"/>
                <w:szCs w:val="20"/>
              </w:rPr>
              <w:t>Administration</w:t>
            </w:r>
            <w:r w:rsidRPr="00F209B7">
              <w:rPr>
                <w:spacing w:val="-15"/>
                <w:w w:val="105"/>
                <w:sz w:val="20"/>
                <w:szCs w:val="20"/>
              </w:rPr>
              <w:t xml:space="preserve"> </w:t>
            </w:r>
            <w:r w:rsidRPr="00F209B7">
              <w:rPr>
                <w:w w:val="105"/>
                <w:sz w:val="20"/>
                <w:szCs w:val="20"/>
              </w:rPr>
              <w:t>Act</w:t>
            </w:r>
            <w:r w:rsidRPr="00F209B7">
              <w:rPr>
                <w:spacing w:val="-11"/>
                <w:w w:val="105"/>
                <w:sz w:val="20"/>
                <w:szCs w:val="20"/>
              </w:rPr>
              <w:t xml:space="preserve"> </w:t>
            </w:r>
            <w:r w:rsidRPr="00F209B7">
              <w:rPr>
                <w:w w:val="105"/>
                <w:sz w:val="20"/>
                <w:szCs w:val="20"/>
              </w:rPr>
              <w:t>No.</w:t>
            </w:r>
            <w:r w:rsidRPr="00F209B7">
              <w:rPr>
                <w:spacing w:val="-5"/>
                <w:w w:val="105"/>
                <w:sz w:val="20"/>
                <w:szCs w:val="20"/>
              </w:rPr>
              <w:t xml:space="preserve"> </w:t>
            </w:r>
            <w:r w:rsidRPr="00F209B7">
              <w:rPr>
                <w:w w:val="105"/>
                <w:sz w:val="20"/>
                <w:szCs w:val="20"/>
              </w:rPr>
              <w:t>28</w:t>
            </w:r>
            <w:r w:rsidRPr="00F209B7">
              <w:rPr>
                <w:spacing w:val="-13"/>
                <w:w w:val="105"/>
                <w:sz w:val="20"/>
                <w:szCs w:val="20"/>
              </w:rPr>
              <w:t xml:space="preserve"> </w:t>
            </w:r>
            <w:r w:rsidRPr="00F209B7">
              <w:rPr>
                <w:w w:val="105"/>
                <w:sz w:val="20"/>
                <w:szCs w:val="20"/>
              </w:rPr>
              <w:t>of</w:t>
            </w:r>
            <w:r w:rsidRPr="00F209B7">
              <w:rPr>
                <w:spacing w:val="-14"/>
                <w:w w:val="105"/>
                <w:sz w:val="20"/>
                <w:szCs w:val="20"/>
              </w:rPr>
              <w:t xml:space="preserve"> </w:t>
            </w:r>
            <w:r w:rsidRPr="00F209B7">
              <w:rPr>
                <w:spacing w:val="2"/>
                <w:w w:val="105"/>
                <w:sz w:val="20"/>
                <w:szCs w:val="20"/>
              </w:rPr>
              <w:t>2011</w:t>
            </w:r>
          </w:p>
          <w:p w14:paraId="37698C17" w14:textId="77777777" w:rsidR="007F3969" w:rsidRPr="00F209B7" w:rsidRDefault="007F3969" w:rsidP="00D66738">
            <w:pPr>
              <w:spacing w:before="0"/>
              <w:jc w:val="both"/>
              <w:rPr>
                <w:w w:val="105"/>
                <w:sz w:val="20"/>
                <w:szCs w:val="20"/>
              </w:rPr>
            </w:pPr>
            <w:r w:rsidRPr="00F209B7">
              <w:rPr>
                <w:spacing w:val="-5"/>
                <w:w w:val="105"/>
                <w:sz w:val="20"/>
                <w:szCs w:val="20"/>
              </w:rPr>
              <w:t>Tax</w:t>
            </w:r>
            <w:r w:rsidRPr="00F209B7">
              <w:rPr>
                <w:spacing w:val="-11"/>
                <w:w w:val="105"/>
                <w:sz w:val="20"/>
                <w:szCs w:val="20"/>
              </w:rPr>
              <w:t xml:space="preserve"> </w:t>
            </w:r>
            <w:r w:rsidRPr="00F209B7">
              <w:rPr>
                <w:w w:val="105"/>
                <w:sz w:val="20"/>
                <w:szCs w:val="20"/>
              </w:rPr>
              <w:t>Administration</w:t>
            </w:r>
            <w:r w:rsidRPr="00F209B7">
              <w:rPr>
                <w:spacing w:val="-17"/>
                <w:w w:val="105"/>
                <w:sz w:val="20"/>
                <w:szCs w:val="20"/>
              </w:rPr>
              <w:t xml:space="preserve"> </w:t>
            </w:r>
            <w:r w:rsidRPr="00F209B7">
              <w:rPr>
                <w:w w:val="105"/>
                <w:sz w:val="20"/>
                <w:szCs w:val="20"/>
              </w:rPr>
              <w:t>Laws</w:t>
            </w:r>
            <w:r w:rsidRPr="00F209B7">
              <w:rPr>
                <w:spacing w:val="-13"/>
                <w:w w:val="105"/>
                <w:sz w:val="20"/>
                <w:szCs w:val="20"/>
              </w:rPr>
              <w:t xml:space="preserve"> </w:t>
            </w:r>
            <w:r w:rsidRPr="00F209B7">
              <w:rPr>
                <w:w w:val="105"/>
                <w:sz w:val="20"/>
                <w:szCs w:val="20"/>
              </w:rPr>
              <w:t>Amendment</w:t>
            </w:r>
            <w:r w:rsidRPr="00F209B7">
              <w:rPr>
                <w:spacing w:val="-20"/>
                <w:w w:val="105"/>
                <w:sz w:val="20"/>
                <w:szCs w:val="20"/>
              </w:rPr>
              <w:t xml:space="preserve"> </w:t>
            </w:r>
            <w:r w:rsidRPr="00F209B7">
              <w:rPr>
                <w:w w:val="105"/>
                <w:sz w:val="20"/>
                <w:szCs w:val="20"/>
              </w:rPr>
              <w:t>Act</w:t>
            </w:r>
            <w:r w:rsidRPr="00F209B7">
              <w:rPr>
                <w:spacing w:val="-13"/>
                <w:w w:val="105"/>
                <w:sz w:val="20"/>
                <w:szCs w:val="20"/>
              </w:rPr>
              <w:t xml:space="preserve"> </w:t>
            </w:r>
            <w:r w:rsidRPr="00F209B7">
              <w:rPr>
                <w:w w:val="105"/>
                <w:sz w:val="20"/>
                <w:szCs w:val="20"/>
              </w:rPr>
              <w:t>No.</w:t>
            </w:r>
            <w:r w:rsidRPr="00F209B7">
              <w:rPr>
                <w:spacing w:val="-7"/>
                <w:w w:val="105"/>
                <w:sz w:val="20"/>
                <w:szCs w:val="20"/>
              </w:rPr>
              <w:t xml:space="preserve"> </w:t>
            </w:r>
            <w:r w:rsidRPr="00F209B7">
              <w:rPr>
                <w:w w:val="105"/>
                <w:sz w:val="20"/>
                <w:szCs w:val="20"/>
              </w:rPr>
              <w:t>39</w:t>
            </w:r>
            <w:r w:rsidRPr="00F209B7">
              <w:rPr>
                <w:spacing w:val="-14"/>
                <w:w w:val="105"/>
                <w:sz w:val="20"/>
                <w:szCs w:val="20"/>
              </w:rPr>
              <w:t xml:space="preserve"> </w:t>
            </w:r>
            <w:r w:rsidRPr="00F209B7">
              <w:rPr>
                <w:w w:val="105"/>
                <w:sz w:val="20"/>
                <w:szCs w:val="20"/>
              </w:rPr>
              <w:t xml:space="preserve">of </w:t>
            </w:r>
            <w:r w:rsidRPr="00F209B7">
              <w:rPr>
                <w:spacing w:val="3"/>
                <w:w w:val="105"/>
                <w:sz w:val="20"/>
                <w:szCs w:val="20"/>
              </w:rPr>
              <w:t>2013</w:t>
            </w:r>
          </w:p>
        </w:tc>
      </w:tr>
      <w:tr w:rsidR="00E544E8" w:rsidRPr="00F209B7" w14:paraId="5947A705" w14:textId="77777777" w:rsidTr="00E544E8">
        <w:tc>
          <w:tcPr>
            <w:tcW w:w="749" w:type="pct"/>
          </w:tcPr>
          <w:p w14:paraId="3C8BA2F5" w14:textId="77777777" w:rsidR="007F3969" w:rsidRPr="00F209B7" w:rsidRDefault="007F3969" w:rsidP="00D66738">
            <w:pPr>
              <w:spacing w:before="0"/>
              <w:jc w:val="both"/>
              <w:rPr>
                <w:w w:val="105"/>
                <w:sz w:val="20"/>
                <w:szCs w:val="20"/>
              </w:rPr>
            </w:pPr>
            <w:r w:rsidRPr="00F209B7">
              <w:rPr>
                <w:w w:val="105"/>
                <w:sz w:val="20"/>
                <w:szCs w:val="20"/>
              </w:rPr>
              <w:t>Labour laws</w:t>
            </w:r>
          </w:p>
        </w:tc>
        <w:tc>
          <w:tcPr>
            <w:tcW w:w="1564" w:type="pct"/>
          </w:tcPr>
          <w:p w14:paraId="53F77389" w14:textId="77777777" w:rsidR="007F3969" w:rsidRPr="00F209B7" w:rsidRDefault="007F3969" w:rsidP="00D66738">
            <w:pPr>
              <w:spacing w:before="0"/>
              <w:jc w:val="both"/>
              <w:rPr>
                <w:w w:val="105"/>
                <w:sz w:val="20"/>
                <w:szCs w:val="20"/>
              </w:rPr>
            </w:pPr>
            <w:r w:rsidRPr="00F209B7">
              <w:rPr>
                <w:w w:val="105"/>
                <w:sz w:val="20"/>
                <w:szCs w:val="20"/>
              </w:rPr>
              <w:t>Register for Unemployment Insurance</w:t>
            </w:r>
            <w:r w:rsidRPr="00F209B7">
              <w:rPr>
                <w:spacing w:val="-17"/>
                <w:w w:val="105"/>
                <w:sz w:val="20"/>
                <w:szCs w:val="20"/>
              </w:rPr>
              <w:t xml:space="preserve"> </w:t>
            </w:r>
            <w:r w:rsidRPr="00F209B7">
              <w:rPr>
                <w:w w:val="105"/>
                <w:sz w:val="20"/>
                <w:szCs w:val="20"/>
              </w:rPr>
              <w:t xml:space="preserve">Fund (UIF), </w:t>
            </w:r>
            <w:r w:rsidRPr="00F209B7">
              <w:rPr>
                <w:spacing w:val="-1"/>
                <w:w w:val="105"/>
                <w:sz w:val="20"/>
                <w:szCs w:val="20"/>
              </w:rPr>
              <w:t>Compensation</w:t>
            </w:r>
            <w:r w:rsidRPr="00F209B7">
              <w:rPr>
                <w:spacing w:val="-23"/>
                <w:w w:val="105"/>
                <w:sz w:val="20"/>
                <w:szCs w:val="20"/>
              </w:rPr>
              <w:t xml:space="preserve"> </w:t>
            </w:r>
            <w:r w:rsidRPr="00F209B7">
              <w:rPr>
                <w:w w:val="105"/>
                <w:sz w:val="20"/>
                <w:szCs w:val="20"/>
              </w:rPr>
              <w:t>Fund and relevant Sector Education and Training Authority (SETA)</w:t>
            </w:r>
          </w:p>
          <w:p w14:paraId="57182323" w14:textId="77777777" w:rsidR="007F3969" w:rsidRPr="00F209B7" w:rsidRDefault="007F3969" w:rsidP="00D66738">
            <w:pPr>
              <w:spacing w:before="0"/>
              <w:jc w:val="both"/>
              <w:rPr>
                <w:w w:val="105"/>
                <w:sz w:val="20"/>
                <w:szCs w:val="20"/>
              </w:rPr>
            </w:pPr>
            <w:r w:rsidRPr="00F209B7">
              <w:rPr>
                <w:w w:val="105"/>
                <w:sz w:val="20"/>
                <w:szCs w:val="20"/>
              </w:rPr>
              <w:t>Pay relevant fees and levies</w:t>
            </w:r>
          </w:p>
          <w:p w14:paraId="5408E3C9" w14:textId="77777777" w:rsidR="007F3969" w:rsidRPr="00F209B7" w:rsidRDefault="007F3969" w:rsidP="00D66738">
            <w:pPr>
              <w:spacing w:before="0"/>
              <w:jc w:val="both"/>
              <w:rPr>
                <w:w w:val="105"/>
                <w:sz w:val="20"/>
                <w:szCs w:val="20"/>
              </w:rPr>
            </w:pPr>
            <w:r w:rsidRPr="00F209B7">
              <w:rPr>
                <w:w w:val="105"/>
                <w:sz w:val="20"/>
                <w:szCs w:val="20"/>
              </w:rPr>
              <w:t>May receive refund for approved training expenditures</w:t>
            </w:r>
          </w:p>
        </w:tc>
        <w:tc>
          <w:tcPr>
            <w:tcW w:w="787" w:type="pct"/>
          </w:tcPr>
          <w:p w14:paraId="74176956" w14:textId="77777777" w:rsidR="007F3969" w:rsidRPr="00F209B7" w:rsidRDefault="007F3969" w:rsidP="00D66738">
            <w:pPr>
              <w:spacing w:before="0"/>
              <w:jc w:val="both"/>
              <w:rPr>
                <w:w w:val="105"/>
                <w:sz w:val="20"/>
                <w:szCs w:val="20"/>
              </w:rPr>
            </w:pPr>
            <w:r w:rsidRPr="00F209B7">
              <w:rPr>
                <w:w w:val="105"/>
                <w:sz w:val="20"/>
                <w:szCs w:val="20"/>
              </w:rPr>
              <w:t xml:space="preserve">Department of Labour; UIF Commission; </w:t>
            </w:r>
            <w:r w:rsidR="00F209B7" w:rsidRPr="00F209B7">
              <w:rPr>
                <w:w w:val="105"/>
                <w:sz w:val="20"/>
                <w:szCs w:val="20"/>
              </w:rPr>
              <w:t>Compensation</w:t>
            </w:r>
            <w:r w:rsidRPr="00F209B7">
              <w:rPr>
                <w:w w:val="105"/>
                <w:sz w:val="20"/>
                <w:szCs w:val="20"/>
              </w:rPr>
              <w:t xml:space="preserve"> Commission; SETAs</w:t>
            </w:r>
          </w:p>
        </w:tc>
        <w:tc>
          <w:tcPr>
            <w:tcW w:w="1901" w:type="pct"/>
          </w:tcPr>
          <w:p w14:paraId="413107D8" w14:textId="77777777" w:rsidR="007F3969" w:rsidRPr="00F209B7" w:rsidRDefault="007F3969" w:rsidP="00D66738">
            <w:pPr>
              <w:spacing w:before="0"/>
              <w:jc w:val="both"/>
              <w:rPr>
                <w:sz w:val="20"/>
                <w:szCs w:val="20"/>
              </w:rPr>
            </w:pPr>
            <w:r w:rsidRPr="00F209B7">
              <w:rPr>
                <w:w w:val="105"/>
                <w:sz w:val="20"/>
                <w:szCs w:val="20"/>
              </w:rPr>
              <w:t>Unemployment</w:t>
            </w:r>
            <w:r w:rsidRPr="00F209B7">
              <w:rPr>
                <w:spacing w:val="-13"/>
                <w:w w:val="105"/>
                <w:sz w:val="20"/>
                <w:szCs w:val="20"/>
              </w:rPr>
              <w:t xml:space="preserve"> </w:t>
            </w:r>
            <w:r w:rsidRPr="00F209B7">
              <w:rPr>
                <w:w w:val="105"/>
                <w:sz w:val="20"/>
                <w:szCs w:val="20"/>
              </w:rPr>
              <w:t>Insurance</w:t>
            </w:r>
            <w:r w:rsidRPr="00F209B7">
              <w:rPr>
                <w:spacing w:val="-22"/>
                <w:w w:val="105"/>
                <w:sz w:val="20"/>
                <w:szCs w:val="20"/>
              </w:rPr>
              <w:t xml:space="preserve"> </w:t>
            </w:r>
            <w:r w:rsidRPr="00F209B7">
              <w:rPr>
                <w:w w:val="105"/>
                <w:sz w:val="20"/>
                <w:szCs w:val="20"/>
              </w:rPr>
              <w:t>Contributions</w:t>
            </w:r>
            <w:r w:rsidRPr="00F209B7">
              <w:rPr>
                <w:spacing w:val="-14"/>
                <w:w w:val="105"/>
                <w:sz w:val="20"/>
                <w:szCs w:val="20"/>
              </w:rPr>
              <w:t xml:space="preserve"> </w:t>
            </w:r>
            <w:r w:rsidRPr="00F209B7">
              <w:rPr>
                <w:w w:val="105"/>
                <w:sz w:val="20"/>
                <w:szCs w:val="20"/>
              </w:rPr>
              <w:t>Act</w:t>
            </w:r>
            <w:r w:rsidRPr="00F209B7">
              <w:rPr>
                <w:spacing w:val="-21"/>
                <w:w w:val="105"/>
                <w:sz w:val="20"/>
                <w:szCs w:val="20"/>
              </w:rPr>
              <w:t xml:space="preserve"> </w:t>
            </w:r>
            <w:r w:rsidRPr="00F209B7">
              <w:rPr>
                <w:w w:val="105"/>
                <w:sz w:val="20"/>
                <w:szCs w:val="20"/>
              </w:rPr>
              <w:t>No.</w:t>
            </w:r>
            <w:r w:rsidRPr="00F209B7">
              <w:rPr>
                <w:spacing w:val="-9"/>
                <w:w w:val="105"/>
                <w:sz w:val="20"/>
                <w:szCs w:val="20"/>
              </w:rPr>
              <w:t xml:space="preserve"> </w:t>
            </w:r>
            <w:r w:rsidRPr="00F209B7">
              <w:rPr>
                <w:w w:val="105"/>
                <w:sz w:val="20"/>
                <w:szCs w:val="20"/>
              </w:rPr>
              <w:t>4</w:t>
            </w:r>
            <w:r w:rsidRPr="00F209B7">
              <w:rPr>
                <w:spacing w:val="-16"/>
                <w:w w:val="105"/>
                <w:sz w:val="20"/>
                <w:szCs w:val="20"/>
              </w:rPr>
              <w:t xml:space="preserve"> </w:t>
            </w:r>
            <w:r w:rsidRPr="00F209B7">
              <w:rPr>
                <w:w w:val="105"/>
                <w:sz w:val="20"/>
                <w:szCs w:val="20"/>
              </w:rPr>
              <w:t xml:space="preserve">of </w:t>
            </w:r>
            <w:r w:rsidRPr="00F209B7">
              <w:rPr>
                <w:spacing w:val="3"/>
                <w:w w:val="105"/>
                <w:sz w:val="20"/>
                <w:szCs w:val="20"/>
              </w:rPr>
              <w:t>2002</w:t>
            </w:r>
          </w:p>
          <w:p w14:paraId="1106D033" w14:textId="77777777" w:rsidR="007F3969" w:rsidRPr="00F209B7" w:rsidRDefault="007F3969" w:rsidP="00D66738">
            <w:pPr>
              <w:spacing w:before="0"/>
              <w:jc w:val="both"/>
              <w:rPr>
                <w:sz w:val="20"/>
                <w:szCs w:val="20"/>
              </w:rPr>
            </w:pPr>
            <w:r w:rsidRPr="00F209B7">
              <w:rPr>
                <w:w w:val="105"/>
                <w:sz w:val="20"/>
                <w:szCs w:val="20"/>
              </w:rPr>
              <w:t>Skills</w:t>
            </w:r>
            <w:r w:rsidRPr="00F209B7">
              <w:rPr>
                <w:spacing w:val="-12"/>
                <w:w w:val="105"/>
                <w:sz w:val="20"/>
                <w:szCs w:val="20"/>
              </w:rPr>
              <w:t xml:space="preserve"> </w:t>
            </w:r>
            <w:r w:rsidRPr="00F209B7">
              <w:rPr>
                <w:w w:val="105"/>
                <w:sz w:val="20"/>
                <w:szCs w:val="20"/>
              </w:rPr>
              <w:t>Development</w:t>
            </w:r>
            <w:r w:rsidRPr="00F209B7">
              <w:rPr>
                <w:spacing w:val="-13"/>
                <w:w w:val="105"/>
                <w:sz w:val="20"/>
                <w:szCs w:val="20"/>
              </w:rPr>
              <w:t xml:space="preserve"> </w:t>
            </w:r>
            <w:r w:rsidRPr="00F209B7">
              <w:rPr>
                <w:w w:val="105"/>
                <w:sz w:val="20"/>
                <w:szCs w:val="20"/>
              </w:rPr>
              <w:t>Act</w:t>
            </w:r>
            <w:r w:rsidRPr="00F209B7">
              <w:rPr>
                <w:spacing w:val="-12"/>
                <w:w w:val="105"/>
                <w:sz w:val="20"/>
                <w:szCs w:val="20"/>
              </w:rPr>
              <w:t xml:space="preserve"> </w:t>
            </w:r>
            <w:r w:rsidRPr="00F209B7">
              <w:rPr>
                <w:w w:val="105"/>
                <w:sz w:val="20"/>
                <w:szCs w:val="20"/>
              </w:rPr>
              <w:t>No.</w:t>
            </w:r>
            <w:r w:rsidRPr="00F209B7">
              <w:rPr>
                <w:spacing w:val="-8"/>
                <w:w w:val="105"/>
                <w:sz w:val="20"/>
                <w:szCs w:val="20"/>
              </w:rPr>
              <w:t xml:space="preserve"> </w:t>
            </w:r>
            <w:r w:rsidRPr="00F209B7">
              <w:rPr>
                <w:w w:val="105"/>
                <w:sz w:val="20"/>
                <w:szCs w:val="20"/>
              </w:rPr>
              <w:t>97</w:t>
            </w:r>
            <w:r w:rsidRPr="00F209B7">
              <w:rPr>
                <w:spacing w:val="-15"/>
                <w:w w:val="105"/>
                <w:sz w:val="20"/>
                <w:szCs w:val="20"/>
              </w:rPr>
              <w:t xml:space="preserve"> </w:t>
            </w:r>
            <w:r w:rsidRPr="00F209B7">
              <w:rPr>
                <w:w w:val="105"/>
                <w:sz w:val="20"/>
                <w:szCs w:val="20"/>
              </w:rPr>
              <w:t>of</w:t>
            </w:r>
            <w:r w:rsidRPr="00F209B7">
              <w:rPr>
                <w:spacing w:val="-8"/>
                <w:w w:val="105"/>
                <w:sz w:val="20"/>
                <w:szCs w:val="20"/>
              </w:rPr>
              <w:t xml:space="preserve"> </w:t>
            </w:r>
            <w:r w:rsidRPr="00F209B7">
              <w:rPr>
                <w:spacing w:val="2"/>
                <w:w w:val="105"/>
                <w:sz w:val="20"/>
                <w:szCs w:val="20"/>
              </w:rPr>
              <w:t>1998</w:t>
            </w:r>
          </w:p>
          <w:p w14:paraId="4D6DE920" w14:textId="77777777" w:rsidR="007F3969" w:rsidRPr="00F209B7" w:rsidRDefault="007F3969" w:rsidP="00D66738">
            <w:pPr>
              <w:spacing w:before="0"/>
              <w:jc w:val="both"/>
              <w:rPr>
                <w:sz w:val="20"/>
                <w:szCs w:val="20"/>
              </w:rPr>
            </w:pPr>
            <w:r w:rsidRPr="00F209B7">
              <w:rPr>
                <w:w w:val="105"/>
                <w:sz w:val="20"/>
                <w:szCs w:val="20"/>
              </w:rPr>
              <w:t>Compensation</w:t>
            </w:r>
            <w:r w:rsidRPr="00F209B7">
              <w:rPr>
                <w:spacing w:val="-18"/>
                <w:w w:val="105"/>
                <w:sz w:val="20"/>
                <w:szCs w:val="20"/>
              </w:rPr>
              <w:t xml:space="preserve"> </w:t>
            </w:r>
            <w:r w:rsidRPr="00F209B7">
              <w:rPr>
                <w:w w:val="105"/>
                <w:sz w:val="20"/>
                <w:szCs w:val="20"/>
              </w:rPr>
              <w:t>for</w:t>
            </w:r>
            <w:r w:rsidRPr="00F209B7">
              <w:rPr>
                <w:spacing w:val="-15"/>
                <w:w w:val="105"/>
                <w:sz w:val="20"/>
                <w:szCs w:val="20"/>
              </w:rPr>
              <w:t xml:space="preserve"> </w:t>
            </w:r>
            <w:r w:rsidRPr="00F209B7">
              <w:rPr>
                <w:w w:val="105"/>
                <w:sz w:val="20"/>
                <w:szCs w:val="20"/>
              </w:rPr>
              <w:t>Occupational</w:t>
            </w:r>
            <w:r w:rsidRPr="00F209B7">
              <w:rPr>
                <w:spacing w:val="-22"/>
                <w:w w:val="105"/>
                <w:sz w:val="20"/>
                <w:szCs w:val="20"/>
              </w:rPr>
              <w:t xml:space="preserve"> </w:t>
            </w:r>
            <w:r w:rsidRPr="00F209B7">
              <w:rPr>
                <w:w w:val="105"/>
                <w:sz w:val="20"/>
                <w:szCs w:val="20"/>
              </w:rPr>
              <w:t>Injuries</w:t>
            </w:r>
            <w:r w:rsidRPr="00F209B7">
              <w:rPr>
                <w:spacing w:val="-14"/>
                <w:w w:val="105"/>
                <w:sz w:val="20"/>
                <w:szCs w:val="20"/>
              </w:rPr>
              <w:t xml:space="preserve"> </w:t>
            </w:r>
            <w:r w:rsidRPr="00F209B7">
              <w:rPr>
                <w:w w:val="105"/>
                <w:sz w:val="20"/>
                <w:szCs w:val="20"/>
              </w:rPr>
              <w:t>and</w:t>
            </w:r>
            <w:r w:rsidRPr="00F209B7">
              <w:rPr>
                <w:spacing w:val="-18"/>
                <w:w w:val="105"/>
                <w:sz w:val="20"/>
                <w:szCs w:val="20"/>
              </w:rPr>
              <w:t xml:space="preserve"> </w:t>
            </w:r>
            <w:r w:rsidRPr="00F209B7">
              <w:rPr>
                <w:w w:val="105"/>
                <w:sz w:val="20"/>
                <w:szCs w:val="20"/>
              </w:rPr>
              <w:t>Diseases Act No. 61 of 1997</w:t>
            </w:r>
          </w:p>
          <w:p w14:paraId="0C955E19" w14:textId="77777777" w:rsidR="007F3969" w:rsidRPr="00F209B7" w:rsidRDefault="007F3969" w:rsidP="00D66738">
            <w:pPr>
              <w:spacing w:before="0"/>
              <w:jc w:val="both"/>
              <w:rPr>
                <w:w w:val="105"/>
                <w:sz w:val="20"/>
                <w:szCs w:val="20"/>
              </w:rPr>
            </w:pPr>
            <w:r w:rsidRPr="00F209B7">
              <w:rPr>
                <w:w w:val="105"/>
                <w:sz w:val="20"/>
                <w:szCs w:val="20"/>
              </w:rPr>
              <w:t>Occupational</w:t>
            </w:r>
            <w:r w:rsidRPr="00F209B7">
              <w:rPr>
                <w:spacing w:val="-19"/>
                <w:w w:val="105"/>
                <w:sz w:val="20"/>
                <w:szCs w:val="20"/>
              </w:rPr>
              <w:t xml:space="preserve"> </w:t>
            </w:r>
            <w:r w:rsidRPr="00F209B7">
              <w:rPr>
                <w:spacing w:val="-3"/>
                <w:w w:val="105"/>
                <w:sz w:val="20"/>
                <w:szCs w:val="20"/>
              </w:rPr>
              <w:t>Health</w:t>
            </w:r>
            <w:r w:rsidRPr="00F209B7">
              <w:rPr>
                <w:spacing w:val="2"/>
                <w:w w:val="105"/>
                <w:sz w:val="20"/>
                <w:szCs w:val="20"/>
              </w:rPr>
              <w:t xml:space="preserve"> </w:t>
            </w:r>
            <w:r w:rsidRPr="00F209B7">
              <w:rPr>
                <w:w w:val="105"/>
                <w:sz w:val="20"/>
                <w:szCs w:val="20"/>
              </w:rPr>
              <w:t>and</w:t>
            </w:r>
            <w:r w:rsidRPr="00F209B7">
              <w:rPr>
                <w:spacing w:val="-6"/>
                <w:w w:val="105"/>
                <w:sz w:val="20"/>
                <w:szCs w:val="20"/>
              </w:rPr>
              <w:t xml:space="preserve"> </w:t>
            </w:r>
            <w:r w:rsidRPr="00F209B7">
              <w:rPr>
                <w:w w:val="105"/>
                <w:sz w:val="20"/>
                <w:szCs w:val="20"/>
              </w:rPr>
              <w:t>Safety</w:t>
            </w:r>
            <w:r w:rsidRPr="00F209B7">
              <w:rPr>
                <w:spacing w:val="-12"/>
                <w:w w:val="105"/>
                <w:sz w:val="20"/>
                <w:szCs w:val="20"/>
              </w:rPr>
              <w:t xml:space="preserve"> </w:t>
            </w:r>
            <w:r w:rsidRPr="00F209B7">
              <w:rPr>
                <w:w w:val="105"/>
                <w:sz w:val="20"/>
                <w:szCs w:val="20"/>
              </w:rPr>
              <w:t>Act</w:t>
            </w:r>
            <w:r w:rsidRPr="00F209B7">
              <w:rPr>
                <w:spacing w:val="-10"/>
                <w:w w:val="105"/>
                <w:sz w:val="20"/>
                <w:szCs w:val="20"/>
              </w:rPr>
              <w:t xml:space="preserve"> </w:t>
            </w:r>
            <w:r w:rsidRPr="00F209B7">
              <w:rPr>
                <w:w w:val="105"/>
                <w:sz w:val="20"/>
                <w:szCs w:val="20"/>
              </w:rPr>
              <w:t>No.</w:t>
            </w:r>
            <w:r w:rsidRPr="00F209B7">
              <w:rPr>
                <w:spacing w:val="-13"/>
                <w:w w:val="105"/>
                <w:sz w:val="20"/>
                <w:szCs w:val="20"/>
              </w:rPr>
              <w:t xml:space="preserve"> </w:t>
            </w:r>
            <w:r w:rsidRPr="00F209B7">
              <w:rPr>
                <w:w w:val="105"/>
                <w:sz w:val="20"/>
                <w:szCs w:val="20"/>
              </w:rPr>
              <w:t>29</w:t>
            </w:r>
            <w:r w:rsidRPr="00F209B7">
              <w:rPr>
                <w:spacing w:val="-3"/>
                <w:w w:val="105"/>
                <w:sz w:val="20"/>
                <w:szCs w:val="20"/>
              </w:rPr>
              <w:t xml:space="preserve"> </w:t>
            </w:r>
            <w:r w:rsidRPr="00F209B7">
              <w:rPr>
                <w:w w:val="105"/>
                <w:sz w:val="20"/>
                <w:szCs w:val="20"/>
              </w:rPr>
              <w:t>of</w:t>
            </w:r>
            <w:r w:rsidRPr="00F209B7">
              <w:rPr>
                <w:spacing w:val="-13"/>
                <w:w w:val="105"/>
                <w:sz w:val="20"/>
                <w:szCs w:val="20"/>
              </w:rPr>
              <w:t xml:space="preserve"> </w:t>
            </w:r>
            <w:r w:rsidRPr="00F209B7">
              <w:rPr>
                <w:spacing w:val="2"/>
                <w:w w:val="105"/>
                <w:sz w:val="20"/>
                <w:szCs w:val="20"/>
              </w:rPr>
              <w:t>1996</w:t>
            </w:r>
          </w:p>
        </w:tc>
      </w:tr>
    </w:tbl>
    <w:p w14:paraId="2CDF3EAA" w14:textId="77777777" w:rsidR="00E41438" w:rsidRPr="00F209B7" w:rsidRDefault="00E41438" w:rsidP="00D66738">
      <w:pPr>
        <w:pStyle w:val="Heading2"/>
        <w:numPr>
          <w:ilvl w:val="1"/>
          <w:numId w:val="129"/>
        </w:numPr>
        <w:ind w:left="0" w:firstLine="0"/>
        <w:jc w:val="both"/>
      </w:pPr>
      <w:bookmarkStart w:id="588" w:name="_Toc469410860"/>
      <w:bookmarkStart w:id="589" w:name="_Toc469585735"/>
      <w:bookmarkStart w:id="590" w:name="_Toc479843912"/>
      <w:bookmarkStart w:id="591" w:name="_Toc479844536"/>
      <w:bookmarkStart w:id="592" w:name="_Toc479940863"/>
      <w:r w:rsidRPr="00F209B7">
        <w:t>CIPC registration and reporting</w:t>
      </w:r>
      <w:bookmarkEnd w:id="588"/>
      <w:bookmarkEnd w:id="589"/>
      <w:bookmarkEnd w:id="590"/>
      <w:bookmarkEnd w:id="591"/>
      <w:bookmarkEnd w:id="592"/>
    </w:p>
    <w:p w14:paraId="0B73BD0D" w14:textId="77777777" w:rsidR="00E41438" w:rsidRPr="00F209B7" w:rsidRDefault="009D2E33" w:rsidP="00D66738">
      <w:pPr>
        <w:jc w:val="both"/>
      </w:pPr>
      <w:r w:rsidRPr="00F209B7">
        <w:t>T</w:t>
      </w:r>
      <w:r w:rsidR="00E41438" w:rsidRPr="00F209B7">
        <w:t>he registration of enterprises and regulation o</w:t>
      </w:r>
      <w:r w:rsidRPr="00F209B7">
        <w:t>f their governance forms an integral part of the regulatory framework</w:t>
      </w:r>
      <w:r w:rsidR="00E41438" w:rsidRPr="00F209B7">
        <w:t xml:space="preserve"> </w:t>
      </w:r>
      <w:r w:rsidRPr="00F209B7">
        <w:t xml:space="preserve">for formal business. </w:t>
      </w:r>
      <w:r w:rsidR="00E41438" w:rsidRPr="00F209B7">
        <w:t>Registration establishes ownership</w:t>
      </w:r>
      <w:r w:rsidRPr="00F209B7">
        <w:t xml:space="preserve"> of </w:t>
      </w:r>
      <w:r w:rsidRPr="00F209B7">
        <w:lastRenderedPageBreak/>
        <w:t>businesses</w:t>
      </w:r>
      <w:r w:rsidR="00E41438" w:rsidRPr="00F209B7">
        <w:t>, provides model governance structures for different types of ownership</w:t>
      </w:r>
      <w:r w:rsidRPr="00F209B7">
        <w:t>, and secures a legal status for entering into contracts</w:t>
      </w:r>
      <w:r w:rsidR="00E41438" w:rsidRPr="00F209B7">
        <w:t>.</w:t>
      </w:r>
    </w:p>
    <w:p w14:paraId="72286586" w14:textId="77777777" w:rsidR="00935EED" w:rsidRPr="00F209B7" w:rsidRDefault="00935EED" w:rsidP="00D66738">
      <w:pPr>
        <w:pStyle w:val="Heading3"/>
        <w:numPr>
          <w:ilvl w:val="2"/>
          <w:numId w:val="130"/>
        </w:numPr>
        <w:ind w:left="0" w:firstLine="0"/>
        <w:jc w:val="both"/>
      </w:pPr>
      <w:bookmarkStart w:id="593" w:name="_Toc479843913"/>
      <w:bookmarkStart w:id="594" w:name="_Toc479844537"/>
      <w:bookmarkStart w:id="595" w:name="_Toc479940864"/>
      <w:r w:rsidRPr="00F209B7">
        <w:t>The legal framework</w:t>
      </w:r>
      <w:bookmarkEnd w:id="593"/>
      <w:bookmarkEnd w:id="594"/>
      <w:bookmarkEnd w:id="595"/>
    </w:p>
    <w:p w14:paraId="12CBC2AA" w14:textId="77777777" w:rsidR="00E41438" w:rsidRPr="00F209B7" w:rsidRDefault="00E41438" w:rsidP="00D66738">
      <w:pPr>
        <w:jc w:val="both"/>
      </w:pPr>
      <w:r w:rsidRPr="00F209B7">
        <w:t xml:space="preserve">Company registration in South Africa is governed by the Companies Act of 2008. The purpose of the Companies Act is stated in section 7 as </w:t>
      </w:r>
      <w:r w:rsidRPr="00F209B7">
        <w:rPr>
          <w:i/>
        </w:rPr>
        <w:t>inter alia</w:t>
      </w:r>
      <w:r w:rsidRPr="00F209B7">
        <w:t xml:space="preserve"> to promote the development of the South African economy by:</w:t>
      </w:r>
    </w:p>
    <w:p w14:paraId="2DF7A656" w14:textId="77777777" w:rsidR="00E41438" w:rsidRPr="00F209B7" w:rsidRDefault="00E41438" w:rsidP="00D66738">
      <w:pPr>
        <w:pStyle w:val="ListParagraph"/>
        <w:numPr>
          <w:ilvl w:val="0"/>
          <w:numId w:val="23"/>
        </w:numPr>
        <w:jc w:val="both"/>
      </w:pPr>
      <w:r w:rsidRPr="00F209B7">
        <w:t xml:space="preserve">encouraging entrepreneurship and enterprise efficiency; </w:t>
      </w:r>
    </w:p>
    <w:p w14:paraId="10B4FC06" w14:textId="77777777" w:rsidR="00E41438" w:rsidRPr="00F209B7" w:rsidRDefault="00E41438" w:rsidP="00D66738">
      <w:pPr>
        <w:pStyle w:val="ListParagraph"/>
        <w:numPr>
          <w:ilvl w:val="0"/>
          <w:numId w:val="23"/>
        </w:numPr>
        <w:jc w:val="both"/>
      </w:pPr>
      <w:r w:rsidRPr="00F209B7">
        <w:t xml:space="preserve">creating flexibility and simplicity in the formation and maintenance of companies; and </w:t>
      </w:r>
    </w:p>
    <w:p w14:paraId="0A35304D" w14:textId="77777777" w:rsidR="00E41438" w:rsidRPr="00F209B7" w:rsidRDefault="00E41438" w:rsidP="00D66738">
      <w:pPr>
        <w:pStyle w:val="ListParagraph"/>
        <w:numPr>
          <w:ilvl w:val="0"/>
          <w:numId w:val="23"/>
        </w:numPr>
        <w:jc w:val="both"/>
      </w:pPr>
      <w:r w:rsidRPr="00F209B7">
        <w:t>encouraging transparency and high standards of corporate governance as appropriate, given the significant role of enterprises within the social and economic life of the nation.</w:t>
      </w:r>
    </w:p>
    <w:p w14:paraId="358A9D57" w14:textId="1A22923A" w:rsidR="00E41438" w:rsidRPr="00F209B7" w:rsidRDefault="00E41438" w:rsidP="00D66738">
      <w:pPr>
        <w:jc w:val="both"/>
      </w:pPr>
      <w:r w:rsidRPr="00F209B7">
        <w:t>The Companies Act provides for the legal registration of enterprises and establishes minimum requirements for governance structures for different types. The registration of cooperatives is provided for by the Cooperatives Act of 2005.</w:t>
      </w:r>
      <w:r w:rsidR="009D2E33" w:rsidRPr="00F209B7">
        <w:t xml:space="preserve"> As</w:t>
      </w:r>
      <w:r w:rsidR="00935EED" w:rsidRPr="00F209B7">
        <w:t xml:space="preserve"> discussed</w:t>
      </w:r>
      <w:r w:rsidR="009D2E33" w:rsidRPr="00F209B7">
        <w:t xml:space="preserve"> below, the registration and reporting requirements for co-operatives </w:t>
      </w:r>
      <w:r w:rsidR="00AE6F3E">
        <w:t>are more onerous than for other</w:t>
      </w:r>
      <w:r w:rsidR="009D2E33" w:rsidRPr="00F209B7">
        <w:t xml:space="preserve"> </w:t>
      </w:r>
      <w:r w:rsidR="00AE6F3E">
        <w:t>business</w:t>
      </w:r>
      <w:r w:rsidR="00AE6F3E" w:rsidRPr="00AE6F3E">
        <w:t xml:space="preserve"> </w:t>
      </w:r>
      <w:r w:rsidR="00AE6F3E" w:rsidRPr="00F209B7">
        <w:t>types</w:t>
      </w:r>
      <w:r w:rsidR="009D2E33" w:rsidRPr="00F209B7">
        <w:t xml:space="preserve">. </w:t>
      </w:r>
    </w:p>
    <w:p w14:paraId="21C2E242" w14:textId="4EA486F5" w:rsidR="00E41438" w:rsidRPr="00F209B7" w:rsidRDefault="00D81F08" w:rsidP="00D66738">
      <w:pPr>
        <w:jc w:val="both"/>
        <w:rPr>
          <w:rFonts w:ascii="Calibri" w:eastAsia="Calibri" w:hAnsi="Calibri" w:cs="Times New Roman"/>
          <w:szCs w:val="24"/>
        </w:rPr>
      </w:pPr>
      <w:r>
        <w:rPr>
          <w:rFonts w:ascii="Calibri" w:eastAsia="Calibri" w:hAnsi="Calibri" w:cs="Times New Roman"/>
          <w:szCs w:val="24"/>
        </w:rPr>
        <w:t>In section 185, t</w:t>
      </w:r>
      <w:r w:rsidR="00E41438" w:rsidRPr="00F209B7">
        <w:rPr>
          <w:rFonts w:ascii="Calibri" w:eastAsia="Calibri" w:hAnsi="Calibri" w:cs="Times New Roman"/>
          <w:szCs w:val="24"/>
        </w:rPr>
        <w:t xml:space="preserve">he Companies Act </w:t>
      </w:r>
      <w:r w:rsidR="00E57D11" w:rsidRPr="00F209B7">
        <w:rPr>
          <w:rFonts w:ascii="Calibri" w:eastAsia="Calibri" w:hAnsi="Calibri" w:cs="Times New Roman"/>
          <w:szCs w:val="24"/>
        </w:rPr>
        <w:t>mandate</w:t>
      </w:r>
      <w:r w:rsidR="00E41438" w:rsidRPr="00F209B7">
        <w:rPr>
          <w:rFonts w:ascii="Calibri" w:eastAsia="Calibri" w:hAnsi="Calibri" w:cs="Times New Roman"/>
          <w:szCs w:val="24"/>
        </w:rPr>
        <w:t xml:space="preserve">s the CIPC </w:t>
      </w:r>
      <w:r w:rsidR="00E57D11" w:rsidRPr="00F209B7">
        <w:rPr>
          <w:rFonts w:ascii="Calibri" w:eastAsia="Calibri" w:hAnsi="Calibri" w:cs="Times New Roman"/>
          <w:szCs w:val="24"/>
        </w:rPr>
        <w:t xml:space="preserve">to </w:t>
      </w:r>
      <w:r w:rsidR="00E41438" w:rsidRPr="00F209B7">
        <w:rPr>
          <w:rFonts w:ascii="Calibri" w:eastAsia="Calibri" w:hAnsi="Calibri" w:cs="Times New Roman"/>
          <w:szCs w:val="24"/>
        </w:rPr>
        <w:t xml:space="preserve">register enterprises and </w:t>
      </w:r>
      <w:r>
        <w:rPr>
          <w:rFonts w:ascii="Calibri" w:eastAsia="Calibri" w:hAnsi="Calibri" w:cs="Times New Roman"/>
          <w:szCs w:val="24"/>
        </w:rPr>
        <w:t xml:space="preserve">to </w:t>
      </w:r>
      <w:r w:rsidR="00E41438" w:rsidRPr="00F209B7">
        <w:rPr>
          <w:rFonts w:ascii="Calibri" w:eastAsia="Calibri" w:hAnsi="Calibri" w:cs="Times New Roman"/>
          <w:szCs w:val="24"/>
        </w:rPr>
        <w:t xml:space="preserve">maintain </w:t>
      </w:r>
      <w:r w:rsidR="00E57D11" w:rsidRPr="00F209B7">
        <w:rPr>
          <w:rFonts w:ascii="Calibri" w:eastAsia="Calibri" w:hAnsi="Calibri" w:cs="Times New Roman"/>
          <w:szCs w:val="24"/>
        </w:rPr>
        <w:t xml:space="preserve">a </w:t>
      </w:r>
      <w:r w:rsidR="00E41438" w:rsidRPr="00F209B7">
        <w:rPr>
          <w:rFonts w:ascii="Calibri" w:eastAsia="Calibri" w:hAnsi="Calibri" w:cs="Times New Roman"/>
          <w:szCs w:val="24"/>
        </w:rPr>
        <w:t xml:space="preserve">central database of company records in South Africa. The institution also </w:t>
      </w:r>
      <w:r w:rsidR="00E57D11" w:rsidRPr="00F209B7">
        <w:rPr>
          <w:rFonts w:ascii="Calibri" w:eastAsia="Calibri" w:hAnsi="Calibri" w:cs="Times New Roman"/>
          <w:szCs w:val="24"/>
        </w:rPr>
        <w:t xml:space="preserve">monitors </w:t>
      </w:r>
      <w:r w:rsidR="00E41438" w:rsidRPr="00F209B7">
        <w:rPr>
          <w:rFonts w:ascii="Calibri" w:eastAsia="Calibri" w:hAnsi="Calibri" w:cs="Times New Roman"/>
          <w:szCs w:val="24"/>
        </w:rPr>
        <w:t>compliance to governance standards</w:t>
      </w:r>
      <w:r w:rsidR="00E57D11" w:rsidRPr="00F209B7">
        <w:rPr>
          <w:rFonts w:ascii="Calibri" w:eastAsia="Calibri" w:hAnsi="Calibri" w:cs="Times New Roman"/>
          <w:szCs w:val="24"/>
        </w:rPr>
        <w:t>, including regular reports to affirm continued existence and provide up-to-date contact details</w:t>
      </w:r>
      <w:r w:rsidR="00E41438" w:rsidRPr="00F209B7">
        <w:rPr>
          <w:rFonts w:ascii="Calibri" w:eastAsia="Calibri" w:hAnsi="Calibri" w:cs="Times New Roman"/>
          <w:szCs w:val="24"/>
        </w:rPr>
        <w:t>.</w:t>
      </w:r>
      <w:r w:rsidR="00935EED" w:rsidRPr="00F209B7">
        <w:rPr>
          <w:rFonts w:ascii="Calibri" w:eastAsia="Calibri" w:hAnsi="Calibri" w:cs="Times New Roman"/>
          <w:szCs w:val="24"/>
        </w:rPr>
        <w:t xml:space="preserve"> </w:t>
      </w:r>
      <w:r w:rsidR="00E41438" w:rsidRPr="00F209B7">
        <w:rPr>
          <w:rFonts w:ascii="Calibri" w:eastAsia="Calibri" w:hAnsi="Calibri" w:cs="Times New Roman"/>
          <w:szCs w:val="24"/>
        </w:rPr>
        <w:t xml:space="preserve">Businesses that exist </w:t>
      </w:r>
      <w:proofErr w:type="gramStart"/>
      <w:r w:rsidR="00E41438" w:rsidRPr="00F209B7">
        <w:rPr>
          <w:rFonts w:ascii="Calibri" w:eastAsia="Calibri" w:hAnsi="Calibri" w:cs="Times New Roman"/>
          <w:szCs w:val="24"/>
        </w:rPr>
        <w:t>as sole proprietors and partnerships are covered by Common Law</w:t>
      </w:r>
      <w:proofErr w:type="gramEnd"/>
      <w:r w:rsidR="00E41438" w:rsidRPr="00F209B7">
        <w:rPr>
          <w:rFonts w:ascii="Calibri" w:eastAsia="Calibri" w:hAnsi="Calibri" w:cs="Times New Roman"/>
          <w:szCs w:val="24"/>
        </w:rPr>
        <w:t xml:space="preserve"> rather than the Companies Act.</w:t>
      </w:r>
    </w:p>
    <w:p w14:paraId="4C6EB4AC" w14:textId="77777777" w:rsidR="00935EED" w:rsidRPr="00F209B7" w:rsidRDefault="00935EED" w:rsidP="00D66738">
      <w:pPr>
        <w:jc w:val="both"/>
      </w:pPr>
      <w:r w:rsidRPr="00F209B7">
        <w:t>Enterprises are required to register with the CIPC in one of the available forms of incorporation, and to file an Annual Return to confirm their continued existence. Some forms of ownership are subject to more onerous governance standards such as the preparation of Annual Financial Statements (AFS) and annual audits.</w:t>
      </w:r>
    </w:p>
    <w:p w14:paraId="4E161B40" w14:textId="77777777" w:rsidR="00E544E8" w:rsidRPr="00F209B7" w:rsidRDefault="00E544E8" w:rsidP="00D66738">
      <w:pPr>
        <w:jc w:val="both"/>
        <w:rPr>
          <w:rFonts w:ascii="Calibri" w:eastAsia="Calibri" w:hAnsi="Calibri" w:cs="Times New Roman"/>
          <w:szCs w:val="24"/>
        </w:rPr>
      </w:pPr>
      <w:r w:rsidRPr="00F209B7">
        <w:rPr>
          <w:rFonts w:ascii="Calibri" w:eastAsia="Calibri" w:hAnsi="Calibri" w:cs="Times New Roman"/>
          <w:szCs w:val="24"/>
        </w:rPr>
        <w:t>The Co-operatives Development Act provides specifically for the formation and registration of the different types of co-operatives (primary, secondary and tertiary) in section 6, the establishment of a Co-operatives Advisory Board</w:t>
      </w:r>
      <w:r w:rsidRPr="00F209B7">
        <w:rPr>
          <w:rStyle w:val="FootnoteReference"/>
          <w:rFonts w:ascii="Calibri" w:eastAsia="Calibri" w:hAnsi="Calibri" w:cs="Times New Roman"/>
          <w:szCs w:val="24"/>
        </w:rPr>
        <w:footnoteReference w:id="8"/>
      </w:r>
      <w:r w:rsidRPr="00F209B7">
        <w:rPr>
          <w:rFonts w:ascii="Calibri" w:eastAsia="Calibri" w:hAnsi="Calibri" w:cs="Times New Roman"/>
          <w:szCs w:val="24"/>
        </w:rPr>
        <w:t xml:space="preserve"> in section 85, the dissolution of co-operatives and related matters. The need for a separate legislation arose because government aimed to use the registration process to institutionalise and provide incentives to co-operatives and to ensure they abided by co-op norms especially in terms of internal democracy and book-keeping.</w:t>
      </w:r>
    </w:p>
    <w:p w14:paraId="41204E40" w14:textId="77777777" w:rsidR="00935EED" w:rsidRPr="00F209B7" w:rsidRDefault="00935EED" w:rsidP="00D66738">
      <w:pPr>
        <w:pStyle w:val="Heading3"/>
        <w:numPr>
          <w:ilvl w:val="2"/>
          <w:numId w:val="130"/>
        </w:numPr>
        <w:ind w:left="0" w:firstLine="0"/>
        <w:jc w:val="both"/>
      </w:pPr>
      <w:bookmarkStart w:id="596" w:name="_Toc479843914"/>
      <w:bookmarkStart w:id="597" w:name="_Toc479844538"/>
      <w:bookmarkStart w:id="598" w:name="_Toc479940865"/>
      <w:r w:rsidRPr="00F209B7">
        <w:t>Aims and theory of change</w:t>
      </w:r>
      <w:bookmarkEnd w:id="596"/>
      <w:bookmarkEnd w:id="597"/>
      <w:bookmarkEnd w:id="598"/>
    </w:p>
    <w:p w14:paraId="0F66CB97" w14:textId="0902B4E9" w:rsidR="00935EED" w:rsidRPr="00F209B7" w:rsidRDefault="00935EED" w:rsidP="00D66738">
      <w:pPr>
        <w:jc w:val="both"/>
      </w:pPr>
      <w:r w:rsidRPr="00F209B7">
        <w:t xml:space="preserve">Legal registration addresses the lack of obvious property rights and governance structures for many modern enterprises. Providing companies and co-ops with legal status helps ensure certainty of ownership rights, which is important for the enterprise, its investors and its customers. Similarly, identifying minimum governance standards under which an enterprise can operate facilitates accountability and transparency to the benefit of shareholders or members as well as other stakeholders. </w:t>
      </w:r>
      <w:r w:rsidRPr="00F209B7">
        <w:fldChar w:fldCharType="begin"/>
      </w:r>
      <w:r w:rsidRPr="00F209B7">
        <w:instrText xml:space="preserve"> REF _Ref469388529 \h  \* MERGEFORMAT </w:instrText>
      </w:r>
      <w:r w:rsidRPr="00F209B7">
        <w:fldChar w:fldCharType="separate"/>
      </w:r>
      <w:r w:rsidR="005062E7" w:rsidRPr="00F209B7">
        <w:t xml:space="preserve">Table </w:t>
      </w:r>
      <w:r w:rsidR="005062E7">
        <w:rPr>
          <w:noProof/>
        </w:rPr>
        <w:t>4</w:t>
      </w:r>
      <w:r w:rsidRPr="00F209B7">
        <w:fldChar w:fldCharType="end"/>
      </w:r>
      <w:r w:rsidRPr="00F209B7">
        <w:t xml:space="preserve"> indicates the main </w:t>
      </w:r>
      <w:r w:rsidRPr="00F209B7">
        <w:lastRenderedPageBreak/>
        <w:t xml:space="preserve">beneficiaries and cost bearers from the problems that the Companies Act and Cooperatives Act seeks to alleviate. </w:t>
      </w:r>
    </w:p>
    <w:p w14:paraId="759D0744" w14:textId="3B566126" w:rsidR="00935EED" w:rsidRPr="00F209B7" w:rsidRDefault="00935EED" w:rsidP="00D66738">
      <w:pPr>
        <w:pStyle w:val="Caption"/>
        <w:jc w:val="both"/>
      </w:pPr>
      <w:bookmarkStart w:id="599" w:name="_Ref469388529"/>
      <w:bookmarkStart w:id="600" w:name="_Toc469410591"/>
      <w:bookmarkStart w:id="601" w:name="_Toc469411184"/>
      <w:bookmarkStart w:id="602" w:name="_Toc469411502"/>
      <w:bookmarkStart w:id="603" w:name="_Toc469485010"/>
      <w:bookmarkStart w:id="604" w:name="_Toc479940961"/>
      <w:r w:rsidRPr="00F209B7">
        <w:t xml:space="preserve">Table </w:t>
      </w:r>
      <w:fldSimple w:instr=" SEQ Table \* ARABIC ">
        <w:r w:rsidR="005062E7">
          <w:rPr>
            <w:noProof/>
          </w:rPr>
          <w:t>4</w:t>
        </w:r>
      </w:fldSimple>
      <w:bookmarkEnd w:id="599"/>
      <w:r w:rsidR="00D81F08">
        <w:rPr>
          <w:noProof/>
        </w:rPr>
        <w:t>.</w:t>
      </w:r>
      <w:r w:rsidRPr="00F209B7">
        <w:t xml:space="preserve"> The logic of the Companies Act </w:t>
      </w:r>
      <w:bookmarkEnd w:id="600"/>
      <w:bookmarkEnd w:id="601"/>
      <w:bookmarkEnd w:id="602"/>
      <w:bookmarkEnd w:id="603"/>
      <w:r w:rsidRPr="00F209B7">
        <w:t>and the Co-operatives Act</w:t>
      </w:r>
      <w:bookmarkEnd w:id="604"/>
    </w:p>
    <w:tbl>
      <w:tblPr>
        <w:tblStyle w:val="TableGrid"/>
        <w:tblW w:w="5000" w:type="pct"/>
        <w:tblLook w:val="04A0" w:firstRow="1" w:lastRow="0" w:firstColumn="1" w:lastColumn="0" w:noHBand="0" w:noVBand="1"/>
      </w:tblPr>
      <w:tblGrid>
        <w:gridCol w:w="1954"/>
        <w:gridCol w:w="1983"/>
        <w:gridCol w:w="2691"/>
        <w:gridCol w:w="2614"/>
      </w:tblGrid>
      <w:tr w:rsidR="00935EED" w:rsidRPr="00F209B7" w14:paraId="4DBB82F6" w14:textId="77777777" w:rsidTr="00E544E8">
        <w:trPr>
          <w:tblHeader/>
        </w:trPr>
        <w:tc>
          <w:tcPr>
            <w:tcW w:w="1057" w:type="pct"/>
          </w:tcPr>
          <w:p w14:paraId="242CAA60" w14:textId="77777777" w:rsidR="00935EED" w:rsidRPr="00F209B7" w:rsidRDefault="00935EED" w:rsidP="00D66738">
            <w:pPr>
              <w:pStyle w:val="charts"/>
              <w:jc w:val="both"/>
              <w:rPr>
                <w:b/>
                <w:sz w:val="20"/>
              </w:rPr>
            </w:pPr>
            <w:r w:rsidRPr="00F209B7">
              <w:rPr>
                <w:b/>
                <w:sz w:val="20"/>
              </w:rPr>
              <w:t>The socio-economic problem</w:t>
            </w:r>
          </w:p>
        </w:tc>
        <w:tc>
          <w:tcPr>
            <w:tcW w:w="1073" w:type="pct"/>
          </w:tcPr>
          <w:p w14:paraId="6090E34A" w14:textId="77777777" w:rsidR="00935EED" w:rsidRPr="00F209B7" w:rsidRDefault="00935EED" w:rsidP="00D66738">
            <w:pPr>
              <w:pStyle w:val="charts"/>
              <w:jc w:val="both"/>
              <w:rPr>
                <w:b/>
                <w:sz w:val="20"/>
              </w:rPr>
            </w:pPr>
            <w:r w:rsidRPr="00F209B7">
              <w:rPr>
                <w:b/>
                <w:sz w:val="20"/>
              </w:rPr>
              <w:t xml:space="preserve">Who benefits from the </w:t>
            </w:r>
            <w:r w:rsidR="00B0777C" w:rsidRPr="00F209B7">
              <w:rPr>
                <w:b/>
                <w:sz w:val="20"/>
              </w:rPr>
              <w:t>problem</w:t>
            </w:r>
            <w:r w:rsidRPr="00F209B7">
              <w:rPr>
                <w:b/>
                <w:sz w:val="20"/>
              </w:rPr>
              <w:t>?</w:t>
            </w:r>
          </w:p>
        </w:tc>
        <w:tc>
          <w:tcPr>
            <w:tcW w:w="1456" w:type="pct"/>
          </w:tcPr>
          <w:p w14:paraId="316C737D" w14:textId="77777777" w:rsidR="00935EED" w:rsidRPr="00F209B7" w:rsidRDefault="00935EED" w:rsidP="00D66738">
            <w:pPr>
              <w:pStyle w:val="charts"/>
              <w:jc w:val="both"/>
              <w:rPr>
                <w:b/>
                <w:sz w:val="20"/>
              </w:rPr>
            </w:pPr>
            <w:r w:rsidRPr="00F209B7">
              <w:rPr>
                <w:b/>
                <w:sz w:val="20"/>
              </w:rPr>
              <w:t xml:space="preserve">Who loses from the </w:t>
            </w:r>
            <w:r w:rsidR="00B0777C" w:rsidRPr="00F209B7">
              <w:rPr>
                <w:b/>
                <w:sz w:val="20"/>
              </w:rPr>
              <w:t>problem</w:t>
            </w:r>
            <w:r w:rsidRPr="00F209B7">
              <w:rPr>
                <w:b/>
                <w:sz w:val="20"/>
              </w:rPr>
              <w:t>?</w:t>
            </w:r>
          </w:p>
        </w:tc>
        <w:tc>
          <w:tcPr>
            <w:tcW w:w="1414" w:type="pct"/>
          </w:tcPr>
          <w:p w14:paraId="28974194" w14:textId="77777777" w:rsidR="00935EED" w:rsidRPr="00F209B7" w:rsidRDefault="00935EED" w:rsidP="00D66738">
            <w:pPr>
              <w:pStyle w:val="charts"/>
              <w:jc w:val="both"/>
              <w:rPr>
                <w:b/>
                <w:sz w:val="20"/>
              </w:rPr>
            </w:pPr>
            <w:r w:rsidRPr="00F209B7">
              <w:rPr>
                <w:b/>
                <w:sz w:val="20"/>
              </w:rPr>
              <w:t>Measures to address the problem</w:t>
            </w:r>
          </w:p>
        </w:tc>
      </w:tr>
      <w:tr w:rsidR="00935EED" w:rsidRPr="00F209B7" w14:paraId="62060607" w14:textId="77777777" w:rsidTr="00134374">
        <w:tc>
          <w:tcPr>
            <w:tcW w:w="1057" w:type="pct"/>
          </w:tcPr>
          <w:p w14:paraId="2D9BFA0D" w14:textId="77777777" w:rsidR="00935EED" w:rsidRPr="00F209B7" w:rsidRDefault="00935EED" w:rsidP="00D66738">
            <w:pPr>
              <w:pStyle w:val="charts"/>
              <w:jc w:val="both"/>
              <w:rPr>
                <w:sz w:val="20"/>
              </w:rPr>
            </w:pPr>
            <w:r w:rsidRPr="00F209B7">
              <w:rPr>
                <w:sz w:val="20"/>
              </w:rPr>
              <w:t xml:space="preserve">If enterprises do not have clear legal status, they cannot enter into legal agreements including for credit. </w:t>
            </w:r>
          </w:p>
        </w:tc>
        <w:tc>
          <w:tcPr>
            <w:tcW w:w="1073" w:type="pct"/>
          </w:tcPr>
          <w:p w14:paraId="53D480AA" w14:textId="77777777" w:rsidR="00935EED" w:rsidRPr="00F209B7" w:rsidRDefault="00935EED" w:rsidP="00D66738">
            <w:pPr>
              <w:pStyle w:val="charts"/>
              <w:jc w:val="both"/>
              <w:rPr>
                <w:sz w:val="20"/>
              </w:rPr>
            </w:pPr>
            <w:r w:rsidRPr="00F209B7">
              <w:rPr>
                <w:sz w:val="20"/>
              </w:rPr>
              <w:t>Producers who do not need legal status to operate, for instance informal enterprise and sole proprietors.</w:t>
            </w:r>
          </w:p>
        </w:tc>
        <w:tc>
          <w:tcPr>
            <w:tcW w:w="1456" w:type="pct"/>
          </w:tcPr>
          <w:p w14:paraId="1A58DF97" w14:textId="77777777" w:rsidR="00935EED" w:rsidRPr="00F209B7" w:rsidRDefault="00935EED" w:rsidP="00D66738">
            <w:pPr>
              <w:pStyle w:val="charts"/>
              <w:jc w:val="both"/>
              <w:rPr>
                <w:sz w:val="20"/>
              </w:rPr>
            </w:pPr>
            <w:r w:rsidRPr="00F209B7">
              <w:rPr>
                <w:sz w:val="20"/>
              </w:rPr>
              <w:t>Enterprises and their partners who cannot use legal dispute settlement systems</w:t>
            </w:r>
          </w:p>
          <w:p w14:paraId="5E86518F" w14:textId="77777777" w:rsidR="00935EED" w:rsidRPr="00F209B7" w:rsidRDefault="00935EED" w:rsidP="00D66738">
            <w:pPr>
              <w:pStyle w:val="charts"/>
              <w:jc w:val="both"/>
              <w:rPr>
                <w:sz w:val="20"/>
              </w:rPr>
            </w:pPr>
            <w:r w:rsidRPr="00F209B7">
              <w:rPr>
                <w:sz w:val="20"/>
              </w:rPr>
              <w:t>Economy as a whole, as enterprises unable to grow beyond a certain point</w:t>
            </w:r>
          </w:p>
        </w:tc>
        <w:tc>
          <w:tcPr>
            <w:tcW w:w="1414" w:type="pct"/>
          </w:tcPr>
          <w:p w14:paraId="61F3D382" w14:textId="77777777" w:rsidR="00935EED" w:rsidRPr="00F209B7" w:rsidRDefault="00935EED" w:rsidP="00D66738">
            <w:pPr>
              <w:pStyle w:val="charts"/>
              <w:jc w:val="both"/>
              <w:rPr>
                <w:sz w:val="20"/>
              </w:rPr>
            </w:pPr>
            <w:r w:rsidRPr="00F209B7">
              <w:rPr>
                <w:sz w:val="20"/>
              </w:rPr>
              <w:t>Enable registration according to broad models with well-defined liability and contact details</w:t>
            </w:r>
          </w:p>
        </w:tc>
      </w:tr>
      <w:tr w:rsidR="00935EED" w:rsidRPr="00F209B7" w14:paraId="43B18F4D" w14:textId="77777777" w:rsidTr="00134374">
        <w:tc>
          <w:tcPr>
            <w:tcW w:w="1057" w:type="pct"/>
          </w:tcPr>
          <w:p w14:paraId="1C2238A6" w14:textId="77777777" w:rsidR="00935EED" w:rsidRPr="00F209B7" w:rsidRDefault="00935EED" w:rsidP="00D66738">
            <w:pPr>
              <w:pStyle w:val="charts"/>
              <w:keepNext w:val="0"/>
              <w:jc w:val="both"/>
              <w:rPr>
                <w:sz w:val="20"/>
              </w:rPr>
            </w:pPr>
            <w:r w:rsidRPr="00F209B7">
              <w:rPr>
                <w:sz w:val="20"/>
              </w:rPr>
              <w:t xml:space="preserve">If ownership of shared or intangible assets is poorly defined, fraud and theft becomes possible </w:t>
            </w:r>
          </w:p>
        </w:tc>
        <w:tc>
          <w:tcPr>
            <w:tcW w:w="1073" w:type="pct"/>
          </w:tcPr>
          <w:p w14:paraId="67E406AD" w14:textId="77777777" w:rsidR="00935EED" w:rsidRPr="00F209B7" w:rsidRDefault="00935EED" w:rsidP="00D66738">
            <w:pPr>
              <w:pStyle w:val="charts"/>
              <w:keepNext w:val="0"/>
              <w:jc w:val="both"/>
              <w:rPr>
                <w:sz w:val="20"/>
              </w:rPr>
            </w:pPr>
            <w:r w:rsidRPr="00F209B7">
              <w:rPr>
                <w:sz w:val="20"/>
              </w:rPr>
              <w:t>Fraudsters and wheeler-dealers</w:t>
            </w:r>
          </w:p>
        </w:tc>
        <w:tc>
          <w:tcPr>
            <w:tcW w:w="1456" w:type="pct"/>
          </w:tcPr>
          <w:p w14:paraId="31E11AE7" w14:textId="77777777" w:rsidR="00935EED" w:rsidRPr="00F209B7" w:rsidRDefault="00935EED" w:rsidP="00D66738">
            <w:pPr>
              <w:pStyle w:val="charts"/>
              <w:keepNext w:val="0"/>
              <w:jc w:val="both"/>
              <w:rPr>
                <w:sz w:val="20"/>
              </w:rPr>
            </w:pPr>
            <w:r w:rsidRPr="00F209B7">
              <w:rPr>
                <w:sz w:val="20"/>
              </w:rPr>
              <w:t>Investors who may lose access to their holdings</w:t>
            </w:r>
          </w:p>
        </w:tc>
        <w:tc>
          <w:tcPr>
            <w:tcW w:w="1414" w:type="pct"/>
          </w:tcPr>
          <w:p w14:paraId="23D1D3A8" w14:textId="77777777" w:rsidR="00935EED" w:rsidRPr="00F209B7" w:rsidRDefault="00935EED" w:rsidP="00D66738">
            <w:pPr>
              <w:pStyle w:val="charts"/>
              <w:keepNext w:val="0"/>
              <w:jc w:val="both"/>
              <w:rPr>
                <w:sz w:val="20"/>
              </w:rPr>
            </w:pPr>
            <w:r w:rsidRPr="00F209B7">
              <w:rPr>
                <w:sz w:val="20"/>
              </w:rPr>
              <w:t>Registration defines who is responsible for property rights in the enterprise, with identification check</w:t>
            </w:r>
          </w:p>
        </w:tc>
      </w:tr>
      <w:tr w:rsidR="00935EED" w:rsidRPr="00F209B7" w14:paraId="6E210EB3" w14:textId="77777777" w:rsidTr="00134374">
        <w:tc>
          <w:tcPr>
            <w:tcW w:w="1057" w:type="pct"/>
          </w:tcPr>
          <w:p w14:paraId="0DD34A74" w14:textId="77777777" w:rsidR="00935EED" w:rsidRPr="00F209B7" w:rsidRDefault="00935EED" w:rsidP="00D66738">
            <w:pPr>
              <w:pStyle w:val="charts"/>
              <w:keepNext w:val="0"/>
              <w:jc w:val="both"/>
              <w:rPr>
                <w:sz w:val="20"/>
              </w:rPr>
            </w:pPr>
            <w:r w:rsidRPr="00F209B7">
              <w:rPr>
                <w:sz w:val="20"/>
              </w:rPr>
              <w:t xml:space="preserve">Enterprises may not reveal important information to investors, employees or customers </w:t>
            </w:r>
          </w:p>
        </w:tc>
        <w:tc>
          <w:tcPr>
            <w:tcW w:w="1073" w:type="pct"/>
          </w:tcPr>
          <w:p w14:paraId="7DDBF092" w14:textId="77777777" w:rsidR="00935EED" w:rsidRPr="00F209B7" w:rsidRDefault="00935EED" w:rsidP="00D66738">
            <w:pPr>
              <w:pStyle w:val="charts"/>
              <w:keepNext w:val="0"/>
              <w:jc w:val="both"/>
              <w:rPr>
                <w:sz w:val="20"/>
              </w:rPr>
            </w:pPr>
            <w:r w:rsidRPr="00F209B7">
              <w:rPr>
                <w:sz w:val="20"/>
              </w:rPr>
              <w:t>Management and sometimes investors</w:t>
            </w:r>
          </w:p>
        </w:tc>
        <w:tc>
          <w:tcPr>
            <w:tcW w:w="1456" w:type="pct"/>
          </w:tcPr>
          <w:p w14:paraId="79A90639" w14:textId="77777777" w:rsidR="00935EED" w:rsidRPr="00F209B7" w:rsidRDefault="00935EED" w:rsidP="00D66738">
            <w:pPr>
              <w:pStyle w:val="charts"/>
              <w:keepNext w:val="0"/>
              <w:jc w:val="both"/>
              <w:rPr>
                <w:sz w:val="20"/>
              </w:rPr>
            </w:pPr>
            <w:r w:rsidRPr="00F209B7">
              <w:rPr>
                <w:sz w:val="20"/>
              </w:rPr>
              <w:t>Stakeholders that make wrong decisions or suffer in other ways because of lack of information</w:t>
            </w:r>
          </w:p>
        </w:tc>
        <w:tc>
          <w:tcPr>
            <w:tcW w:w="1414" w:type="pct"/>
          </w:tcPr>
          <w:p w14:paraId="6460BC34" w14:textId="77777777" w:rsidR="00935EED" w:rsidRPr="00F209B7" w:rsidRDefault="00935EED" w:rsidP="00D66738">
            <w:pPr>
              <w:pStyle w:val="charts"/>
              <w:keepNext w:val="0"/>
              <w:jc w:val="both"/>
              <w:rPr>
                <w:sz w:val="20"/>
              </w:rPr>
            </w:pPr>
            <w:r w:rsidRPr="00F209B7">
              <w:rPr>
                <w:sz w:val="20"/>
              </w:rPr>
              <w:t>Registration leads to requirements around governance, especially reporting on ownership and accounts</w:t>
            </w:r>
          </w:p>
        </w:tc>
      </w:tr>
      <w:tr w:rsidR="00935EED" w:rsidRPr="00F209B7" w14:paraId="23776708" w14:textId="77777777" w:rsidTr="00134374">
        <w:tc>
          <w:tcPr>
            <w:tcW w:w="1057" w:type="pct"/>
          </w:tcPr>
          <w:p w14:paraId="053DD3E1" w14:textId="77777777" w:rsidR="00935EED" w:rsidRPr="00F209B7" w:rsidRDefault="00935EED" w:rsidP="00D66738">
            <w:pPr>
              <w:pStyle w:val="charts"/>
              <w:keepNext w:val="0"/>
              <w:jc w:val="both"/>
              <w:rPr>
                <w:sz w:val="20"/>
              </w:rPr>
            </w:pPr>
            <w:r w:rsidRPr="00F209B7">
              <w:rPr>
                <w:sz w:val="20"/>
              </w:rPr>
              <w:t>The state aims to support co-ops as a way to promote economic opportunities for the poor and promote social solidarity, but it cannot easily identify genuine co-ops</w:t>
            </w:r>
          </w:p>
        </w:tc>
        <w:tc>
          <w:tcPr>
            <w:tcW w:w="1073" w:type="pct"/>
          </w:tcPr>
          <w:p w14:paraId="2FF6131D" w14:textId="77777777" w:rsidR="00935EED" w:rsidRPr="00F209B7" w:rsidRDefault="00935EED" w:rsidP="00D66738">
            <w:pPr>
              <w:pStyle w:val="charts"/>
              <w:keepNext w:val="0"/>
              <w:jc w:val="both"/>
              <w:rPr>
                <w:sz w:val="20"/>
              </w:rPr>
            </w:pPr>
            <w:r w:rsidRPr="00F209B7">
              <w:rPr>
                <w:sz w:val="20"/>
              </w:rPr>
              <w:t>Enterprises that aim fraudulently to benefit from calling themselves co-ops</w:t>
            </w:r>
          </w:p>
          <w:p w14:paraId="0E48181B" w14:textId="77777777" w:rsidR="00935EED" w:rsidRPr="00F209B7" w:rsidRDefault="00935EED" w:rsidP="00D66738">
            <w:pPr>
              <w:pStyle w:val="charts"/>
              <w:keepNext w:val="0"/>
              <w:jc w:val="both"/>
              <w:rPr>
                <w:sz w:val="20"/>
              </w:rPr>
            </w:pPr>
            <w:r w:rsidRPr="00F209B7">
              <w:rPr>
                <w:sz w:val="20"/>
              </w:rPr>
              <w:t>Co-ops that do not require or want state assistances</w:t>
            </w:r>
          </w:p>
        </w:tc>
        <w:tc>
          <w:tcPr>
            <w:tcW w:w="1456" w:type="pct"/>
          </w:tcPr>
          <w:p w14:paraId="7ED16BBE" w14:textId="77777777" w:rsidR="00935EED" w:rsidRPr="00F209B7" w:rsidRDefault="00935EED" w:rsidP="00D66738">
            <w:pPr>
              <w:pStyle w:val="charts"/>
              <w:keepNext w:val="0"/>
              <w:jc w:val="both"/>
              <w:rPr>
                <w:sz w:val="20"/>
              </w:rPr>
            </w:pPr>
            <w:r w:rsidRPr="00F209B7">
              <w:rPr>
                <w:sz w:val="20"/>
              </w:rPr>
              <w:t>Co-ops that could benefit from state assistance but cannot easily prove they meet key criteria (especially in terms of co-op governance structures and integrity)</w:t>
            </w:r>
          </w:p>
        </w:tc>
        <w:tc>
          <w:tcPr>
            <w:tcW w:w="1414" w:type="pct"/>
          </w:tcPr>
          <w:p w14:paraId="431F511C" w14:textId="77777777" w:rsidR="00935EED" w:rsidRPr="00F209B7" w:rsidRDefault="00935EED" w:rsidP="00D66738">
            <w:pPr>
              <w:pStyle w:val="charts"/>
              <w:keepNext w:val="0"/>
              <w:jc w:val="both"/>
              <w:rPr>
                <w:sz w:val="20"/>
              </w:rPr>
            </w:pPr>
            <w:r w:rsidRPr="00F209B7">
              <w:rPr>
                <w:sz w:val="20"/>
              </w:rPr>
              <w:t>Require co-ops to register with a democratic constitution and proof of sound financial accounting</w:t>
            </w:r>
          </w:p>
        </w:tc>
      </w:tr>
    </w:tbl>
    <w:p w14:paraId="36B858CD" w14:textId="77777777" w:rsidR="00E41438" w:rsidRPr="00F209B7" w:rsidRDefault="00E41438" w:rsidP="00D66738">
      <w:pPr>
        <w:spacing w:after="160"/>
        <w:jc w:val="both"/>
        <w:rPr>
          <w:rFonts w:ascii="Calibri" w:eastAsia="Calibri" w:hAnsi="Calibri" w:cs="Times New Roman"/>
          <w:szCs w:val="24"/>
        </w:rPr>
      </w:pPr>
      <w:r w:rsidRPr="00F209B7">
        <w:rPr>
          <w:rFonts w:ascii="Calibri" w:eastAsia="Calibri" w:hAnsi="Calibri" w:cs="Times New Roman"/>
          <w:szCs w:val="24"/>
        </w:rPr>
        <w:t xml:space="preserve">The implicit theory of change behind legal registration is that formal registration encourages entrepreneurship by providing a legal status to </w:t>
      </w:r>
      <w:r w:rsidR="00935EED" w:rsidRPr="00F209B7">
        <w:rPr>
          <w:rFonts w:ascii="Calibri" w:eastAsia="Calibri" w:hAnsi="Calibri" w:cs="Times New Roman"/>
          <w:szCs w:val="24"/>
        </w:rPr>
        <w:t>producer</w:t>
      </w:r>
      <w:r w:rsidRPr="00F209B7">
        <w:rPr>
          <w:rFonts w:ascii="Calibri" w:eastAsia="Calibri" w:hAnsi="Calibri" w:cs="Times New Roman"/>
          <w:szCs w:val="24"/>
        </w:rPr>
        <w:t>s</w:t>
      </w:r>
      <w:r w:rsidR="00935EED" w:rsidRPr="00F209B7">
        <w:rPr>
          <w:rFonts w:ascii="Calibri" w:eastAsia="Calibri" w:hAnsi="Calibri" w:cs="Times New Roman"/>
          <w:szCs w:val="24"/>
        </w:rPr>
        <w:t xml:space="preserve"> and investors</w:t>
      </w:r>
      <w:r w:rsidRPr="00F209B7">
        <w:rPr>
          <w:rFonts w:ascii="Calibri" w:eastAsia="Calibri" w:hAnsi="Calibri" w:cs="Times New Roman"/>
          <w:szCs w:val="24"/>
        </w:rPr>
        <w:t>. This is derived from the principle that clearly defined property rights enable formal economic activity. The key steps to achieving this end state are:</w:t>
      </w:r>
    </w:p>
    <w:p w14:paraId="59338178" w14:textId="77777777" w:rsidR="00935EED" w:rsidRPr="00F209B7" w:rsidRDefault="00935EED" w:rsidP="00D66738">
      <w:pPr>
        <w:pStyle w:val="ListParagraph"/>
        <w:numPr>
          <w:ilvl w:val="0"/>
          <w:numId w:val="24"/>
        </w:numPr>
        <w:spacing w:after="160"/>
        <w:jc w:val="both"/>
        <w:rPr>
          <w:rFonts w:ascii="Calibri" w:eastAsia="Calibri" w:hAnsi="Calibri" w:cs="Times New Roman"/>
          <w:szCs w:val="24"/>
        </w:rPr>
      </w:pPr>
      <w:r w:rsidRPr="00F209B7">
        <w:rPr>
          <w:rFonts w:ascii="Calibri" w:eastAsia="Calibri" w:hAnsi="Calibri" w:cs="Times New Roman"/>
          <w:szCs w:val="24"/>
        </w:rPr>
        <w:t>Companies and co-ops obtain formal registration and maintain up-to-date information through their Annual Returns.</w:t>
      </w:r>
    </w:p>
    <w:p w14:paraId="27FABFFF" w14:textId="3030674E" w:rsidR="00935EED" w:rsidRPr="00F209B7" w:rsidRDefault="00292065" w:rsidP="00D66738">
      <w:pPr>
        <w:pStyle w:val="ListParagraph"/>
        <w:numPr>
          <w:ilvl w:val="0"/>
          <w:numId w:val="24"/>
        </w:numPr>
        <w:spacing w:after="160"/>
        <w:jc w:val="both"/>
        <w:rPr>
          <w:rFonts w:ascii="Calibri" w:eastAsia="Calibri" w:hAnsi="Calibri" w:cs="Times New Roman"/>
          <w:szCs w:val="24"/>
        </w:rPr>
      </w:pPr>
      <w:r>
        <w:rPr>
          <w:rFonts w:ascii="Calibri" w:eastAsia="Calibri" w:hAnsi="Calibri" w:cs="Times New Roman"/>
          <w:szCs w:val="24"/>
        </w:rPr>
        <w:t>Based on these inputs, t</w:t>
      </w:r>
      <w:r w:rsidR="00935EED" w:rsidRPr="00F209B7">
        <w:rPr>
          <w:rFonts w:ascii="Calibri" w:eastAsia="Calibri" w:hAnsi="Calibri" w:cs="Times New Roman"/>
          <w:szCs w:val="24"/>
        </w:rPr>
        <w:t xml:space="preserve">he CIPC maintains a reliable database of information on enterprises, which identifies </w:t>
      </w:r>
      <w:r w:rsidR="00FA6FEC" w:rsidRPr="00F209B7">
        <w:rPr>
          <w:rFonts w:ascii="Calibri" w:eastAsia="Calibri" w:hAnsi="Calibri" w:cs="Times New Roman"/>
          <w:szCs w:val="24"/>
        </w:rPr>
        <w:t xml:space="preserve">a unique name, </w:t>
      </w:r>
      <w:r w:rsidR="00935EED" w:rsidRPr="00F209B7">
        <w:rPr>
          <w:rFonts w:ascii="Calibri" w:eastAsia="Calibri" w:hAnsi="Calibri" w:cs="Times New Roman"/>
          <w:szCs w:val="24"/>
        </w:rPr>
        <w:t>ownership and contact details.</w:t>
      </w:r>
    </w:p>
    <w:p w14:paraId="59A46696" w14:textId="77777777" w:rsidR="00935EED" w:rsidRPr="00F209B7" w:rsidRDefault="00935EED" w:rsidP="00D66738">
      <w:pPr>
        <w:pStyle w:val="ListParagraph"/>
        <w:numPr>
          <w:ilvl w:val="0"/>
          <w:numId w:val="24"/>
        </w:numPr>
        <w:spacing w:after="160"/>
        <w:jc w:val="both"/>
        <w:rPr>
          <w:rFonts w:ascii="Calibri" w:eastAsia="Calibri" w:hAnsi="Calibri" w:cs="Times New Roman"/>
          <w:szCs w:val="24"/>
        </w:rPr>
      </w:pPr>
      <w:r w:rsidRPr="00F209B7">
        <w:rPr>
          <w:rFonts w:ascii="Calibri" w:eastAsia="Calibri" w:hAnsi="Calibri" w:cs="Times New Roman"/>
          <w:szCs w:val="24"/>
        </w:rPr>
        <w:t>Companies are able to engage in legal contracts and investors are safeguarded against fraud and theft by outsiders or managers.</w:t>
      </w:r>
    </w:p>
    <w:p w14:paraId="1300773D" w14:textId="77777777" w:rsidR="00E544E8" w:rsidRPr="00F209B7" w:rsidRDefault="00E544E8" w:rsidP="00D66738">
      <w:pPr>
        <w:pStyle w:val="ListParagraph"/>
        <w:numPr>
          <w:ilvl w:val="0"/>
          <w:numId w:val="24"/>
        </w:numPr>
        <w:spacing w:after="160"/>
        <w:jc w:val="both"/>
        <w:rPr>
          <w:rFonts w:ascii="Calibri" w:eastAsia="Calibri" w:hAnsi="Calibri" w:cs="Times New Roman"/>
          <w:szCs w:val="24"/>
        </w:rPr>
      </w:pPr>
      <w:r w:rsidRPr="00F209B7">
        <w:rPr>
          <w:rFonts w:ascii="Calibri" w:eastAsia="Calibri" w:hAnsi="Calibri" w:cs="Times New Roman"/>
          <w:szCs w:val="24"/>
        </w:rPr>
        <w:t xml:space="preserve">Companies gain access to new investors, opportunities and services, enabling growth and economic expansion. </w:t>
      </w:r>
    </w:p>
    <w:p w14:paraId="13EB2479" w14:textId="77777777" w:rsidR="00E41438" w:rsidRPr="00F209B7" w:rsidRDefault="00E544E8" w:rsidP="00D66738">
      <w:pPr>
        <w:spacing w:after="160"/>
        <w:jc w:val="both"/>
        <w:rPr>
          <w:rFonts w:ascii="Calibri" w:eastAsia="Calibri" w:hAnsi="Calibri" w:cs="Times New Roman"/>
          <w:szCs w:val="24"/>
        </w:rPr>
      </w:pPr>
      <w:r w:rsidRPr="00F209B7">
        <w:rPr>
          <w:rFonts w:ascii="Calibri" w:eastAsia="Calibri" w:hAnsi="Calibri" w:cs="Times New Roman"/>
          <w:szCs w:val="24"/>
        </w:rPr>
        <w:t xml:space="preserve">The theory of change suggests that most businesses, especially those with substantial </w:t>
      </w:r>
      <w:r w:rsidR="00F209B7" w:rsidRPr="00F209B7">
        <w:rPr>
          <w:rFonts w:ascii="Calibri" w:eastAsia="Calibri" w:hAnsi="Calibri" w:cs="Times New Roman"/>
          <w:szCs w:val="24"/>
        </w:rPr>
        <w:t>outside</w:t>
      </w:r>
      <w:r w:rsidRPr="00F209B7">
        <w:rPr>
          <w:rFonts w:ascii="Calibri" w:eastAsia="Calibri" w:hAnsi="Calibri" w:cs="Times New Roman"/>
          <w:szCs w:val="24"/>
        </w:rPr>
        <w:t xml:space="preserve"> </w:t>
      </w:r>
      <w:r w:rsidR="00F209B7" w:rsidRPr="00F209B7">
        <w:rPr>
          <w:rFonts w:ascii="Calibri" w:eastAsia="Calibri" w:hAnsi="Calibri" w:cs="Times New Roman"/>
          <w:szCs w:val="24"/>
        </w:rPr>
        <w:t>investors</w:t>
      </w:r>
      <w:r w:rsidRPr="00F209B7">
        <w:rPr>
          <w:rFonts w:ascii="Calibri" w:eastAsia="Calibri" w:hAnsi="Calibri" w:cs="Times New Roman"/>
          <w:szCs w:val="24"/>
        </w:rPr>
        <w:t xml:space="preserve">, have a built-in </w:t>
      </w:r>
      <w:r w:rsidR="00E41438" w:rsidRPr="00F209B7">
        <w:rPr>
          <w:rFonts w:ascii="Calibri" w:eastAsia="Calibri" w:hAnsi="Calibri" w:cs="Times New Roman"/>
          <w:szCs w:val="24"/>
        </w:rPr>
        <w:t>incentive to</w:t>
      </w:r>
      <w:r w:rsidRPr="00F209B7">
        <w:rPr>
          <w:rFonts w:ascii="Calibri" w:eastAsia="Calibri" w:hAnsi="Calibri" w:cs="Times New Roman"/>
          <w:szCs w:val="24"/>
        </w:rPr>
        <w:t xml:space="preserve"> register</w:t>
      </w:r>
      <w:r w:rsidR="00E41438" w:rsidRPr="00F209B7">
        <w:rPr>
          <w:rFonts w:ascii="Calibri" w:eastAsia="Calibri" w:hAnsi="Calibri" w:cs="Times New Roman"/>
          <w:szCs w:val="24"/>
        </w:rPr>
        <w:t xml:space="preserve">. However, </w:t>
      </w:r>
      <w:r w:rsidR="001723D3" w:rsidRPr="00F209B7">
        <w:rPr>
          <w:rFonts w:ascii="Calibri" w:eastAsia="Calibri" w:hAnsi="Calibri" w:cs="Times New Roman"/>
          <w:szCs w:val="24"/>
        </w:rPr>
        <w:t>as detailed below</w:t>
      </w:r>
      <w:r w:rsidRPr="00F209B7">
        <w:rPr>
          <w:rFonts w:ascii="Calibri" w:eastAsia="Calibri" w:hAnsi="Calibri" w:cs="Times New Roman"/>
          <w:szCs w:val="24"/>
        </w:rPr>
        <w:t>, the law also imposes penalties for companies that engage in fraudulent registrations or do not comply with reporting requirements.</w:t>
      </w:r>
    </w:p>
    <w:p w14:paraId="3EE2EA1C" w14:textId="77777777" w:rsidR="00E41438" w:rsidRPr="00F209B7" w:rsidRDefault="00E41438" w:rsidP="00D66738">
      <w:pPr>
        <w:spacing w:after="160"/>
        <w:jc w:val="both"/>
        <w:rPr>
          <w:rFonts w:ascii="Calibri" w:eastAsia="Calibri" w:hAnsi="Calibri" w:cs="Times New Roman"/>
          <w:szCs w:val="24"/>
        </w:rPr>
      </w:pPr>
      <w:r w:rsidRPr="00F209B7">
        <w:rPr>
          <w:rFonts w:ascii="Calibri" w:eastAsia="Calibri" w:hAnsi="Calibri" w:cs="Times New Roman"/>
          <w:szCs w:val="24"/>
        </w:rPr>
        <w:lastRenderedPageBreak/>
        <w:t xml:space="preserve">The implicit assumptions underpinning the theory of change are that: </w:t>
      </w:r>
    </w:p>
    <w:p w14:paraId="223BF7D6" w14:textId="77777777" w:rsidR="00E41438" w:rsidRPr="00F209B7" w:rsidRDefault="00E41438" w:rsidP="00D66738">
      <w:pPr>
        <w:pStyle w:val="ListParagraph"/>
        <w:numPr>
          <w:ilvl w:val="0"/>
          <w:numId w:val="25"/>
        </w:numPr>
        <w:spacing w:after="160"/>
        <w:jc w:val="both"/>
        <w:rPr>
          <w:rFonts w:ascii="Calibri" w:eastAsia="Calibri" w:hAnsi="Calibri" w:cs="Times New Roman"/>
          <w:szCs w:val="24"/>
        </w:rPr>
      </w:pPr>
      <w:r w:rsidRPr="00F209B7">
        <w:rPr>
          <w:rFonts w:ascii="Calibri" w:eastAsia="Calibri" w:hAnsi="Calibri" w:cs="Times New Roman"/>
          <w:szCs w:val="24"/>
        </w:rPr>
        <w:t>The legal status provided by registration provides real benefits for entrepreneurs by securing their ownership and enabling them to take advantage of more economic opportunities, and</w:t>
      </w:r>
    </w:p>
    <w:p w14:paraId="719F810A" w14:textId="77777777" w:rsidR="00E41438" w:rsidRPr="00F209B7" w:rsidRDefault="00E41438" w:rsidP="00D66738">
      <w:pPr>
        <w:pStyle w:val="ListParagraph"/>
        <w:numPr>
          <w:ilvl w:val="0"/>
          <w:numId w:val="25"/>
        </w:numPr>
        <w:spacing w:after="160"/>
        <w:jc w:val="both"/>
        <w:rPr>
          <w:rFonts w:ascii="Calibri" w:eastAsia="Calibri" w:hAnsi="Calibri" w:cs="Times New Roman"/>
          <w:szCs w:val="24"/>
        </w:rPr>
      </w:pPr>
      <w:r w:rsidRPr="00F209B7">
        <w:rPr>
          <w:rFonts w:ascii="Calibri" w:eastAsia="Calibri" w:hAnsi="Calibri" w:cs="Times New Roman"/>
          <w:szCs w:val="24"/>
        </w:rPr>
        <w:t>The costs of registration and maintaining records do not outweigh the benefits because they are administratively straightforward.</w:t>
      </w:r>
    </w:p>
    <w:p w14:paraId="0F265499" w14:textId="77777777" w:rsidR="00E41438" w:rsidRPr="00292065" w:rsidRDefault="008A3930" w:rsidP="00D66738">
      <w:pPr>
        <w:pStyle w:val="Heading3"/>
        <w:numPr>
          <w:ilvl w:val="2"/>
          <w:numId w:val="130"/>
        </w:numPr>
        <w:ind w:left="0" w:firstLine="0"/>
        <w:jc w:val="both"/>
      </w:pPr>
      <w:bookmarkStart w:id="605" w:name="_Toc479843915"/>
      <w:bookmarkStart w:id="606" w:name="_Toc479844539"/>
      <w:bookmarkStart w:id="607" w:name="_Toc479940866"/>
      <w:r w:rsidRPr="00292065">
        <w:t>The costs of registration and reporting</w:t>
      </w:r>
      <w:bookmarkEnd w:id="605"/>
      <w:bookmarkEnd w:id="606"/>
      <w:bookmarkEnd w:id="607"/>
    </w:p>
    <w:p w14:paraId="4C881DB7" w14:textId="77777777" w:rsidR="001177AB" w:rsidRPr="00F209B7" w:rsidRDefault="00167650" w:rsidP="00D66738">
      <w:pPr>
        <w:pStyle w:val="Heading4"/>
        <w:numPr>
          <w:ilvl w:val="3"/>
          <w:numId w:val="131"/>
        </w:numPr>
        <w:jc w:val="both"/>
      </w:pPr>
      <w:r w:rsidRPr="00F209B7">
        <w:t>Com</w:t>
      </w:r>
      <w:r w:rsidR="00D440B0" w:rsidRPr="00F209B7">
        <w:t>p</w:t>
      </w:r>
      <w:r w:rsidR="001177AB" w:rsidRPr="00F209B7">
        <w:t>any registration</w:t>
      </w:r>
    </w:p>
    <w:p w14:paraId="1CE8CECC" w14:textId="77777777" w:rsidR="00E41438" w:rsidRPr="00F209B7" w:rsidRDefault="00E41438" w:rsidP="00D66738">
      <w:pPr>
        <w:contextualSpacing/>
        <w:jc w:val="both"/>
        <w:rPr>
          <w:rFonts w:ascii="Calibri" w:eastAsia="Calibri" w:hAnsi="Calibri" w:cs="Times New Roman"/>
          <w:szCs w:val="24"/>
        </w:rPr>
      </w:pPr>
      <w:r w:rsidRPr="00F209B7">
        <w:rPr>
          <w:rFonts w:ascii="Calibri" w:eastAsia="Calibri" w:hAnsi="Calibri" w:cs="Times New Roman"/>
          <w:szCs w:val="24"/>
        </w:rPr>
        <w:t>Small enterprises typically register with the CIPC as co-operatives and private companies rather than as public companies.</w:t>
      </w:r>
      <w:r w:rsidRPr="00F209B7">
        <w:rPr>
          <w:rStyle w:val="FootnoteReference"/>
          <w:rFonts w:ascii="Calibri" w:eastAsia="Calibri" w:hAnsi="Calibri" w:cs="Times New Roman"/>
          <w:szCs w:val="24"/>
        </w:rPr>
        <w:footnoteReference w:id="9"/>
      </w:r>
      <w:r w:rsidRPr="00F209B7">
        <w:rPr>
          <w:rFonts w:ascii="Calibri" w:eastAsia="Calibri" w:hAnsi="Calibri" w:cs="Times New Roman"/>
          <w:szCs w:val="24"/>
        </w:rPr>
        <w:t xml:space="preserve"> Each type of enterprise has its own form of incorporation.</w:t>
      </w:r>
    </w:p>
    <w:p w14:paraId="2A522F5E" w14:textId="359BF496" w:rsidR="00E41438" w:rsidRPr="000468A4" w:rsidRDefault="00E41438" w:rsidP="00D66738">
      <w:pPr>
        <w:pStyle w:val="Caption"/>
        <w:jc w:val="both"/>
      </w:pPr>
      <w:bookmarkStart w:id="608" w:name="_Toc469410592"/>
      <w:bookmarkStart w:id="609" w:name="_Toc469411185"/>
      <w:bookmarkStart w:id="610" w:name="_Toc469411503"/>
      <w:bookmarkStart w:id="611" w:name="_Toc469485011"/>
      <w:bookmarkStart w:id="612" w:name="_Toc479940962"/>
      <w:r w:rsidRPr="000468A4">
        <w:t xml:space="preserve">Table </w:t>
      </w:r>
      <w:fldSimple w:instr=" SEQ Table \* ARABIC ">
        <w:r w:rsidR="005062E7">
          <w:rPr>
            <w:noProof/>
          </w:rPr>
          <w:t>5</w:t>
        </w:r>
      </w:fldSimple>
      <w:r w:rsidR="00292065">
        <w:rPr>
          <w:noProof/>
        </w:rPr>
        <w:t>.</w:t>
      </w:r>
      <w:r w:rsidRPr="000468A4">
        <w:t xml:space="preserve"> Company types and forms of incorporation</w:t>
      </w:r>
      <w:bookmarkEnd w:id="608"/>
      <w:bookmarkEnd w:id="609"/>
      <w:bookmarkEnd w:id="610"/>
      <w:bookmarkEnd w:id="611"/>
      <w:bookmarkEnd w:id="612"/>
    </w:p>
    <w:tbl>
      <w:tblPr>
        <w:tblStyle w:val="GridTable41"/>
        <w:tblW w:w="9493" w:type="dxa"/>
        <w:tblLook w:val="0600" w:firstRow="0" w:lastRow="0" w:firstColumn="0" w:lastColumn="0" w:noHBand="1" w:noVBand="1"/>
      </w:tblPr>
      <w:tblGrid>
        <w:gridCol w:w="1384"/>
        <w:gridCol w:w="3827"/>
        <w:gridCol w:w="4282"/>
      </w:tblGrid>
      <w:tr w:rsidR="00E41438" w:rsidRPr="00F209B7" w14:paraId="5A144793" w14:textId="77777777" w:rsidTr="005A5F8A">
        <w:trPr>
          <w:trHeight w:val="282"/>
        </w:trPr>
        <w:tc>
          <w:tcPr>
            <w:tcW w:w="1384" w:type="dxa"/>
          </w:tcPr>
          <w:p w14:paraId="2DEFF906" w14:textId="77777777" w:rsidR="00E41438" w:rsidRPr="00F209B7" w:rsidRDefault="001723D3" w:rsidP="00D66738">
            <w:pPr>
              <w:pStyle w:val="charts"/>
              <w:jc w:val="both"/>
              <w:rPr>
                <w:b/>
                <w:sz w:val="20"/>
              </w:rPr>
            </w:pPr>
            <w:r w:rsidRPr="00F209B7">
              <w:rPr>
                <w:b/>
                <w:sz w:val="20"/>
              </w:rPr>
              <w:t>Type</w:t>
            </w:r>
          </w:p>
        </w:tc>
        <w:tc>
          <w:tcPr>
            <w:tcW w:w="3827" w:type="dxa"/>
          </w:tcPr>
          <w:p w14:paraId="6A3126C8" w14:textId="77777777" w:rsidR="00E41438" w:rsidRPr="00F209B7" w:rsidRDefault="00E41438" w:rsidP="00D66738">
            <w:pPr>
              <w:pStyle w:val="charts"/>
              <w:jc w:val="both"/>
              <w:rPr>
                <w:b/>
                <w:sz w:val="20"/>
              </w:rPr>
            </w:pPr>
            <w:r w:rsidRPr="00F209B7">
              <w:rPr>
                <w:b/>
                <w:sz w:val="20"/>
              </w:rPr>
              <w:t>Definition</w:t>
            </w:r>
          </w:p>
        </w:tc>
        <w:tc>
          <w:tcPr>
            <w:tcW w:w="4282" w:type="dxa"/>
          </w:tcPr>
          <w:p w14:paraId="7AA9AB0F" w14:textId="77777777" w:rsidR="00E41438" w:rsidRPr="00F209B7" w:rsidRDefault="00E41438" w:rsidP="00D66738">
            <w:pPr>
              <w:pStyle w:val="charts"/>
              <w:jc w:val="both"/>
              <w:rPr>
                <w:b/>
                <w:sz w:val="20"/>
              </w:rPr>
            </w:pPr>
            <w:r w:rsidRPr="00F209B7">
              <w:rPr>
                <w:b/>
                <w:sz w:val="20"/>
              </w:rPr>
              <w:t>Form of incorporation</w:t>
            </w:r>
          </w:p>
        </w:tc>
      </w:tr>
      <w:tr w:rsidR="00E41438" w:rsidRPr="00F209B7" w14:paraId="3733F897" w14:textId="77777777" w:rsidTr="005A5F8A">
        <w:trPr>
          <w:trHeight w:val="785"/>
        </w:trPr>
        <w:tc>
          <w:tcPr>
            <w:tcW w:w="1384" w:type="dxa"/>
          </w:tcPr>
          <w:p w14:paraId="570AA63F" w14:textId="77777777" w:rsidR="00E41438" w:rsidRPr="00F209B7" w:rsidRDefault="00E41438" w:rsidP="00D66738">
            <w:pPr>
              <w:pStyle w:val="charts"/>
              <w:jc w:val="both"/>
              <w:rPr>
                <w:sz w:val="20"/>
              </w:rPr>
            </w:pPr>
            <w:r w:rsidRPr="00F209B7">
              <w:rPr>
                <w:sz w:val="20"/>
              </w:rPr>
              <w:t>Private Companies “Pty Ltd”</w:t>
            </w:r>
          </w:p>
        </w:tc>
        <w:tc>
          <w:tcPr>
            <w:tcW w:w="3827" w:type="dxa"/>
          </w:tcPr>
          <w:p w14:paraId="4E98A28A" w14:textId="77777777" w:rsidR="00E41438" w:rsidRPr="00F209B7" w:rsidRDefault="00E41438" w:rsidP="00D66738">
            <w:pPr>
              <w:pStyle w:val="charts"/>
              <w:jc w:val="both"/>
              <w:rPr>
                <w:sz w:val="20"/>
              </w:rPr>
            </w:pPr>
            <w:r w:rsidRPr="00F209B7">
              <w:rPr>
                <w:sz w:val="20"/>
              </w:rPr>
              <w:t>A private company trades for profit. It may not offer its shares to the public and the transferability of its securities is restricted.</w:t>
            </w:r>
          </w:p>
        </w:tc>
        <w:tc>
          <w:tcPr>
            <w:tcW w:w="4282" w:type="dxa"/>
          </w:tcPr>
          <w:p w14:paraId="50A0784D" w14:textId="77777777" w:rsidR="00E41438" w:rsidRPr="00F209B7" w:rsidRDefault="00E41438" w:rsidP="00D66738">
            <w:pPr>
              <w:pStyle w:val="charts"/>
              <w:jc w:val="both"/>
              <w:rPr>
                <w:sz w:val="20"/>
              </w:rPr>
            </w:pPr>
            <w:r w:rsidRPr="00F209B7">
              <w:rPr>
                <w:sz w:val="20"/>
              </w:rPr>
              <w:t>One or more persons may incorporate a profit company.</w:t>
            </w:r>
          </w:p>
        </w:tc>
      </w:tr>
      <w:tr w:rsidR="00E41438" w:rsidRPr="00F209B7" w14:paraId="611166B7" w14:textId="77777777" w:rsidTr="005A5F8A">
        <w:trPr>
          <w:trHeight w:val="557"/>
        </w:trPr>
        <w:tc>
          <w:tcPr>
            <w:tcW w:w="1384" w:type="dxa"/>
          </w:tcPr>
          <w:p w14:paraId="5FD491CB" w14:textId="77777777" w:rsidR="00E41438" w:rsidRPr="00F209B7" w:rsidRDefault="00E41438" w:rsidP="00D66738">
            <w:pPr>
              <w:pStyle w:val="charts"/>
              <w:jc w:val="both"/>
              <w:rPr>
                <w:sz w:val="20"/>
              </w:rPr>
            </w:pPr>
            <w:r w:rsidRPr="00F209B7">
              <w:rPr>
                <w:sz w:val="20"/>
              </w:rPr>
              <w:t>Co-operatives</w:t>
            </w:r>
          </w:p>
        </w:tc>
        <w:tc>
          <w:tcPr>
            <w:tcW w:w="3827" w:type="dxa"/>
          </w:tcPr>
          <w:p w14:paraId="78EA09E2" w14:textId="77777777" w:rsidR="00E41438" w:rsidRPr="00F209B7" w:rsidRDefault="00E41438" w:rsidP="00D66738">
            <w:pPr>
              <w:pStyle w:val="charts"/>
              <w:jc w:val="both"/>
              <w:rPr>
                <w:sz w:val="20"/>
              </w:rPr>
            </w:pPr>
            <w:r w:rsidRPr="00F209B7">
              <w:rPr>
                <w:sz w:val="20"/>
              </w:rPr>
              <w:t>A co-operative is an autonomous association of persons united voluntarily to meet their common economic, social, and cultural needs and aspirations through a jointly-owned and democratically-controlled enterprise.</w:t>
            </w:r>
          </w:p>
        </w:tc>
        <w:tc>
          <w:tcPr>
            <w:tcW w:w="4282" w:type="dxa"/>
          </w:tcPr>
          <w:p w14:paraId="458A2DF2" w14:textId="77777777" w:rsidR="00E41438" w:rsidRPr="00F209B7" w:rsidRDefault="001723D3" w:rsidP="00D66738">
            <w:pPr>
              <w:pStyle w:val="charts"/>
              <w:jc w:val="both"/>
              <w:rPr>
                <w:sz w:val="20"/>
              </w:rPr>
            </w:pPr>
            <w:r w:rsidRPr="00F209B7">
              <w:rPr>
                <w:sz w:val="20"/>
              </w:rPr>
              <w:t xml:space="preserve">A co-op </w:t>
            </w:r>
            <w:r w:rsidR="00E41438" w:rsidRPr="00F209B7">
              <w:rPr>
                <w:sz w:val="20"/>
              </w:rPr>
              <w:t>may be incorporated by a minimum of five persons in the case of a primary co</w:t>
            </w:r>
            <w:r w:rsidRPr="00F209B7">
              <w:rPr>
                <w:sz w:val="20"/>
              </w:rPr>
              <w:t>-op</w:t>
            </w:r>
            <w:r w:rsidR="00E41438" w:rsidRPr="00F209B7">
              <w:rPr>
                <w:sz w:val="20"/>
              </w:rPr>
              <w:t>; a minimum of two or more primary co-op</w:t>
            </w:r>
            <w:r w:rsidRPr="00F209B7">
              <w:rPr>
                <w:sz w:val="20"/>
              </w:rPr>
              <w:t>s</w:t>
            </w:r>
            <w:r w:rsidR="00E41438" w:rsidRPr="00F209B7">
              <w:rPr>
                <w:sz w:val="20"/>
              </w:rPr>
              <w:t xml:space="preserve"> in the case of a secondary co-op; or</w:t>
            </w:r>
            <w:r w:rsidR="00E41438" w:rsidRPr="00F209B7">
              <w:rPr>
                <w:i/>
                <w:iCs/>
                <w:sz w:val="20"/>
              </w:rPr>
              <w:t xml:space="preserve"> </w:t>
            </w:r>
            <w:r w:rsidR="00E41438" w:rsidRPr="00F209B7">
              <w:rPr>
                <w:sz w:val="20"/>
              </w:rPr>
              <w:t>a minimum of two or more secondary co-op</w:t>
            </w:r>
            <w:r w:rsidRPr="00F209B7">
              <w:rPr>
                <w:sz w:val="20"/>
              </w:rPr>
              <w:t>s</w:t>
            </w:r>
            <w:r w:rsidR="00E41438" w:rsidRPr="00F209B7">
              <w:rPr>
                <w:sz w:val="20"/>
              </w:rPr>
              <w:t xml:space="preserve"> in the case of a tertiary co-operative.</w:t>
            </w:r>
          </w:p>
        </w:tc>
      </w:tr>
    </w:tbl>
    <w:p w14:paraId="739E7775" w14:textId="79B7392B" w:rsidR="00E41438" w:rsidRPr="00F209B7" w:rsidRDefault="00E41438" w:rsidP="00D66738">
      <w:pPr>
        <w:pStyle w:val="source"/>
        <w:jc w:val="both"/>
      </w:pPr>
      <w:r w:rsidRPr="00F209B7">
        <w:rPr>
          <w:i/>
        </w:rPr>
        <w:t xml:space="preserve">Source: </w:t>
      </w:r>
      <w:r w:rsidRPr="00F209B7">
        <w:t>CIPC (2016)</w:t>
      </w:r>
      <w:r w:rsidR="001723D3" w:rsidRPr="00F209B7">
        <w:t>.</w:t>
      </w:r>
      <w:r w:rsidRPr="00F209B7">
        <w:t xml:space="preserve"> The Companies Act 2008 at a Glance</w:t>
      </w:r>
      <w:r w:rsidR="001723D3" w:rsidRPr="00F209B7">
        <w:t xml:space="preserve">. Pretoria. </w:t>
      </w:r>
    </w:p>
    <w:p w14:paraId="2159C2CF" w14:textId="77777777" w:rsidR="00E41438" w:rsidRPr="00F209B7" w:rsidRDefault="00E41438" w:rsidP="00D66738">
      <w:pPr>
        <w:jc w:val="both"/>
      </w:pPr>
      <w:r w:rsidRPr="00F209B7">
        <w:t xml:space="preserve">A standard company registration for a private company is </w:t>
      </w:r>
      <w:r w:rsidR="001723D3" w:rsidRPr="00F209B7">
        <w:t>derived from section 14 of the Companies Act. I</w:t>
      </w:r>
      <w:r w:rsidRPr="00F209B7">
        <w:t xml:space="preserve">t </w:t>
      </w:r>
      <w:r w:rsidR="001723D3" w:rsidRPr="00F209B7">
        <w:t>entails submission of the following documents</w:t>
      </w:r>
      <w:r w:rsidRPr="00F209B7">
        <w:t>:</w:t>
      </w:r>
    </w:p>
    <w:p w14:paraId="0B934A0E" w14:textId="77777777" w:rsidR="00E41438" w:rsidRPr="00F209B7" w:rsidRDefault="00E41438" w:rsidP="00D66738">
      <w:pPr>
        <w:pStyle w:val="ListParagraph"/>
        <w:numPr>
          <w:ilvl w:val="0"/>
          <w:numId w:val="26"/>
        </w:numPr>
        <w:jc w:val="both"/>
      </w:pPr>
      <w:r w:rsidRPr="00F209B7">
        <w:t>Memorandum of Incorporation (MOI)</w:t>
      </w:r>
    </w:p>
    <w:p w14:paraId="2C8CC02C" w14:textId="77777777" w:rsidR="00E41438" w:rsidRPr="00F209B7" w:rsidRDefault="00E41438" w:rsidP="00D66738">
      <w:pPr>
        <w:pStyle w:val="ListParagraph"/>
        <w:numPr>
          <w:ilvl w:val="0"/>
          <w:numId w:val="26"/>
        </w:numPr>
        <w:jc w:val="both"/>
      </w:pPr>
      <w:r w:rsidRPr="00F209B7">
        <w:t>Notice of Incorporation</w:t>
      </w:r>
    </w:p>
    <w:p w14:paraId="4910760D" w14:textId="72F2417F" w:rsidR="00E41438" w:rsidRPr="00F209B7" w:rsidRDefault="00E41438" w:rsidP="00D66738">
      <w:pPr>
        <w:pStyle w:val="ListParagraph"/>
        <w:numPr>
          <w:ilvl w:val="0"/>
          <w:numId w:val="26"/>
        </w:numPr>
        <w:jc w:val="both"/>
      </w:pPr>
      <w:r w:rsidRPr="00F209B7">
        <w:t>Supporting d</w:t>
      </w:r>
      <w:r w:rsidR="001723D3" w:rsidRPr="00F209B7">
        <w:t xml:space="preserve">ocuments, </w:t>
      </w:r>
      <w:r w:rsidRPr="00F209B7">
        <w:t xml:space="preserve">including </w:t>
      </w:r>
      <w:r w:rsidR="00292065">
        <w:t>c</w:t>
      </w:r>
      <w:r w:rsidRPr="00F209B7">
        <w:t>ertified copies of identification for all indicated initi</w:t>
      </w:r>
      <w:r w:rsidR="00292065">
        <w:t xml:space="preserve">al directors and incorporators; a power of attorney; </w:t>
      </w:r>
      <w:r w:rsidRPr="00F209B7">
        <w:t xml:space="preserve">and </w:t>
      </w:r>
      <w:r w:rsidR="00292065">
        <w:t>a</w:t>
      </w:r>
      <w:r w:rsidR="00FA6FEC" w:rsidRPr="00F209B7">
        <w:t xml:space="preserve"> </w:t>
      </w:r>
      <w:r w:rsidRPr="00F209B7">
        <w:t>valid name reservation document, if</w:t>
      </w:r>
      <w:r w:rsidR="00FA6FEC" w:rsidRPr="00F209B7">
        <w:t xml:space="preserve"> desired</w:t>
      </w:r>
      <w:r w:rsidRPr="00F209B7">
        <w:t>.</w:t>
      </w:r>
    </w:p>
    <w:p w14:paraId="178D9B34" w14:textId="58A08571" w:rsidR="00E41438" w:rsidRPr="00F209B7" w:rsidRDefault="00E41438" w:rsidP="00D66738">
      <w:pPr>
        <w:jc w:val="both"/>
      </w:pPr>
      <w:r w:rsidRPr="00F209B7">
        <w:t>A standard company regi</w:t>
      </w:r>
      <w:r w:rsidR="00292065">
        <w:t>stration for a private company cost</w:t>
      </w:r>
      <w:r w:rsidRPr="00F209B7">
        <w:t>s R125. It is optional to register a name when registering a company. If the initial name reservation application is not approved, the applicants will need to apply for new names. Applicants may apply for between one and four names during each application process. Each name reservation application costs R50.</w:t>
      </w:r>
    </w:p>
    <w:p w14:paraId="4ADB92E9" w14:textId="6D291A13" w:rsidR="00AE6F3E" w:rsidRPr="00F209B7" w:rsidRDefault="00AE6F3E" w:rsidP="00D66738">
      <w:pPr>
        <w:jc w:val="both"/>
      </w:pPr>
      <w:r w:rsidRPr="00F209B7">
        <w:t>A compa</w:t>
      </w:r>
      <w:r>
        <w:t xml:space="preserve">ny can be registered </w:t>
      </w:r>
      <w:r w:rsidRPr="00F209B7">
        <w:t>manually</w:t>
      </w:r>
      <w:r>
        <w:t xml:space="preserve"> or electronically</w:t>
      </w:r>
      <w:r w:rsidRPr="00F209B7">
        <w:t xml:space="preserve">. Manual applications can </w:t>
      </w:r>
      <w:r w:rsidR="00292065">
        <w:t xml:space="preserve">be </w:t>
      </w:r>
      <w:r w:rsidRPr="00F209B7">
        <w:t>process</w:t>
      </w:r>
      <w:r w:rsidR="00292065">
        <w:t>ed</w:t>
      </w:r>
      <w:r w:rsidRPr="00F209B7">
        <w:t xml:space="preserve"> at the CIPC offices in Pretoria</w:t>
      </w:r>
      <w:r>
        <w:t xml:space="preserve"> by</w:t>
      </w:r>
      <w:r w:rsidR="0039396D">
        <w:t>:</w:t>
      </w:r>
      <w:r>
        <w:t xml:space="preserve"> completing the forms and then e-mailing </w:t>
      </w:r>
      <w:r w:rsidR="00292065">
        <w:t xml:space="preserve">them </w:t>
      </w:r>
      <w:r>
        <w:t>to the CIPC</w:t>
      </w:r>
      <w:r w:rsidRPr="00F209B7">
        <w:t>,</w:t>
      </w:r>
      <w:r w:rsidR="00292065">
        <w:t xml:space="preserve"> or </w:t>
      </w:r>
      <w:r>
        <w:t xml:space="preserve">by logging the detail of the registration on the CIPC website </w:t>
      </w:r>
      <w:r w:rsidR="0039396D">
        <w:t>(</w:t>
      </w:r>
      <w:r w:rsidR="00292065">
        <w:t xml:space="preserve">as diagrammed </w:t>
      </w:r>
      <w:r w:rsidR="0039396D">
        <w:t xml:space="preserve">in </w:t>
      </w:r>
      <w:r w:rsidR="0039396D" w:rsidRPr="0039396D">
        <w:fldChar w:fldCharType="begin"/>
      </w:r>
      <w:r w:rsidR="0039396D" w:rsidRPr="0039396D">
        <w:instrText xml:space="preserve"> REF _Ref479490609 \h  \* MERGEFORMAT </w:instrText>
      </w:r>
      <w:r w:rsidR="0039396D" w:rsidRPr="0039396D">
        <w:fldChar w:fldCharType="separate"/>
      </w:r>
      <w:r w:rsidR="005062E7" w:rsidRPr="005062E7">
        <w:rPr>
          <w:rFonts w:ascii="Arial" w:hAnsi="Arial"/>
          <w:sz w:val="20"/>
        </w:rPr>
        <w:t xml:space="preserve">Figure </w:t>
      </w:r>
      <w:r w:rsidR="005062E7" w:rsidRPr="005062E7">
        <w:rPr>
          <w:rFonts w:ascii="Arial" w:hAnsi="Arial"/>
          <w:noProof/>
          <w:sz w:val="20"/>
        </w:rPr>
        <w:t>11</w:t>
      </w:r>
      <w:r w:rsidR="0039396D" w:rsidRPr="0039396D">
        <w:fldChar w:fldCharType="end"/>
      </w:r>
      <w:r w:rsidR="00292065">
        <w:t xml:space="preserve"> below</w:t>
      </w:r>
      <w:r w:rsidR="0039396D" w:rsidRPr="0039396D">
        <w:t>)</w:t>
      </w:r>
      <w:r w:rsidR="0039396D">
        <w:t xml:space="preserve"> </w:t>
      </w:r>
      <w:r>
        <w:t xml:space="preserve">and then printing and e-mailing the forms for final processing.  </w:t>
      </w:r>
      <w:r w:rsidR="00292065">
        <w:t xml:space="preserve">The </w:t>
      </w:r>
      <w:r>
        <w:t xml:space="preserve">CIPC </w:t>
      </w:r>
      <w:r>
        <w:lastRenderedPageBreak/>
        <w:t>also has fully automated company registrations (immediate and without paper work) whereby the customer may reg</w:t>
      </w:r>
      <w:r w:rsidR="00292065">
        <w:t xml:space="preserve">ister the new company via </w:t>
      </w:r>
      <w:r>
        <w:t>any of the four major banks (ABSA, Stan</w:t>
      </w:r>
      <w:r w:rsidR="00292065">
        <w:t>dard Bank, Nedbank or FNB),</w:t>
      </w:r>
      <w:r>
        <w:t xml:space="preserve"> an intermediary that has access to the fully a</w:t>
      </w:r>
      <w:r w:rsidR="00292065">
        <w:t xml:space="preserve">utomated suit of services or </w:t>
      </w:r>
      <w:r w:rsidRPr="00F209B7">
        <w:t>one of the CIPC self-service terminals in Gauteng, the Western Cape</w:t>
      </w:r>
      <w:r>
        <w:t>, Northern Cape or KwaZulu-</w:t>
      </w:r>
      <w:r w:rsidRPr="00F209B7">
        <w:t>Natal</w:t>
      </w:r>
      <w:r>
        <w:t xml:space="preserve">. </w:t>
      </w:r>
      <w:r w:rsidRPr="00F209B7">
        <w:t>By extension, company registration is also subject to the indirect costs of transportation and/or internet costs</w:t>
      </w:r>
      <w:r>
        <w:t xml:space="preserve"> to access any of these channels.</w:t>
      </w:r>
    </w:p>
    <w:p w14:paraId="2E08FC5A" w14:textId="1E606024" w:rsidR="00E41438" w:rsidRPr="0011777B" w:rsidRDefault="00E41438" w:rsidP="00D66738">
      <w:pPr>
        <w:pStyle w:val="Caption"/>
        <w:jc w:val="both"/>
      </w:pPr>
      <w:bookmarkStart w:id="613" w:name="_Ref479490609"/>
      <w:bookmarkStart w:id="614" w:name="_Toc469485008"/>
      <w:bookmarkStart w:id="615" w:name="_Toc479845228"/>
      <w:bookmarkStart w:id="616" w:name="_Toc479940953"/>
      <w:r w:rsidRPr="0011777B">
        <w:t xml:space="preserve">Figure </w:t>
      </w:r>
      <w:fldSimple w:instr=" SEQ Figure \* ARABIC ">
        <w:r w:rsidR="005062E7">
          <w:rPr>
            <w:noProof/>
          </w:rPr>
          <w:t>11</w:t>
        </w:r>
      </w:fldSimple>
      <w:bookmarkEnd w:id="613"/>
      <w:r w:rsidR="00292065" w:rsidRPr="0011777B">
        <w:t>.</w:t>
      </w:r>
      <w:r w:rsidRPr="0011777B">
        <w:t xml:space="preserve"> Illustration of online company reporting process</w:t>
      </w:r>
      <w:bookmarkEnd w:id="614"/>
      <w:bookmarkEnd w:id="615"/>
      <w:bookmarkEnd w:id="616"/>
    </w:p>
    <w:p w14:paraId="29C5D6D9" w14:textId="18977BD5" w:rsidR="00E41438" w:rsidRPr="00F209B7" w:rsidRDefault="00E41438" w:rsidP="00D66738">
      <w:pPr>
        <w:jc w:val="both"/>
      </w:pPr>
      <w:r w:rsidRPr="00F209B7">
        <w:rPr>
          <w:noProof/>
          <w:lang w:eastAsia="en-ZA"/>
        </w:rPr>
        <w:drawing>
          <wp:inline distT="0" distB="0" distL="0" distR="0" wp14:anchorId="54C394F4" wp14:editId="6E362DE1">
            <wp:extent cx="5731510" cy="312007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120075"/>
                    </a:xfrm>
                    <a:prstGeom prst="rect">
                      <a:avLst/>
                    </a:prstGeom>
                    <a:noFill/>
                    <a:ln>
                      <a:noFill/>
                    </a:ln>
                  </pic:spPr>
                </pic:pic>
              </a:graphicData>
            </a:graphic>
          </wp:inline>
        </w:drawing>
      </w:r>
      <w:r w:rsidRPr="00F209B7">
        <w:rPr>
          <w:i/>
          <w:sz w:val="20"/>
          <w:szCs w:val="20"/>
        </w:rPr>
        <w:t xml:space="preserve">Source: </w:t>
      </w:r>
      <w:r w:rsidR="00FA6FEC" w:rsidRPr="00F209B7">
        <w:rPr>
          <w:sz w:val="20"/>
          <w:szCs w:val="20"/>
        </w:rPr>
        <w:t xml:space="preserve">CIPC </w:t>
      </w:r>
      <w:r w:rsidRPr="00F209B7">
        <w:rPr>
          <w:sz w:val="20"/>
          <w:szCs w:val="20"/>
        </w:rPr>
        <w:t xml:space="preserve">(2016) Registering </w:t>
      </w:r>
      <w:r w:rsidR="00FA6FEC" w:rsidRPr="00F209B7">
        <w:rPr>
          <w:sz w:val="20"/>
          <w:szCs w:val="20"/>
        </w:rPr>
        <w:t>Y</w:t>
      </w:r>
      <w:r w:rsidRPr="00F209B7">
        <w:rPr>
          <w:sz w:val="20"/>
          <w:szCs w:val="20"/>
        </w:rPr>
        <w:t>our Company</w:t>
      </w:r>
      <w:r w:rsidR="00FA6FEC" w:rsidRPr="00F209B7">
        <w:rPr>
          <w:sz w:val="20"/>
          <w:szCs w:val="20"/>
        </w:rPr>
        <w:t>.</w:t>
      </w:r>
    </w:p>
    <w:p w14:paraId="25D0079E" w14:textId="77777777" w:rsidR="001177AB" w:rsidRPr="00F209B7" w:rsidRDefault="001177AB" w:rsidP="00D66738">
      <w:pPr>
        <w:jc w:val="both"/>
      </w:pPr>
      <w:r w:rsidRPr="00F209B7">
        <w:t xml:space="preserve">The predecessor to the CIPC was notorious for lengthy delays in registering new companies, </w:t>
      </w:r>
      <w:r w:rsidR="00F209B7" w:rsidRPr="00F209B7">
        <w:t>averaging</w:t>
      </w:r>
      <w:r w:rsidRPr="00F209B7">
        <w:t xml:space="preserve"> over 25 days and sometimes </w:t>
      </w:r>
      <w:r w:rsidR="00F209B7" w:rsidRPr="00F209B7">
        <w:t>lasting</w:t>
      </w:r>
      <w:r w:rsidRPr="00F209B7">
        <w:t xml:space="preserve"> for months. Virtually all informants agreed, however, that the current CIPC turnaround time is fast. </w:t>
      </w:r>
    </w:p>
    <w:p w14:paraId="38C1087F" w14:textId="763EBCC5" w:rsidR="001177AB" w:rsidRPr="00F209B7" w:rsidRDefault="001177AB" w:rsidP="00D66738">
      <w:pPr>
        <w:jc w:val="both"/>
      </w:pPr>
      <w:r w:rsidRPr="00F209B7">
        <w:t>For a registered private company with a Standard</w:t>
      </w:r>
      <w:r w:rsidR="00292065">
        <w:t xml:space="preserve"> Memorandum of Incorporation</w:t>
      </w:r>
      <w:r w:rsidRPr="00F209B7">
        <w:t xml:space="preserve">, </w:t>
      </w:r>
      <w:r w:rsidR="00292065">
        <w:t xml:space="preserve">the average turnaround time is now three </w:t>
      </w:r>
      <w:r w:rsidRPr="00F209B7">
        <w:t xml:space="preserve">working days from date of date of the submission of the supporting documentation. Other kinds of application process may take longer, with ten to 15 days required for physical applications. </w:t>
      </w:r>
    </w:p>
    <w:p w14:paraId="6E667885" w14:textId="77777777" w:rsidR="00292065" w:rsidRDefault="00DC6ABD" w:rsidP="00D66738">
      <w:pPr>
        <w:jc w:val="both"/>
        <w:rPr>
          <w:rFonts w:ascii="Calibri" w:eastAsia="Calibri" w:hAnsi="Calibri" w:cs="Times New Roman"/>
          <w:szCs w:val="24"/>
        </w:rPr>
      </w:pPr>
      <w:r w:rsidRPr="00F209B7">
        <w:rPr>
          <w:rFonts w:ascii="Calibri" w:eastAsia="Calibri" w:hAnsi="Calibri" w:cs="Times New Roman"/>
          <w:szCs w:val="24"/>
        </w:rPr>
        <w:t>Every company must lodge an Annual Return</w:t>
      </w:r>
      <w:r w:rsidR="00292065">
        <w:rPr>
          <w:rFonts w:ascii="Calibri" w:eastAsia="Calibri" w:hAnsi="Calibri" w:cs="Times New Roman"/>
          <w:szCs w:val="24"/>
        </w:rPr>
        <w:t xml:space="preserve"> to the CIPC within 30 business days of the anniversary of its incorporation date. </w:t>
      </w:r>
      <w:r w:rsidR="00292065" w:rsidRPr="00F209B7">
        <w:rPr>
          <w:rFonts w:ascii="Calibri" w:eastAsia="Calibri" w:hAnsi="Calibri" w:cs="Times New Roman"/>
          <w:szCs w:val="24"/>
        </w:rPr>
        <w:t xml:space="preserve">The Annual Return updates company details (contact details and business description) and discloses turnover. </w:t>
      </w:r>
      <w:r w:rsidR="00292065">
        <w:rPr>
          <w:rFonts w:ascii="Calibri" w:eastAsia="Calibri" w:hAnsi="Calibri" w:cs="Times New Roman"/>
          <w:szCs w:val="24"/>
        </w:rPr>
        <w:t xml:space="preserve">It must be submitted with </w:t>
      </w:r>
      <w:r>
        <w:rPr>
          <w:rFonts w:ascii="Calibri" w:eastAsia="Calibri" w:hAnsi="Calibri" w:cs="Times New Roman"/>
          <w:szCs w:val="24"/>
        </w:rPr>
        <w:t xml:space="preserve">audited </w:t>
      </w:r>
      <w:r w:rsidRPr="00F209B7">
        <w:rPr>
          <w:rFonts w:ascii="Calibri" w:eastAsia="Calibri" w:hAnsi="Calibri" w:cs="Times New Roman"/>
          <w:szCs w:val="24"/>
        </w:rPr>
        <w:t>financial statements</w:t>
      </w:r>
      <w:r>
        <w:rPr>
          <w:rFonts w:ascii="Calibri" w:eastAsia="Calibri" w:hAnsi="Calibri" w:cs="Times New Roman"/>
          <w:szCs w:val="24"/>
        </w:rPr>
        <w:t>, independently reviewed financial statements</w:t>
      </w:r>
      <w:r w:rsidR="00292065">
        <w:rPr>
          <w:rFonts w:ascii="Calibri" w:eastAsia="Calibri" w:hAnsi="Calibri" w:cs="Times New Roman"/>
          <w:szCs w:val="24"/>
        </w:rPr>
        <w:t>,</w:t>
      </w:r>
      <w:r>
        <w:rPr>
          <w:rFonts w:ascii="Calibri" w:eastAsia="Calibri" w:hAnsi="Calibri" w:cs="Times New Roman"/>
          <w:szCs w:val="24"/>
        </w:rPr>
        <w:t xml:space="preserve"> or an accountability supplement</w:t>
      </w:r>
      <w:r w:rsidR="00292065">
        <w:rPr>
          <w:rFonts w:ascii="Calibri" w:eastAsia="Calibri" w:hAnsi="Calibri" w:cs="Times New Roman"/>
          <w:szCs w:val="24"/>
        </w:rPr>
        <w:t>. The kind of accounting required depends</w:t>
      </w:r>
      <w:r>
        <w:rPr>
          <w:rFonts w:ascii="Calibri" w:eastAsia="Calibri" w:hAnsi="Calibri" w:cs="Times New Roman"/>
          <w:szCs w:val="24"/>
        </w:rPr>
        <w:t xml:space="preserve"> on the company category and its Public Interest Score</w:t>
      </w:r>
      <w:r w:rsidR="00292065">
        <w:rPr>
          <w:rFonts w:ascii="Calibri" w:eastAsia="Calibri" w:hAnsi="Calibri" w:cs="Times New Roman"/>
          <w:szCs w:val="24"/>
        </w:rPr>
        <w:t>, which in turn correlates largely with size.</w:t>
      </w:r>
      <w:r w:rsidRPr="00F209B7">
        <w:rPr>
          <w:rFonts w:ascii="Calibri" w:eastAsia="Calibri" w:hAnsi="Calibri" w:cs="Times New Roman"/>
          <w:szCs w:val="24"/>
        </w:rPr>
        <w:t xml:space="preserve"> </w:t>
      </w:r>
    </w:p>
    <w:p w14:paraId="3BB4082A" w14:textId="6C2A6E17" w:rsidR="00DC6ABD" w:rsidRDefault="00DC6ABD" w:rsidP="00D66738">
      <w:pPr>
        <w:jc w:val="both"/>
        <w:rPr>
          <w:rFonts w:ascii="Calibri" w:eastAsia="Calibri" w:hAnsi="Calibri" w:cs="Times New Roman"/>
          <w:szCs w:val="24"/>
        </w:rPr>
      </w:pPr>
      <w:r>
        <w:rPr>
          <w:rFonts w:ascii="Calibri" w:eastAsia="Calibri" w:hAnsi="Calibri" w:cs="Times New Roman"/>
          <w:szCs w:val="24"/>
        </w:rPr>
        <w:t xml:space="preserve">Regulations 28 and 30 </w:t>
      </w:r>
      <w:r w:rsidR="00292065">
        <w:rPr>
          <w:rFonts w:ascii="Calibri" w:eastAsia="Calibri" w:hAnsi="Calibri" w:cs="Times New Roman"/>
          <w:szCs w:val="24"/>
        </w:rPr>
        <w:t>under the Act basically require</w:t>
      </w:r>
      <w:r>
        <w:rPr>
          <w:rFonts w:ascii="Calibri" w:eastAsia="Calibri" w:hAnsi="Calibri" w:cs="Times New Roman"/>
          <w:szCs w:val="24"/>
        </w:rPr>
        <w:t xml:space="preserve"> that smaller companies (</w:t>
      </w:r>
      <w:r w:rsidR="00292065">
        <w:rPr>
          <w:rFonts w:ascii="Calibri" w:eastAsia="Calibri" w:hAnsi="Calibri" w:cs="Times New Roman"/>
          <w:szCs w:val="24"/>
        </w:rPr>
        <w:t>which typically have a</w:t>
      </w:r>
      <w:r>
        <w:rPr>
          <w:rFonts w:ascii="Calibri" w:eastAsia="Calibri" w:hAnsi="Calibri" w:cs="Times New Roman"/>
          <w:szCs w:val="24"/>
        </w:rPr>
        <w:t xml:space="preserve"> Public Interest Score </w:t>
      </w:r>
      <w:r w:rsidR="00292065">
        <w:rPr>
          <w:rFonts w:ascii="Calibri" w:eastAsia="Calibri" w:hAnsi="Calibri" w:cs="Times New Roman"/>
          <w:szCs w:val="24"/>
        </w:rPr>
        <w:t xml:space="preserve">below </w:t>
      </w:r>
      <w:r>
        <w:rPr>
          <w:rFonts w:ascii="Calibri" w:eastAsia="Calibri" w:hAnsi="Calibri" w:cs="Times New Roman"/>
          <w:szCs w:val="24"/>
        </w:rPr>
        <w:t xml:space="preserve">100) must at least submit an annual financial supplement which </w:t>
      </w:r>
      <w:r w:rsidR="00292065">
        <w:rPr>
          <w:rFonts w:ascii="Calibri" w:eastAsia="Calibri" w:hAnsi="Calibri" w:cs="Times New Roman"/>
          <w:szCs w:val="24"/>
        </w:rPr>
        <w:t xml:space="preserve">essentially confirms </w:t>
      </w:r>
      <w:r>
        <w:rPr>
          <w:rFonts w:ascii="Calibri" w:eastAsia="Calibri" w:hAnsi="Calibri" w:cs="Times New Roman"/>
          <w:szCs w:val="24"/>
        </w:rPr>
        <w:t xml:space="preserve">that the company is keeping accounting records and </w:t>
      </w:r>
      <w:r w:rsidR="00292065">
        <w:rPr>
          <w:rFonts w:ascii="Calibri" w:eastAsia="Calibri" w:hAnsi="Calibri" w:cs="Times New Roman"/>
          <w:szCs w:val="24"/>
        </w:rPr>
        <w:t xml:space="preserve">identifies the employee </w:t>
      </w:r>
      <w:r>
        <w:rPr>
          <w:rFonts w:ascii="Calibri" w:eastAsia="Calibri" w:hAnsi="Calibri" w:cs="Times New Roman"/>
          <w:szCs w:val="24"/>
        </w:rPr>
        <w:t>who is responsible for</w:t>
      </w:r>
      <w:r w:rsidR="00292065">
        <w:rPr>
          <w:rFonts w:ascii="Calibri" w:eastAsia="Calibri" w:hAnsi="Calibri" w:cs="Times New Roman"/>
          <w:szCs w:val="24"/>
        </w:rPr>
        <w:t xml:space="preserve"> the task</w:t>
      </w:r>
      <w:r>
        <w:rPr>
          <w:rFonts w:ascii="Calibri" w:eastAsia="Calibri" w:hAnsi="Calibri" w:cs="Times New Roman"/>
          <w:szCs w:val="24"/>
        </w:rPr>
        <w:t>.</w:t>
      </w:r>
    </w:p>
    <w:p w14:paraId="3CA421FC" w14:textId="311B63E4" w:rsidR="00D440B0" w:rsidRPr="00F209B7" w:rsidRDefault="001177AB" w:rsidP="00D66738">
      <w:pPr>
        <w:jc w:val="both"/>
      </w:pPr>
      <w:r w:rsidRPr="00F209B7">
        <w:rPr>
          <w:rFonts w:ascii="Calibri" w:eastAsia="Calibri" w:hAnsi="Calibri" w:cs="Times New Roman"/>
          <w:szCs w:val="24"/>
        </w:rPr>
        <w:t xml:space="preserve">The </w:t>
      </w:r>
      <w:r w:rsidR="00292065">
        <w:rPr>
          <w:rFonts w:ascii="Calibri" w:eastAsia="Calibri" w:hAnsi="Calibri" w:cs="Times New Roman"/>
          <w:szCs w:val="24"/>
        </w:rPr>
        <w:t xml:space="preserve">Annual Returns </w:t>
      </w:r>
      <w:r w:rsidRPr="00F209B7">
        <w:rPr>
          <w:rFonts w:ascii="Calibri" w:eastAsia="Calibri" w:hAnsi="Calibri" w:cs="Times New Roman"/>
          <w:szCs w:val="24"/>
        </w:rPr>
        <w:t xml:space="preserve">form is only available online, and lodgement is instantaneous. </w:t>
      </w:r>
      <w:r w:rsidR="00D440B0" w:rsidRPr="00F209B7">
        <w:t xml:space="preserve">Failure to submit Annual Returns over three years will result in the automatic deregistration of the company. According to CIPC officials, this penalty is only advanced in very exceptional cases </w:t>
      </w:r>
      <w:r w:rsidR="00D440B0" w:rsidRPr="00F209B7">
        <w:lastRenderedPageBreak/>
        <w:t xml:space="preserve">for large non-compliant companies, and therefore generally does not apply to small business. </w:t>
      </w:r>
    </w:p>
    <w:p w14:paraId="7FB8846E" w14:textId="77777777" w:rsidR="001177AB" w:rsidRPr="00F209B7" w:rsidRDefault="001177AB" w:rsidP="00D66738">
      <w:pPr>
        <w:jc w:val="both"/>
        <w:rPr>
          <w:rFonts w:ascii="Calibri" w:eastAsia="Calibri" w:hAnsi="Calibri" w:cs="Times New Roman"/>
          <w:szCs w:val="24"/>
        </w:rPr>
      </w:pPr>
      <w:r w:rsidRPr="00F209B7">
        <w:rPr>
          <w:rFonts w:ascii="Calibri" w:eastAsia="Calibri" w:hAnsi="Calibri" w:cs="Times New Roman"/>
          <w:szCs w:val="24"/>
        </w:rPr>
        <w:t xml:space="preserve">For companies with over R1 million in turnover, the fees for Annual Returns are higher than for the initial registration, although still fairly modest. The CIPC imposes penalties for late filing. </w:t>
      </w:r>
    </w:p>
    <w:p w14:paraId="64BD5F87" w14:textId="46B8ACE8" w:rsidR="001177AB" w:rsidRPr="000468A4" w:rsidRDefault="001177AB" w:rsidP="00D66738">
      <w:pPr>
        <w:pStyle w:val="Caption"/>
        <w:jc w:val="both"/>
      </w:pPr>
      <w:bookmarkStart w:id="617" w:name="_Toc469410593"/>
      <w:bookmarkStart w:id="618" w:name="_Toc469411186"/>
      <w:bookmarkStart w:id="619" w:name="_Toc469411504"/>
      <w:bookmarkStart w:id="620" w:name="_Toc469485012"/>
      <w:bookmarkStart w:id="621" w:name="_Toc479940963"/>
      <w:r w:rsidRPr="000468A4">
        <w:t xml:space="preserve">Table </w:t>
      </w:r>
      <w:fldSimple w:instr=" SEQ Table \* ARABIC ">
        <w:r w:rsidR="005062E7">
          <w:rPr>
            <w:noProof/>
          </w:rPr>
          <w:t>6</w:t>
        </w:r>
      </w:fldSimple>
      <w:r w:rsidR="00292065">
        <w:rPr>
          <w:noProof/>
        </w:rPr>
        <w:t>.</w:t>
      </w:r>
      <w:r w:rsidRPr="000468A4">
        <w:t xml:space="preserve"> CIPC annual return fee schedule</w:t>
      </w:r>
      <w:bookmarkEnd w:id="617"/>
      <w:bookmarkEnd w:id="618"/>
      <w:bookmarkEnd w:id="619"/>
      <w:bookmarkEnd w:id="620"/>
      <w:bookmarkEnd w:id="621"/>
    </w:p>
    <w:tbl>
      <w:tblPr>
        <w:tblStyle w:val="TableGrid"/>
        <w:tblW w:w="0" w:type="auto"/>
        <w:tblInd w:w="100" w:type="dxa"/>
        <w:tblLook w:val="04A0" w:firstRow="1" w:lastRow="0" w:firstColumn="1" w:lastColumn="0" w:noHBand="0" w:noVBand="1"/>
      </w:tblPr>
      <w:tblGrid>
        <w:gridCol w:w="3050"/>
        <w:gridCol w:w="3047"/>
        <w:gridCol w:w="3045"/>
      </w:tblGrid>
      <w:tr w:rsidR="001177AB" w:rsidRPr="00F209B7" w14:paraId="652F5345" w14:textId="77777777" w:rsidTr="003764B9">
        <w:trPr>
          <w:tblHeader/>
        </w:trPr>
        <w:tc>
          <w:tcPr>
            <w:tcW w:w="3072" w:type="dxa"/>
          </w:tcPr>
          <w:p w14:paraId="5006A9B7" w14:textId="77777777" w:rsidR="001177AB" w:rsidRPr="00F209B7" w:rsidRDefault="001177AB" w:rsidP="00D66738">
            <w:pPr>
              <w:pStyle w:val="charts"/>
              <w:jc w:val="both"/>
              <w:rPr>
                <w:b/>
                <w:sz w:val="20"/>
              </w:rPr>
            </w:pPr>
            <w:r w:rsidRPr="00F209B7">
              <w:rPr>
                <w:b/>
                <w:sz w:val="20"/>
              </w:rPr>
              <w:t>Annual turnover</w:t>
            </w:r>
          </w:p>
        </w:tc>
        <w:tc>
          <w:tcPr>
            <w:tcW w:w="3072" w:type="dxa"/>
            <w:vAlign w:val="center"/>
          </w:tcPr>
          <w:p w14:paraId="2AA9ABFF" w14:textId="77777777" w:rsidR="001177AB" w:rsidRPr="00F209B7" w:rsidRDefault="001177AB" w:rsidP="00D66738">
            <w:pPr>
              <w:pStyle w:val="charts"/>
              <w:jc w:val="both"/>
              <w:rPr>
                <w:b/>
                <w:sz w:val="20"/>
              </w:rPr>
            </w:pPr>
            <w:r w:rsidRPr="00F209B7">
              <w:rPr>
                <w:b/>
                <w:sz w:val="20"/>
              </w:rPr>
              <w:t>Filing within 30 business days of due date</w:t>
            </w:r>
          </w:p>
        </w:tc>
        <w:tc>
          <w:tcPr>
            <w:tcW w:w="3072" w:type="dxa"/>
            <w:vAlign w:val="center"/>
          </w:tcPr>
          <w:p w14:paraId="4A38194C" w14:textId="77777777" w:rsidR="001177AB" w:rsidRPr="00F209B7" w:rsidRDefault="001177AB" w:rsidP="00D66738">
            <w:pPr>
              <w:pStyle w:val="charts"/>
              <w:jc w:val="both"/>
              <w:rPr>
                <w:b/>
                <w:sz w:val="20"/>
              </w:rPr>
            </w:pPr>
            <w:r w:rsidRPr="00F209B7">
              <w:rPr>
                <w:b/>
                <w:sz w:val="20"/>
              </w:rPr>
              <w:t>Filing more than 30 days after due data</w:t>
            </w:r>
          </w:p>
        </w:tc>
      </w:tr>
      <w:tr w:rsidR="001177AB" w:rsidRPr="00F209B7" w14:paraId="5EEC24A4" w14:textId="77777777" w:rsidTr="003764B9">
        <w:tc>
          <w:tcPr>
            <w:tcW w:w="3072" w:type="dxa"/>
          </w:tcPr>
          <w:p w14:paraId="639A7606" w14:textId="4D7456F1" w:rsidR="001177AB" w:rsidRPr="00F209B7" w:rsidRDefault="00781C0E" w:rsidP="00D66738">
            <w:pPr>
              <w:pStyle w:val="charts"/>
              <w:jc w:val="both"/>
              <w:rPr>
                <w:sz w:val="20"/>
              </w:rPr>
            </w:pPr>
            <w:r>
              <w:rPr>
                <w:sz w:val="20"/>
              </w:rPr>
              <w:t xml:space="preserve">Less than R 1 </w:t>
            </w:r>
            <w:proofErr w:type="spellStart"/>
            <w:r w:rsidR="001177AB" w:rsidRPr="00F209B7">
              <w:rPr>
                <w:sz w:val="20"/>
              </w:rPr>
              <w:t>mn</w:t>
            </w:r>
            <w:proofErr w:type="spellEnd"/>
            <w:r w:rsidR="001177AB" w:rsidRPr="00F209B7">
              <w:rPr>
                <w:sz w:val="20"/>
              </w:rPr>
              <w:t>.</w:t>
            </w:r>
          </w:p>
        </w:tc>
        <w:tc>
          <w:tcPr>
            <w:tcW w:w="3072" w:type="dxa"/>
            <w:vAlign w:val="center"/>
          </w:tcPr>
          <w:p w14:paraId="37AEBCF7" w14:textId="77777777" w:rsidR="001177AB" w:rsidRPr="00F209B7" w:rsidRDefault="001177AB" w:rsidP="00D66738">
            <w:pPr>
              <w:pStyle w:val="charts"/>
              <w:jc w:val="both"/>
              <w:rPr>
                <w:sz w:val="20"/>
              </w:rPr>
            </w:pPr>
            <w:r w:rsidRPr="00F209B7">
              <w:rPr>
                <w:sz w:val="20"/>
              </w:rPr>
              <w:t>R100</w:t>
            </w:r>
          </w:p>
        </w:tc>
        <w:tc>
          <w:tcPr>
            <w:tcW w:w="3072" w:type="dxa"/>
            <w:vAlign w:val="center"/>
          </w:tcPr>
          <w:p w14:paraId="45942214" w14:textId="77777777" w:rsidR="001177AB" w:rsidRPr="00F209B7" w:rsidRDefault="001177AB" w:rsidP="00D66738">
            <w:pPr>
              <w:pStyle w:val="charts"/>
              <w:jc w:val="both"/>
              <w:rPr>
                <w:sz w:val="20"/>
              </w:rPr>
            </w:pPr>
            <w:r w:rsidRPr="00F209B7">
              <w:rPr>
                <w:sz w:val="20"/>
              </w:rPr>
              <w:t>R150</w:t>
            </w:r>
          </w:p>
        </w:tc>
      </w:tr>
      <w:tr w:rsidR="001177AB" w:rsidRPr="00F209B7" w14:paraId="21578687" w14:textId="77777777" w:rsidTr="003764B9">
        <w:tc>
          <w:tcPr>
            <w:tcW w:w="3072" w:type="dxa"/>
          </w:tcPr>
          <w:p w14:paraId="24469D71" w14:textId="1C5FA648" w:rsidR="001177AB" w:rsidRPr="00F209B7" w:rsidRDefault="00781C0E" w:rsidP="00D66738">
            <w:pPr>
              <w:pStyle w:val="charts"/>
              <w:jc w:val="both"/>
              <w:rPr>
                <w:sz w:val="20"/>
              </w:rPr>
            </w:pPr>
            <w:r>
              <w:rPr>
                <w:sz w:val="20"/>
              </w:rPr>
              <w:t xml:space="preserve">R1 </w:t>
            </w:r>
            <w:proofErr w:type="spellStart"/>
            <w:r w:rsidR="001177AB" w:rsidRPr="00F209B7">
              <w:rPr>
                <w:sz w:val="20"/>
              </w:rPr>
              <w:t>mn</w:t>
            </w:r>
            <w:proofErr w:type="spellEnd"/>
            <w:r w:rsidR="001177AB" w:rsidRPr="00F209B7">
              <w:rPr>
                <w:sz w:val="20"/>
              </w:rPr>
              <w:t>.</w:t>
            </w:r>
            <w:r>
              <w:rPr>
                <w:sz w:val="20"/>
              </w:rPr>
              <w:t xml:space="preserve"> but less than R10 </w:t>
            </w:r>
            <w:proofErr w:type="spellStart"/>
            <w:r w:rsidR="001177AB" w:rsidRPr="00F209B7">
              <w:rPr>
                <w:sz w:val="20"/>
              </w:rPr>
              <w:t>mn</w:t>
            </w:r>
            <w:proofErr w:type="spellEnd"/>
            <w:r w:rsidR="001177AB" w:rsidRPr="00F209B7">
              <w:rPr>
                <w:sz w:val="20"/>
              </w:rPr>
              <w:t>.</w:t>
            </w:r>
          </w:p>
        </w:tc>
        <w:tc>
          <w:tcPr>
            <w:tcW w:w="3072" w:type="dxa"/>
            <w:vAlign w:val="center"/>
          </w:tcPr>
          <w:p w14:paraId="4412C72D" w14:textId="77777777" w:rsidR="001177AB" w:rsidRPr="00F209B7" w:rsidRDefault="001177AB" w:rsidP="00D66738">
            <w:pPr>
              <w:pStyle w:val="charts"/>
              <w:jc w:val="both"/>
              <w:rPr>
                <w:sz w:val="20"/>
              </w:rPr>
            </w:pPr>
            <w:r w:rsidRPr="00F209B7">
              <w:rPr>
                <w:sz w:val="20"/>
              </w:rPr>
              <w:t>R450</w:t>
            </w:r>
          </w:p>
        </w:tc>
        <w:tc>
          <w:tcPr>
            <w:tcW w:w="3072" w:type="dxa"/>
            <w:vAlign w:val="center"/>
          </w:tcPr>
          <w:p w14:paraId="1F6FDBFF" w14:textId="77777777" w:rsidR="001177AB" w:rsidRPr="00F209B7" w:rsidRDefault="001177AB" w:rsidP="00D66738">
            <w:pPr>
              <w:pStyle w:val="charts"/>
              <w:jc w:val="both"/>
              <w:rPr>
                <w:sz w:val="20"/>
              </w:rPr>
            </w:pPr>
            <w:r w:rsidRPr="00F209B7">
              <w:rPr>
                <w:sz w:val="20"/>
              </w:rPr>
              <w:t>R600</w:t>
            </w:r>
          </w:p>
        </w:tc>
      </w:tr>
      <w:tr w:rsidR="001177AB" w:rsidRPr="00F209B7" w14:paraId="170F716D" w14:textId="77777777" w:rsidTr="003764B9">
        <w:tc>
          <w:tcPr>
            <w:tcW w:w="3072" w:type="dxa"/>
          </w:tcPr>
          <w:p w14:paraId="35D0A80F" w14:textId="2FC0190F" w:rsidR="001177AB" w:rsidRPr="00F209B7" w:rsidRDefault="00781C0E" w:rsidP="00D66738">
            <w:pPr>
              <w:pStyle w:val="charts"/>
              <w:jc w:val="both"/>
              <w:rPr>
                <w:sz w:val="20"/>
              </w:rPr>
            </w:pPr>
            <w:r>
              <w:rPr>
                <w:sz w:val="20"/>
              </w:rPr>
              <w:t xml:space="preserve">R10 </w:t>
            </w:r>
            <w:proofErr w:type="spellStart"/>
            <w:r w:rsidR="001177AB" w:rsidRPr="00F209B7">
              <w:rPr>
                <w:sz w:val="20"/>
              </w:rPr>
              <w:t>mn</w:t>
            </w:r>
            <w:proofErr w:type="spellEnd"/>
            <w:r w:rsidR="001177AB" w:rsidRPr="00F209B7">
              <w:rPr>
                <w:sz w:val="20"/>
              </w:rPr>
              <w:t>. But</w:t>
            </w:r>
            <w:r>
              <w:rPr>
                <w:sz w:val="20"/>
              </w:rPr>
              <w:t xml:space="preserve"> less than R25 </w:t>
            </w:r>
            <w:proofErr w:type="spellStart"/>
            <w:r w:rsidR="001177AB" w:rsidRPr="00F209B7">
              <w:rPr>
                <w:sz w:val="20"/>
              </w:rPr>
              <w:t>mn</w:t>
            </w:r>
            <w:proofErr w:type="spellEnd"/>
            <w:r w:rsidR="001177AB" w:rsidRPr="00F209B7">
              <w:rPr>
                <w:sz w:val="20"/>
              </w:rPr>
              <w:t>.</w:t>
            </w:r>
          </w:p>
        </w:tc>
        <w:tc>
          <w:tcPr>
            <w:tcW w:w="3072" w:type="dxa"/>
            <w:vAlign w:val="center"/>
          </w:tcPr>
          <w:p w14:paraId="20CC1813" w14:textId="77777777" w:rsidR="001177AB" w:rsidRPr="00F209B7" w:rsidRDefault="001177AB" w:rsidP="00D66738">
            <w:pPr>
              <w:pStyle w:val="charts"/>
              <w:jc w:val="both"/>
              <w:rPr>
                <w:sz w:val="20"/>
              </w:rPr>
            </w:pPr>
            <w:r w:rsidRPr="00F209B7">
              <w:rPr>
                <w:sz w:val="20"/>
              </w:rPr>
              <w:t>R2000</w:t>
            </w:r>
          </w:p>
        </w:tc>
        <w:tc>
          <w:tcPr>
            <w:tcW w:w="3072" w:type="dxa"/>
            <w:vAlign w:val="center"/>
          </w:tcPr>
          <w:p w14:paraId="50C45576" w14:textId="77777777" w:rsidR="001177AB" w:rsidRPr="00F209B7" w:rsidRDefault="001177AB" w:rsidP="00D66738">
            <w:pPr>
              <w:pStyle w:val="charts"/>
              <w:jc w:val="both"/>
              <w:rPr>
                <w:sz w:val="20"/>
              </w:rPr>
            </w:pPr>
            <w:r w:rsidRPr="00F209B7">
              <w:rPr>
                <w:sz w:val="20"/>
              </w:rPr>
              <w:t>R2500</w:t>
            </w:r>
          </w:p>
        </w:tc>
      </w:tr>
      <w:tr w:rsidR="001177AB" w:rsidRPr="00F209B7" w14:paraId="5B481579" w14:textId="77777777" w:rsidTr="003764B9">
        <w:tc>
          <w:tcPr>
            <w:tcW w:w="3072" w:type="dxa"/>
          </w:tcPr>
          <w:p w14:paraId="467F291B" w14:textId="778E2B37" w:rsidR="001177AB" w:rsidRPr="00F209B7" w:rsidRDefault="00781C0E" w:rsidP="00D66738">
            <w:pPr>
              <w:pStyle w:val="charts"/>
              <w:jc w:val="both"/>
              <w:rPr>
                <w:sz w:val="20"/>
              </w:rPr>
            </w:pPr>
            <w:r>
              <w:rPr>
                <w:sz w:val="20"/>
              </w:rPr>
              <w:t xml:space="preserve">R25 </w:t>
            </w:r>
            <w:proofErr w:type="spellStart"/>
            <w:r w:rsidR="001177AB" w:rsidRPr="00F209B7">
              <w:rPr>
                <w:sz w:val="20"/>
              </w:rPr>
              <w:t>mn</w:t>
            </w:r>
            <w:proofErr w:type="spellEnd"/>
            <w:r w:rsidR="001177AB" w:rsidRPr="00F209B7">
              <w:rPr>
                <w:sz w:val="20"/>
              </w:rPr>
              <w:t>. or more</w:t>
            </w:r>
          </w:p>
        </w:tc>
        <w:tc>
          <w:tcPr>
            <w:tcW w:w="3072" w:type="dxa"/>
            <w:vAlign w:val="center"/>
          </w:tcPr>
          <w:p w14:paraId="1758C7BA" w14:textId="77777777" w:rsidR="001177AB" w:rsidRPr="00F209B7" w:rsidRDefault="001177AB" w:rsidP="00D66738">
            <w:pPr>
              <w:pStyle w:val="charts"/>
              <w:jc w:val="both"/>
              <w:rPr>
                <w:sz w:val="20"/>
              </w:rPr>
            </w:pPr>
            <w:r w:rsidRPr="00F209B7">
              <w:rPr>
                <w:sz w:val="20"/>
              </w:rPr>
              <w:t>R3000</w:t>
            </w:r>
          </w:p>
        </w:tc>
        <w:tc>
          <w:tcPr>
            <w:tcW w:w="3072" w:type="dxa"/>
            <w:vAlign w:val="center"/>
          </w:tcPr>
          <w:p w14:paraId="43F2F905" w14:textId="77777777" w:rsidR="001177AB" w:rsidRPr="00F209B7" w:rsidRDefault="001177AB" w:rsidP="00D66738">
            <w:pPr>
              <w:pStyle w:val="charts"/>
              <w:jc w:val="both"/>
              <w:rPr>
                <w:sz w:val="20"/>
              </w:rPr>
            </w:pPr>
            <w:r w:rsidRPr="00F209B7">
              <w:rPr>
                <w:sz w:val="20"/>
              </w:rPr>
              <w:t>R4000</w:t>
            </w:r>
          </w:p>
        </w:tc>
      </w:tr>
      <w:tr w:rsidR="001177AB" w:rsidRPr="00F209B7" w14:paraId="683A6C6E" w14:textId="77777777" w:rsidTr="003764B9">
        <w:tc>
          <w:tcPr>
            <w:tcW w:w="3072" w:type="dxa"/>
          </w:tcPr>
          <w:p w14:paraId="776CA8EE" w14:textId="77777777" w:rsidR="001177AB" w:rsidRPr="00F209B7" w:rsidRDefault="001177AB" w:rsidP="00D66738">
            <w:pPr>
              <w:pStyle w:val="charts"/>
              <w:jc w:val="both"/>
              <w:rPr>
                <w:sz w:val="20"/>
              </w:rPr>
            </w:pPr>
            <w:r w:rsidRPr="00F209B7">
              <w:rPr>
                <w:sz w:val="20"/>
              </w:rPr>
              <w:t>Re-</w:t>
            </w:r>
            <w:r w:rsidR="00F209B7" w:rsidRPr="00F209B7">
              <w:rPr>
                <w:sz w:val="20"/>
              </w:rPr>
              <w:t>instalment</w:t>
            </w:r>
            <w:r w:rsidRPr="00F209B7">
              <w:rPr>
                <w:sz w:val="20"/>
              </w:rPr>
              <w:t xml:space="preserve"> application</w:t>
            </w:r>
          </w:p>
        </w:tc>
        <w:tc>
          <w:tcPr>
            <w:tcW w:w="3072" w:type="dxa"/>
            <w:vAlign w:val="center"/>
          </w:tcPr>
          <w:p w14:paraId="1E99BAD5" w14:textId="241CC3DC" w:rsidR="001177AB" w:rsidRPr="00F209B7" w:rsidRDefault="001177AB" w:rsidP="00D66738">
            <w:pPr>
              <w:pStyle w:val="charts"/>
              <w:jc w:val="both"/>
              <w:rPr>
                <w:sz w:val="20"/>
              </w:rPr>
            </w:pPr>
            <w:proofErr w:type="spellStart"/>
            <w:r w:rsidRPr="00F209B7">
              <w:rPr>
                <w:sz w:val="20"/>
              </w:rPr>
              <w:t>n.a.</w:t>
            </w:r>
            <w:proofErr w:type="spellEnd"/>
          </w:p>
        </w:tc>
        <w:tc>
          <w:tcPr>
            <w:tcW w:w="3072" w:type="dxa"/>
            <w:vAlign w:val="center"/>
          </w:tcPr>
          <w:p w14:paraId="0AA14756" w14:textId="77777777" w:rsidR="001177AB" w:rsidRPr="00F209B7" w:rsidRDefault="001177AB" w:rsidP="00D66738">
            <w:pPr>
              <w:pStyle w:val="charts"/>
              <w:jc w:val="both"/>
              <w:rPr>
                <w:sz w:val="20"/>
              </w:rPr>
            </w:pPr>
            <w:r w:rsidRPr="00F209B7">
              <w:rPr>
                <w:sz w:val="20"/>
              </w:rPr>
              <w:t>R200</w:t>
            </w:r>
          </w:p>
        </w:tc>
      </w:tr>
    </w:tbl>
    <w:p w14:paraId="245EAF06" w14:textId="77777777" w:rsidR="001177AB" w:rsidRPr="00F209B7" w:rsidRDefault="001177AB" w:rsidP="00D66738">
      <w:pPr>
        <w:pStyle w:val="source"/>
        <w:jc w:val="both"/>
      </w:pPr>
      <w:r w:rsidRPr="00F209B7">
        <w:rPr>
          <w:i/>
        </w:rPr>
        <w:t xml:space="preserve">Source: </w:t>
      </w:r>
      <w:r w:rsidRPr="00F209B7">
        <w:t>CIPC (2016) Information Guide: Relationship between Annual Returns, Deregistration’s and Reinstatements.</w:t>
      </w:r>
    </w:p>
    <w:p w14:paraId="5F6D44B5" w14:textId="77777777" w:rsidR="00D440B0" w:rsidRPr="00F209B7" w:rsidRDefault="00D440B0" w:rsidP="00D66738">
      <w:pPr>
        <w:pStyle w:val="Heading4"/>
        <w:numPr>
          <w:ilvl w:val="3"/>
          <w:numId w:val="131"/>
        </w:numPr>
        <w:jc w:val="both"/>
      </w:pPr>
      <w:r w:rsidRPr="00F209B7">
        <w:t>Co-operative registration</w:t>
      </w:r>
    </w:p>
    <w:p w14:paraId="7DF1B130" w14:textId="77777777" w:rsidR="00FA6FEC" w:rsidRPr="00F209B7" w:rsidRDefault="00F209B7" w:rsidP="00D66738">
      <w:pPr>
        <w:jc w:val="both"/>
      </w:pPr>
      <w:r w:rsidRPr="00F209B7">
        <w:t>Registration</w:t>
      </w:r>
      <w:r w:rsidR="00FA6FEC" w:rsidRPr="00F209B7">
        <w:t xml:space="preserve"> for co-operatives is significantly more burdensome than for other governance models in terms of the required paperwork, the turnaround time and the cost. </w:t>
      </w:r>
    </w:p>
    <w:p w14:paraId="3C276BAF" w14:textId="77777777" w:rsidR="00FA6FEC" w:rsidRPr="00F209B7" w:rsidRDefault="00FA6FEC" w:rsidP="00D66738">
      <w:pPr>
        <w:jc w:val="both"/>
      </w:pPr>
      <w:r w:rsidRPr="00F209B7">
        <w:t>A co-op’s registration for application must be submitted on the prescribed form and must be accompanied by:</w:t>
      </w:r>
    </w:p>
    <w:p w14:paraId="4F5AEC1E" w14:textId="77777777" w:rsidR="00FA6FEC" w:rsidRPr="00F209B7" w:rsidRDefault="00FA6FEC" w:rsidP="00D66738">
      <w:pPr>
        <w:pStyle w:val="ListParagraph"/>
        <w:numPr>
          <w:ilvl w:val="0"/>
          <w:numId w:val="27"/>
        </w:numPr>
        <w:jc w:val="both"/>
      </w:pPr>
      <w:r w:rsidRPr="00F209B7">
        <w:t>the constitution of the co-operative, signed by the founder members;</w:t>
      </w:r>
    </w:p>
    <w:p w14:paraId="6E21290A" w14:textId="77777777" w:rsidR="00FA6FEC" w:rsidRPr="00F209B7" w:rsidRDefault="00FA6FEC" w:rsidP="00D66738">
      <w:pPr>
        <w:pStyle w:val="ListParagraph"/>
        <w:numPr>
          <w:ilvl w:val="0"/>
          <w:numId w:val="27"/>
        </w:numPr>
        <w:jc w:val="both"/>
      </w:pPr>
      <w:r w:rsidRPr="00F209B7">
        <w:t>a list of the founder members;</w:t>
      </w:r>
    </w:p>
    <w:p w14:paraId="0930654A" w14:textId="77777777" w:rsidR="00FA6FEC" w:rsidRPr="00F209B7" w:rsidRDefault="00FA6FEC" w:rsidP="00D66738">
      <w:pPr>
        <w:pStyle w:val="ListParagraph"/>
        <w:numPr>
          <w:ilvl w:val="0"/>
          <w:numId w:val="27"/>
        </w:numPr>
        <w:jc w:val="both"/>
      </w:pPr>
      <w:r w:rsidRPr="00F209B7">
        <w:t>a list of the directors; and</w:t>
      </w:r>
    </w:p>
    <w:p w14:paraId="20AA76B7" w14:textId="77777777" w:rsidR="00FA6FEC" w:rsidRPr="00F209B7" w:rsidRDefault="00FA6FEC" w:rsidP="00D66738">
      <w:pPr>
        <w:pStyle w:val="ListParagraph"/>
        <w:numPr>
          <w:ilvl w:val="0"/>
          <w:numId w:val="27"/>
        </w:numPr>
        <w:jc w:val="both"/>
      </w:pPr>
      <w:r w:rsidRPr="00F209B7">
        <w:t>the prescribed fee of R215 or proof of payment thereof (CIPC, 2016).</w:t>
      </w:r>
    </w:p>
    <w:p w14:paraId="4699121D" w14:textId="77777777" w:rsidR="00E41438" w:rsidRPr="00F209B7" w:rsidRDefault="00FA6FEC" w:rsidP="00D66738">
      <w:pPr>
        <w:jc w:val="both"/>
      </w:pPr>
      <w:r w:rsidRPr="00F209B7">
        <w:t xml:space="preserve">By extension, before </w:t>
      </w:r>
      <w:r w:rsidR="00F209B7" w:rsidRPr="00F209B7">
        <w:t>registering</w:t>
      </w:r>
      <w:r w:rsidRPr="00F209B7">
        <w:t xml:space="preserve"> members must hold </w:t>
      </w:r>
      <w:r w:rsidR="00E41438" w:rsidRPr="00F209B7">
        <w:t xml:space="preserve">a formation meeting to decide on their common purpose as well as the </w:t>
      </w:r>
      <w:r w:rsidRPr="00F209B7">
        <w:t xml:space="preserve">co-op’s nature (that is, primary, secondary or tertiary) </w:t>
      </w:r>
      <w:r w:rsidR="00E41438" w:rsidRPr="00F209B7">
        <w:t xml:space="preserve">and type </w:t>
      </w:r>
      <w:r w:rsidRPr="00F209B7">
        <w:t>(service, producer or marketing, for instance)</w:t>
      </w:r>
      <w:r w:rsidR="00E41438" w:rsidRPr="00F209B7">
        <w:t xml:space="preserve">. </w:t>
      </w:r>
      <w:r w:rsidRPr="00F209B7">
        <w:t xml:space="preserve">The meeting has to </w:t>
      </w:r>
      <w:r w:rsidR="00E41438" w:rsidRPr="00F209B7">
        <w:t xml:space="preserve">adopt </w:t>
      </w:r>
      <w:r w:rsidRPr="00F209B7">
        <w:t>the</w:t>
      </w:r>
      <w:r w:rsidR="00E41438" w:rsidRPr="00F209B7">
        <w:t xml:space="preserve"> constitution and elect the first directors.</w:t>
      </w:r>
      <w:r w:rsidRPr="00F209B7">
        <w:t xml:space="preserve"> The constitution must ensure the implementation of democratic principles in line with co-operative practice, as laid out in the Co-operatives Act. </w:t>
      </w:r>
    </w:p>
    <w:p w14:paraId="7958AEE2" w14:textId="624843B0" w:rsidR="00E41438" w:rsidRPr="00F209B7" w:rsidRDefault="00E41438" w:rsidP="00D66738">
      <w:pPr>
        <w:jc w:val="both"/>
      </w:pPr>
      <w:r w:rsidRPr="00F209B7">
        <w:t>The registration forms for cooperative applications can be downloaded from the CIPC website although a co-operative may only be registered manually.</w:t>
      </w:r>
      <w:r w:rsidRPr="00F209B7">
        <w:rPr>
          <w:rFonts w:ascii="Helvetica" w:hAnsi="Helvetica"/>
          <w:color w:val="555451"/>
          <w:sz w:val="21"/>
          <w:szCs w:val="21"/>
        </w:rPr>
        <w:t xml:space="preserve"> T</w:t>
      </w:r>
      <w:r w:rsidRPr="00F209B7">
        <w:t xml:space="preserve">he </w:t>
      </w:r>
      <w:r w:rsidR="004C05ED" w:rsidRPr="00F209B7">
        <w:t xml:space="preserve">CIPC reports that the </w:t>
      </w:r>
      <w:r w:rsidRPr="00F209B7">
        <w:t xml:space="preserve">standard turnaround time for finalising a co-operative registration </w:t>
      </w:r>
      <w:r w:rsidR="004C05ED" w:rsidRPr="00F209B7">
        <w:t xml:space="preserve">was </w:t>
      </w:r>
      <w:r w:rsidR="00054B68">
        <w:t>two days</w:t>
      </w:r>
      <w:r w:rsidR="004C05ED" w:rsidRPr="00F209B7">
        <w:t xml:space="preserve"> in 2015/6, down from </w:t>
      </w:r>
      <w:r w:rsidR="00054B68">
        <w:t>18 days reported for</w:t>
      </w:r>
      <w:r w:rsidR="004C05ED" w:rsidRPr="00F209B7">
        <w:t xml:space="preserve"> four years earlier.</w:t>
      </w:r>
      <w:r w:rsidRPr="00F209B7">
        <w:t xml:space="preserve"> </w:t>
      </w:r>
    </w:p>
    <w:p w14:paraId="5A3A17D3" w14:textId="77777777" w:rsidR="004C05ED" w:rsidRPr="00F209B7" w:rsidRDefault="004C05ED" w:rsidP="00D66738">
      <w:pPr>
        <w:jc w:val="both"/>
      </w:pPr>
      <w:r w:rsidRPr="00F209B7">
        <w:t xml:space="preserve">Upon registration, a co-operative must appoint an auditor unless an exemption has been obtained.  Section 55 of the Cooperative Act provides that the registrar may exempt a co-operative from compliance to the audit if: </w:t>
      </w:r>
    </w:p>
    <w:p w14:paraId="01B0E015" w14:textId="77777777" w:rsidR="004C05ED" w:rsidRPr="00F209B7" w:rsidRDefault="004C05ED" w:rsidP="00D66738">
      <w:pPr>
        <w:pStyle w:val="ListParagraph"/>
        <w:numPr>
          <w:ilvl w:val="0"/>
          <w:numId w:val="31"/>
        </w:numPr>
        <w:jc w:val="both"/>
      </w:pPr>
      <w:r w:rsidRPr="00F209B7">
        <w:t xml:space="preserve">the costs of an annual audit would materially affect the financial sustainability of the co-operative; </w:t>
      </w:r>
    </w:p>
    <w:p w14:paraId="799144B7" w14:textId="77777777" w:rsidR="004C05ED" w:rsidRPr="00F209B7" w:rsidRDefault="004C05ED" w:rsidP="00D66738">
      <w:pPr>
        <w:pStyle w:val="ListParagraph"/>
        <w:numPr>
          <w:ilvl w:val="0"/>
          <w:numId w:val="31"/>
        </w:numPr>
        <w:jc w:val="both"/>
      </w:pPr>
      <w:r w:rsidRPr="00F209B7">
        <w:t>the co-operative has maintained and is able to prepare annual financial records; and</w:t>
      </w:r>
    </w:p>
    <w:p w14:paraId="55061E70" w14:textId="77777777" w:rsidR="004C05ED" w:rsidRPr="00F209B7" w:rsidRDefault="004C05ED" w:rsidP="00D66738">
      <w:pPr>
        <w:pStyle w:val="ListParagraph"/>
        <w:numPr>
          <w:ilvl w:val="0"/>
          <w:numId w:val="31"/>
        </w:numPr>
        <w:jc w:val="both"/>
      </w:pPr>
      <w:r w:rsidRPr="00F209B7">
        <w:t>there is some assurance that the interests of members will be adequately protected in regard to the size and kind of co-operative.</w:t>
      </w:r>
    </w:p>
    <w:p w14:paraId="66CA8620" w14:textId="77777777" w:rsidR="00E41438" w:rsidRPr="00F209B7" w:rsidRDefault="004C05ED" w:rsidP="00D66738">
      <w:pPr>
        <w:jc w:val="both"/>
      </w:pPr>
      <w:r w:rsidRPr="00F209B7">
        <w:lastRenderedPageBreak/>
        <w:t xml:space="preserve">In practice, the Act has been interpreted to mean that virtually every registered co-operative must provide audited statements to the CIPC. </w:t>
      </w:r>
    </w:p>
    <w:p w14:paraId="028878DB" w14:textId="77777777" w:rsidR="00023D85" w:rsidRPr="00F209B7" w:rsidRDefault="00023D85" w:rsidP="00D66738">
      <w:pPr>
        <w:jc w:val="both"/>
      </w:pPr>
      <w:r w:rsidRPr="00F209B7">
        <w:t xml:space="preserve">In terms of the Co-operatives Act, a registered co-operative must </w:t>
      </w:r>
      <w:r w:rsidR="00167650" w:rsidRPr="00F209B7">
        <w:t xml:space="preserve">also </w:t>
      </w:r>
      <w:r w:rsidRPr="00F209B7">
        <w:t>keep the following at its offices (CIPC, 2016c):</w:t>
      </w:r>
    </w:p>
    <w:p w14:paraId="48912D5E" w14:textId="77777777" w:rsidR="00023D85" w:rsidRPr="00F209B7" w:rsidRDefault="00023D85" w:rsidP="00D66738">
      <w:pPr>
        <w:pStyle w:val="ListParagraph"/>
        <w:numPr>
          <w:ilvl w:val="0"/>
          <w:numId w:val="28"/>
        </w:numPr>
        <w:jc w:val="both"/>
      </w:pPr>
      <w:r w:rsidRPr="00F209B7">
        <w:t>Its Constitution, including any amendments thereto.</w:t>
      </w:r>
    </w:p>
    <w:p w14:paraId="048657C1" w14:textId="77777777" w:rsidR="00023D85" w:rsidRPr="00F209B7" w:rsidRDefault="00023D85" w:rsidP="00D66738">
      <w:pPr>
        <w:pStyle w:val="ListParagraph"/>
        <w:numPr>
          <w:ilvl w:val="0"/>
          <w:numId w:val="28"/>
        </w:numPr>
        <w:jc w:val="both"/>
      </w:pPr>
      <w:r w:rsidRPr="00F209B7">
        <w:t>The minutes of General Meetings in a Minute Book.</w:t>
      </w:r>
    </w:p>
    <w:p w14:paraId="30E1411C" w14:textId="77777777" w:rsidR="00023D85" w:rsidRPr="00F209B7" w:rsidRDefault="00023D85" w:rsidP="00D66738">
      <w:pPr>
        <w:pStyle w:val="ListParagraph"/>
        <w:numPr>
          <w:ilvl w:val="0"/>
          <w:numId w:val="28"/>
        </w:numPr>
        <w:jc w:val="both"/>
      </w:pPr>
      <w:r w:rsidRPr="00F209B7">
        <w:t>The minutes of meetings of the Board of Directors in a Minute book.</w:t>
      </w:r>
    </w:p>
    <w:p w14:paraId="4C8B9947" w14:textId="77777777" w:rsidR="00023D85" w:rsidRPr="00F209B7" w:rsidRDefault="00023D85" w:rsidP="00D66738">
      <w:pPr>
        <w:pStyle w:val="ListParagraph"/>
        <w:numPr>
          <w:ilvl w:val="0"/>
          <w:numId w:val="28"/>
        </w:numPr>
        <w:jc w:val="both"/>
      </w:pPr>
      <w:r w:rsidRPr="00F209B7">
        <w:t>A List of Members / Register of Members setting out:</w:t>
      </w:r>
    </w:p>
    <w:p w14:paraId="228404EC" w14:textId="77777777" w:rsidR="00023D85" w:rsidRPr="00F209B7" w:rsidRDefault="00023D85" w:rsidP="00D66738">
      <w:pPr>
        <w:pStyle w:val="ListParagraph"/>
        <w:numPr>
          <w:ilvl w:val="1"/>
          <w:numId w:val="28"/>
        </w:numPr>
        <w:jc w:val="both"/>
      </w:pPr>
      <w:r w:rsidRPr="00F209B7">
        <w:t>the name and address of each member.</w:t>
      </w:r>
    </w:p>
    <w:p w14:paraId="3DBD9A31" w14:textId="77777777" w:rsidR="00023D85" w:rsidRPr="00F209B7" w:rsidRDefault="00023D85" w:rsidP="00D66738">
      <w:pPr>
        <w:pStyle w:val="ListParagraph"/>
        <w:numPr>
          <w:ilvl w:val="1"/>
          <w:numId w:val="28"/>
        </w:numPr>
        <w:jc w:val="both"/>
      </w:pPr>
      <w:r w:rsidRPr="00F209B7">
        <w:t>the date on which each member became a member.</w:t>
      </w:r>
    </w:p>
    <w:p w14:paraId="2DD11614" w14:textId="77777777" w:rsidR="00023D85" w:rsidRPr="00F209B7" w:rsidRDefault="00023D85" w:rsidP="00D66738">
      <w:pPr>
        <w:pStyle w:val="ListParagraph"/>
        <w:numPr>
          <w:ilvl w:val="1"/>
          <w:numId w:val="28"/>
        </w:numPr>
        <w:jc w:val="both"/>
      </w:pPr>
      <w:r w:rsidRPr="00F209B7">
        <w:t>if applicable, the date on which a person’s membership was terminated.</w:t>
      </w:r>
    </w:p>
    <w:p w14:paraId="4948D3A8" w14:textId="77777777" w:rsidR="00023D85" w:rsidRPr="00F209B7" w:rsidRDefault="00023D85" w:rsidP="00D66738">
      <w:pPr>
        <w:pStyle w:val="ListParagraph"/>
        <w:numPr>
          <w:ilvl w:val="0"/>
          <w:numId w:val="28"/>
        </w:numPr>
        <w:jc w:val="both"/>
      </w:pPr>
      <w:r w:rsidRPr="00F209B7">
        <w:t>The amount of any membership fees paid, the number of membership shares owned and the number and amount of member loans.</w:t>
      </w:r>
    </w:p>
    <w:p w14:paraId="09ECBE6F" w14:textId="77777777" w:rsidR="00023D85" w:rsidRPr="00F209B7" w:rsidRDefault="00023D85" w:rsidP="00D66738">
      <w:pPr>
        <w:pStyle w:val="ListParagraph"/>
        <w:numPr>
          <w:ilvl w:val="0"/>
          <w:numId w:val="28"/>
        </w:numPr>
        <w:jc w:val="both"/>
      </w:pPr>
      <w:r w:rsidRPr="00F209B7">
        <w:t>A Register of Directors setting out:</w:t>
      </w:r>
    </w:p>
    <w:p w14:paraId="5A52591A" w14:textId="77777777" w:rsidR="00023D85" w:rsidRPr="00F209B7" w:rsidRDefault="00023D85" w:rsidP="00D66738">
      <w:pPr>
        <w:pStyle w:val="ListParagraph"/>
        <w:numPr>
          <w:ilvl w:val="1"/>
          <w:numId w:val="28"/>
        </w:numPr>
        <w:jc w:val="both"/>
      </w:pPr>
      <w:r w:rsidRPr="00F209B7">
        <w:t>the name, address and identity number of each director, including former directors.</w:t>
      </w:r>
    </w:p>
    <w:p w14:paraId="24311DCD" w14:textId="77777777" w:rsidR="00023D85" w:rsidRPr="00F209B7" w:rsidRDefault="00023D85" w:rsidP="00D66738">
      <w:pPr>
        <w:pStyle w:val="ListParagraph"/>
        <w:numPr>
          <w:ilvl w:val="1"/>
          <w:numId w:val="28"/>
        </w:numPr>
        <w:jc w:val="both"/>
      </w:pPr>
      <w:r w:rsidRPr="00F209B7">
        <w:t>the date on which such directors became or ceased to be directors.</w:t>
      </w:r>
    </w:p>
    <w:p w14:paraId="0B5115C5" w14:textId="77777777" w:rsidR="00023D85" w:rsidRPr="00F209B7" w:rsidRDefault="00023D85" w:rsidP="00D66738">
      <w:pPr>
        <w:pStyle w:val="ListParagraph"/>
        <w:numPr>
          <w:ilvl w:val="1"/>
          <w:numId w:val="28"/>
        </w:numPr>
        <w:jc w:val="both"/>
      </w:pPr>
      <w:r w:rsidRPr="00F209B7">
        <w:t>the name and address of any other co-operative, company or close corporation where both present and former directors are, or were, directors or members.</w:t>
      </w:r>
    </w:p>
    <w:p w14:paraId="40BCE74E" w14:textId="77777777" w:rsidR="00023D85" w:rsidRPr="00F209B7" w:rsidRDefault="00023D85" w:rsidP="00D66738">
      <w:pPr>
        <w:pStyle w:val="ListParagraph"/>
        <w:numPr>
          <w:ilvl w:val="0"/>
          <w:numId w:val="28"/>
        </w:numPr>
        <w:jc w:val="both"/>
      </w:pPr>
      <w:r w:rsidRPr="00F209B7">
        <w:t>Adequate Accounting Records, including records reflecting the transactions between each member and the co-operative for the purpose of calculating the patronage proportion.</w:t>
      </w:r>
    </w:p>
    <w:p w14:paraId="2A0272C7" w14:textId="77777777" w:rsidR="00023D85" w:rsidRPr="00F209B7" w:rsidRDefault="00023D85" w:rsidP="00D66738">
      <w:pPr>
        <w:jc w:val="both"/>
      </w:pPr>
      <w:r w:rsidRPr="00F209B7">
        <w:t xml:space="preserve">A co-operative must hold its first annual general meeting within 18 months of its registration. It must hold subsequent annual general meetings within six months after the end of the preceding financial year. </w:t>
      </w:r>
    </w:p>
    <w:p w14:paraId="3AFA1529" w14:textId="77777777" w:rsidR="00E41438" w:rsidRPr="00F209B7" w:rsidRDefault="00E41438" w:rsidP="00D66738">
      <w:pPr>
        <w:pStyle w:val="Heading3"/>
        <w:numPr>
          <w:ilvl w:val="2"/>
          <w:numId w:val="130"/>
        </w:numPr>
        <w:ind w:left="0" w:firstLine="0"/>
        <w:jc w:val="both"/>
      </w:pPr>
      <w:bookmarkStart w:id="622" w:name="_Toc479843916"/>
      <w:bookmarkStart w:id="623" w:name="_Toc479844540"/>
      <w:bookmarkStart w:id="624" w:name="_Toc479940867"/>
      <w:r w:rsidRPr="00F209B7">
        <w:t xml:space="preserve">Assessment of costs </w:t>
      </w:r>
      <w:r w:rsidR="00D440B0" w:rsidRPr="00F209B7">
        <w:t>and benefits for</w:t>
      </w:r>
      <w:r w:rsidRPr="00F209B7">
        <w:t xml:space="preserve"> small enterprises</w:t>
      </w:r>
      <w:bookmarkEnd w:id="622"/>
      <w:bookmarkEnd w:id="623"/>
      <w:bookmarkEnd w:id="624"/>
    </w:p>
    <w:p w14:paraId="270A89B5" w14:textId="77777777" w:rsidR="00D440B0" w:rsidRPr="00F209B7" w:rsidRDefault="00DB5580" w:rsidP="00D66738">
      <w:pPr>
        <w:jc w:val="both"/>
      </w:pPr>
      <w:r w:rsidRPr="00F209B7">
        <w:t xml:space="preserve">This section first assesses the costs and benefits of registration for companies and co-operatives, and then the processes around Annual Returns. </w:t>
      </w:r>
    </w:p>
    <w:p w14:paraId="5A51A6FD" w14:textId="762766D9" w:rsidR="00D440B0" w:rsidRPr="000468A4" w:rsidRDefault="00D440B0" w:rsidP="00D66738">
      <w:pPr>
        <w:pStyle w:val="Caption"/>
        <w:jc w:val="both"/>
      </w:pPr>
      <w:bookmarkStart w:id="625" w:name="_Ref469579502"/>
      <w:bookmarkStart w:id="626" w:name="_Toc469410594"/>
      <w:bookmarkStart w:id="627" w:name="_Toc469411187"/>
      <w:bookmarkStart w:id="628" w:name="_Toc469411505"/>
      <w:bookmarkStart w:id="629" w:name="_Toc469485013"/>
      <w:bookmarkStart w:id="630" w:name="_Toc479940964"/>
      <w:r w:rsidRPr="000468A4">
        <w:t xml:space="preserve">Table </w:t>
      </w:r>
      <w:fldSimple w:instr=" SEQ Table \* ARABIC ">
        <w:r w:rsidR="005062E7">
          <w:rPr>
            <w:noProof/>
          </w:rPr>
          <w:t>7</w:t>
        </w:r>
      </w:fldSimple>
      <w:bookmarkEnd w:id="625"/>
      <w:r w:rsidR="00054B68">
        <w:rPr>
          <w:noProof/>
        </w:rPr>
        <w:t>.</w:t>
      </w:r>
      <w:r w:rsidRPr="000468A4">
        <w:t xml:space="preserve"> Summary of administrative and compliance costs for a company</w:t>
      </w:r>
      <w:bookmarkEnd w:id="626"/>
      <w:bookmarkEnd w:id="627"/>
      <w:bookmarkEnd w:id="628"/>
      <w:bookmarkEnd w:id="629"/>
      <w:bookmarkEnd w:id="630"/>
    </w:p>
    <w:tbl>
      <w:tblPr>
        <w:tblStyle w:val="TableGrid"/>
        <w:tblW w:w="5000" w:type="pct"/>
        <w:tblLayout w:type="fixed"/>
        <w:tblLook w:val="04A0" w:firstRow="1" w:lastRow="0" w:firstColumn="1" w:lastColumn="0" w:noHBand="0" w:noVBand="1"/>
      </w:tblPr>
      <w:tblGrid>
        <w:gridCol w:w="1242"/>
        <w:gridCol w:w="3693"/>
        <w:gridCol w:w="4307"/>
      </w:tblGrid>
      <w:tr w:rsidR="00906CCD" w:rsidRPr="00F209B7" w14:paraId="77D70F8E" w14:textId="77777777" w:rsidTr="00906CCD">
        <w:trPr>
          <w:cantSplit/>
          <w:tblHeader/>
        </w:trPr>
        <w:tc>
          <w:tcPr>
            <w:tcW w:w="672" w:type="pct"/>
          </w:tcPr>
          <w:p w14:paraId="098027A2" w14:textId="77777777" w:rsidR="00D440B0" w:rsidRPr="00F209B7" w:rsidRDefault="00D440B0" w:rsidP="00D66738">
            <w:pPr>
              <w:pStyle w:val="charts"/>
              <w:keepNext w:val="0"/>
              <w:jc w:val="both"/>
              <w:rPr>
                <w:b/>
                <w:sz w:val="20"/>
              </w:rPr>
            </w:pPr>
            <w:r w:rsidRPr="00F209B7">
              <w:rPr>
                <w:b/>
                <w:sz w:val="20"/>
              </w:rPr>
              <w:t>Company</w:t>
            </w:r>
          </w:p>
        </w:tc>
        <w:tc>
          <w:tcPr>
            <w:tcW w:w="1998" w:type="pct"/>
          </w:tcPr>
          <w:p w14:paraId="147D1EA9" w14:textId="77777777" w:rsidR="00D440B0" w:rsidRPr="00F209B7" w:rsidRDefault="00D440B0" w:rsidP="00D66738">
            <w:pPr>
              <w:pStyle w:val="charts"/>
              <w:keepNext w:val="0"/>
              <w:jc w:val="both"/>
              <w:rPr>
                <w:b/>
                <w:sz w:val="20"/>
              </w:rPr>
            </w:pPr>
            <w:r w:rsidRPr="00F209B7">
              <w:rPr>
                <w:b/>
                <w:sz w:val="20"/>
              </w:rPr>
              <w:t xml:space="preserve">Private companies “Pty Ltd” </w:t>
            </w:r>
          </w:p>
        </w:tc>
        <w:tc>
          <w:tcPr>
            <w:tcW w:w="2330" w:type="pct"/>
          </w:tcPr>
          <w:p w14:paraId="1F0E04B3" w14:textId="77777777" w:rsidR="00D440B0" w:rsidRPr="00F209B7" w:rsidRDefault="00D440B0" w:rsidP="00D66738">
            <w:pPr>
              <w:pStyle w:val="charts"/>
              <w:keepNext w:val="0"/>
              <w:jc w:val="both"/>
              <w:rPr>
                <w:b/>
                <w:sz w:val="20"/>
              </w:rPr>
            </w:pPr>
            <w:r w:rsidRPr="00F209B7">
              <w:rPr>
                <w:b/>
                <w:sz w:val="20"/>
              </w:rPr>
              <w:t>Co-operatives</w:t>
            </w:r>
          </w:p>
        </w:tc>
      </w:tr>
      <w:tr w:rsidR="00906CCD" w:rsidRPr="00F209B7" w14:paraId="1BFB9B4A" w14:textId="77777777" w:rsidTr="00906CCD">
        <w:trPr>
          <w:cantSplit/>
          <w:trHeight w:val="599"/>
        </w:trPr>
        <w:tc>
          <w:tcPr>
            <w:tcW w:w="672" w:type="pct"/>
          </w:tcPr>
          <w:p w14:paraId="107CB433" w14:textId="77777777" w:rsidR="00D440B0" w:rsidRPr="00F209B7" w:rsidRDefault="00D440B0" w:rsidP="00D66738">
            <w:pPr>
              <w:pStyle w:val="charts"/>
              <w:keepNext w:val="0"/>
              <w:jc w:val="both"/>
              <w:rPr>
                <w:sz w:val="20"/>
              </w:rPr>
            </w:pPr>
            <w:r w:rsidRPr="00F209B7">
              <w:rPr>
                <w:sz w:val="20"/>
              </w:rPr>
              <w:t>Registration</w:t>
            </w:r>
          </w:p>
        </w:tc>
        <w:tc>
          <w:tcPr>
            <w:tcW w:w="1998" w:type="pct"/>
          </w:tcPr>
          <w:p w14:paraId="1B19B483" w14:textId="77777777" w:rsidR="00D440B0" w:rsidRPr="00F209B7" w:rsidRDefault="00D440B0" w:rsidP="00D66738">
            <w:pPr>
              <w:pStyle w:val="charts"/>
              <w:keepNext w:val="0"/>
              <w:jc w:val="both"/>
              <w:rPr>
                <w:sz w:val="20"/>
              </w:rPr>
            </w:pPr>
            <w:r w:rsidRPr="00F209B7">
              <w:rPr>
                <w:sz w:val="20"/>
              </w:rPr>
              <w:t xml:space="preserve">Notice of Incorporation </w:t>
            </w:r>
          </w:p>
          <w:p w14:paraId="442ED0F8" w14:textId="77777777" w:rsidR="00D440B0" w:rsidRPr="00F209B7" w:rsidRDefault="00D440B0" w:rsidP="00D66738">
            <w:pPr>
              <w:pStyle w:val="charts"/>
              <w:keepNext w:val="0"/>
              <w:jc w:val="both"/>
              <w:rPr>
                <w:sz w:val="20"/>
              </w:rPr>
            </w:pPr>
            <w:r w:rsidRPr="00F209B7">
              <w:rPr>
                <w:sz w:val="20"/>
              </w:rPr>
              <w:t>Memorandum of Incorporation</w:t>
            </w:r>
          </w:p>
        </w:tc>
        <w:tc>
          <w:tcPr>
            <w:tcW w:w="2330" w:type="pct"/>
          </w:tcPr>
          <w:p w14:paraId="53138998" w14:textId="77777777" w:rsidR="00D440B0" w:rsidRPr="00F209B7" w:rsidRDefault="00D440B0" w:rsidP="00D66738">
            <w:pPr>
              <w:pStyle w:val="charts"/>
              <w:keepNext w:val="0"/>
              <w:jc w:val="both"/>
              <w:rPr>
                <w:sz w:val="20"/>
              </w:rPr>
            </w:pPr>
            <w:r w:rsidRPr="00F209B7">
              <w:rPr>
                <w:sz w:val="20"/>
              </w:rPr>
              <w:t>Constitution of the co-operative</w:t>
            </w:r>
          </w:p>
          <w:p w14:paraId="2F925B58" w14:textId="77777777" w:rsidR="00D440B0" w:rsidRPr="00F209B7" w:rsidRDefault="00D440B0" w:rsidP="00D66738">
            <w:pPr>
              <w:pStyle w:val="charts"/>
              <w:keepNext w:val="0"/>
              <w:jc w:val="both"/>
              <w:rPr>
                <w:sz w:val="20"/>
              </w:rPr>
            </w:pPr>
            <w:r w:rsidRPr="00F209B7">
              <w:rPr>
                <w:sz w:val="20"/>
              </w:rPr>
              <w:t>A list of the founder members</w:t>
            </w:r>
          </w:p>
          <w:p w14:paraId="1CC7119E" w14:textId="77777777" w:rsidR="00D440B0" w:rsidRPr="00F209B7" w:rsidRDefault="00D440B0" w:rsidP="00D66738">
            <w:pPr>
              <w:pStyle w:val="charts"/>
              <w:keepNext w:val="0"/>
              <w:jc w:val="both"/>
              <w:rPr>
                <w:sz w:val="20"/>
              </w:rPr>
            </w:pPr>
            <w:r w:rsidRPr="00F209B7">
              <w:rPr>
                <w:sz w:val="20"/>
              </w:rPr>
              <w:t>A list of the directors</w:t>
            </w:r>
          </w:p>
        </w:tc>
      </w:tr>
      <w:tr w:rsidR="00906CCD" w:rsidRPr="00F209B7" w14:paraId="7D3ED99F" w14:textId="77777777" w:rsidTr="00906CCD">
        <w:trPr>
          <w:cantSplit/>
        </w:trPr>
        <w:tc>
          <w:tcPr>
            <w:tcW w:w="672" w:type="pct"/>
          </w:tcPr>
          <w:p w14:paraId="1E8124E6" w14:textId="77777777" w:rsidR="00D440B0" w:rsidRPr="00F209B7" w:rsidRDefault="00D440B0" w:rsidP="00D66738">
            <w:pPr>
              <w:pStyle w:val="charts"/>
              <w:keepNext w:val="0"/>
              <w:jc w:val="both"/>
              <w:rPr>
                <w:sz w:val="20"/>
              </w:rPr>
            </w:pPr>
            <w:r w:rsidRPr="00F209B7">
              <w:rPr>
                <w:sz w:val="20"/>
              </w:rPr>
              <w:t>Annual Returns</w:t>
            </w:r>
          </w:p>
        </w:tc>
        <w:tc>
          <w:tcPr>
            <w:tcW w:w="1998" w:type="pct"/>
          </w:tcPr>
          <w:p w14:paraId="5B715C2D" w14:textId="77777777" w:rsidR="00D440B0" w:rsidRPr="00F209B7" w:rsidRDefault="00D440B0" w:rsidP="00D66738">
            <w:pPr>
              <w:pStyle w:val="charts"/>
              <w:keepNext w:val="0"/>
              <w:jc w:val="both"/>
              <w:rPr>
                <w:sz w:val="20"/>
              </w:rPr>
            </w:pPr>
            <w:r w:rsidRPr="00F209B7">
              <w:rPr>
                <w:sz w:val="20"/>
              </w:rPr>
              <w:t>Annual return must be filed within 30 business days after the anniversary of the date of incorporation.</w:t>
            </w:r>
          </w:p>
        </w:tc>
        <w:tc>
          <w:tcPr>
            <w:tcW w:w="2330" w:type="pct"/>
          </w:tcPr>
          <w:p w14:paraId="26EA1546" w14:textId="77777777" w:rsidR="00D440B0" w:rsidRPr="00F209B7" w:rsidRDefault="00D440B0" w:rsidP="00D66738">
            <w:pPr>
              <w:pStyle w:val="charts"/>
              <w:keepNext w:val="0"/>
              <w:jc w:val="both"/>
              <w:rPr>
                <w:sz w:val="20"/>
              </w:rPr>
            </w:pPr>
            <w:r w:rsidRPr="00F209B7">
              <w:rPr>
                <w:sz w:val="20"/>
              </w:rPr>
              <w:t>Auditor’s report and Annual Financial Statements (AFS)</w:t>
            </w:r>
          </w:p>
        </w:tc>
      </w:tr>
      <w:tr w:rsidR="00906CCD" w:rsidRPr="00F209B7" w14:paraId="3111F5E0" w14:textId="77777777" w:rsidTr="00906CCD">
        <w:trPr>
          <w:cantSplit/>
        </w:trPr>
        <w:tc>
          <w:tcPr>
            <w:tcW w:w="672" w:type="pct"/>
          </w:tcPr>
          <w:p w14:paraId="6F2F95A1" w14:textId="77777777" w:rsidR="00D440B0" w:rsidRPr="00F209B7" w:rsidRDefault="00D440B0" w:rsidP="00D66738">
            <w:pPr>
              <w:pStyle w:val="charts"/>
              <w:keepNext w:val="0"/>
              <w:jc w:val="both"/>
              <w:rPr>
                <w:sz w:val="20"/>
              </w:rPr>
            </w:pPr>
            <w:r w:rsidRPr="00F209B7">
              <w:rPr>
                <w:sz w:val="20"/>
              </w:rPr>
              <w:lastRenderedPageBreak/>
              <w:t>Annual financial Statements</w:t>
            </w:r>
          </w:p>
        </w:tc>
        <w:tc>
          <w:tcPr>
            <w:tcW w:w="1998" w:type="pct"/>
          </w:tcPr>
          <w:p w14:paraId="0F8C3ED9" w14:textId="77777777" w:rsidR="00D440B0" w:rsidRPr="00F209B7" w:rsidRDefault="00D440B0" w:rsidP="00D66738">
            <w:pPr>
              <w:pStyle w:val="charts"/>
              <w:keepNext w:val="0"/>
              <w:jc w:val="both"/>
              <w:rPr>
                <w:sz w:val="20"/>
              </w:rPr>
            </w:pPr>
            <w:r w:rsidRPr="00F209B7">
              <w:rPr>
                <w:sz w:val="20"/>
              </w:rPr>
              <w:t>Financial statements must be prepared within six months of the financial year end.</w:t>
            </w:r>
          </w:p>
        </w:tc>
        <w:tc>
          <w:tcPr>
            <w:tcW w:w="2330" w:type="pct"/>
          </w:tcPr>
          <w:p w14:paraId="1253B9F7" w14:textId="77777777" w:rsidR="00D440B0" w:rsidRPr="00F209B7" w:rsidRDefault="00D440B0" w:rsidP="00D66738">
            <w:pPr>
              <w:pStyle w:val="charts"/>
              <w:keepNext w:val="0"/>
              <w:jc w:val="both"/>
              <w:rPr>
                <w:sz w:val="20"/>
              </w:rPr>
            </w:pPr>
            <w:r w:rsidRPr="00F209B7">
              <w:rPr>
                <w:sz w:val="20"/>
              </w:rPr>
              <w:t>The auditor’s report and the AFS must be approved at the Annual General Meeting (AGM) and signed by the chairperson of that meeting. The Board of Directors must send a copy of the AFS to the CIPC within 15 days after it has been approved and signed.</w:t>
            </w:r>
          </w:p>
        </w:tc>
      </w:tr>
      <w:tr w:rsidR="00906CCD" w:rsidRPr="00F209B7" w14:paraId="562BFFA4" w14:textId="77777777" w:rsidTr="00906CCD">
        <w:trPr>
          <w:cantSplit/>
        </w:trPr>
        <w:tc>
          <w:tcPr>
            <w:tcW w:w="672" w:type="pct"/>
          </w:tcPr>
          <w:p w14:paraId="19124E3F" w14:textId="77777777" w:rsidR="00D440B0" w:rsidRPr="00F209B7" w:rsidRDefault="00D440B0" w:rsidP="00D66738">
            <w:pPr>
              <w:pStyle w:val="charts"/>
              <w:keepNext w:val="0"/>
              <w:jc w:val="both"/>
              <w:rPr>
                <w:sz w:val="20"/>
              </w:rPr>
            </w:pPr>
            <w:r w:rsidRPr="00F209B7">
              <w:rPr>
                <w:sz w:val="20"/>
              </w:rPr>
              <w:t>Is an audit necessary?</w:t>
            </w:r>
          </w:p>
        </w:tc>
        <w:tc>
          <w:tcPr>
            <w:tcW w:w="1998" w:type="pct"/>
          </w:tcPr>
          <w:p w14:paraId="6E507F61" w14:textId="0D8E449F" w:rsidR="00D440B0" w:rsidRPr="00F209B7" w:rsidRDefault="00D440B0" w:rsidP="00D66738">
            <w:pPr>
              <w:pStyle w:val="charts"/>
              <w:keepNext w:val="0"/>
              <w:jc w:val="both"/>
              <w:rPr>
                <w:sz w:val="20"/>
              </w:rPr>
            </w:pPr>
            <w:r w:rsidRPr="00F209B7">
              <w:rPr>
                <w:sz w:val="20"/>
              </w:rPr>
              <w:t>Yes, if the company holds assets for another party in excess of R5 million; or the public interest score</w:t>
            </w:r>
            <w:r w:rsidRPr="00F209B7">
              <w:rPr>
                <w:sz w:val="20"/>
                <w:vertAlign w:val="superscript"/>
              </w:rPr>
              <w:footnoteReference w:id="10"/>
            </w:r>
            <w:r w:rsidRPr="00F209B7">
              <w:rPr>
                <w:sz w:val="20"/>
              </w:rPr>
              <w:t xml:space="preserve"> is 350 or more; or the public interest score is 100 or more and the annual financial statements are internally compiled; or it is required by the </w:t>
            </w:r>
            <w:r w:rsidR="00292065">
              <w:rPr>
                <w:sz w:val="20"/>
              </w:rPr>
              <w:t>Memorandum of Incorporation</w:t>
            </w:r>
            <w:r w:rsidRPr="00F209B7">
              <w:rPr>
                <w:sz w:val="20"/>
              </w:rPr>
              <w:t xml:space="preserve"> or by a shareholders’ or director’s resolution or in terms of an agreement.</w:t>
            </w:r>
          </w:p>
        </w:tc>
        <w:tc>
          <w:tcPr>
            <w:tcW w:w="2330" w:type="pct"/>
          </w:tcPr>
          <w:p w14:paraId="2133AACB" w14:textId="77777777" w:rsidR="00D440B0" w:rsidRPr="00F209B7" w:rsidRDefault="00D440B0" w:rsidP="00D66738">
            <w:pPr>
              <w:pStyle w:val="charts"/>
              <w:keepNext w:val="0"/>
              <w:jc w:val="both"/>
              <w:rPr>
                <w:sz w:val="20"/>
              </w:rPr>
            </w:pPr>
            <w:r w:rsidRPr="00F209B7">
              <w:rPr>
                <w:sz w:val="20"/>
              </w:rPr>
              <w:t>An audit of the affairs of a co-operative must be conducted annually in respect of each financial year, unless the co-operative applies for a waiver because of the cost.</w:t>
            </w:r>
          </w:p>
        </w:tc>
      </w:tr>
      <w:tr w:rsidR="00906CCD" w:rsidRPr="00F209B7" w14:paraId="2B96B88D" w14:textId="77777777" w:rsidTr="00906CCD">
        <w:trPr>
          <w:cantSplit/>
        </w:trPr>
        <w:tc>
          <w:tcPr>
            <w:tcW w:w="672" w:type="pct"/>
          </w:tcPr>
          <w:p w14:paraId="70FB24DF" w14:textId="77777777" w:rsidR="00D440B0" w:rsidRPr="00F209B7" w:rsidRDefault="00D440B0" w:rsidP="00D66738">
            <w:pPr>
              <w:pStyle w:val="charts"/>
              <w:keepNext w:val="0"/>
              <w:jc w:val="both"/>
              <w:rPr>
                <w:sz w:val="20"/>
              </w:rPr>
            </w:pPr>
            <w:r w:rsidRPr="00F209B7">
              <w:rPr>
                <w:sz w:val="20"/>
              </w:rPr>
              <w:t>Is AGM Required?</w:t>
            </w:r>
          </w:p>
        </w:tc>
        <w:tc>
          <w:tcPr>
            <w:tcW w:w="1998" w:type="pct"/>
          </w:tcPr>
          <w:p w14:paraId="6DC2673C" w14:textId="4F855FB7" w:rsidR="00D440B0" w:rsidRPr="00F209B7" w:rsidRDefault="00D440B0" w:rsidP="00D66738">
            <w:pPr>
              <w:pStyle w:val="charts"/>
              <w:keepNext w:val="0"/>
              <w:jc w:val="both"/>
              <w:rPr>
                <w:sz w:val="20"/>
              </w:rPr>
            </w:pPr>
            <w:r w:rsidRPr="00F209B7">
              <w:rPr>
                <w:sz w:val="20"/>
              </w:rPr>
              <w:t xml:space="preserve">Only if specified in </w:t>
            </w:r>
            <w:r w:rsidR="00292065">
              <w:rPr>
                <w:sz w:val="20"/>
              </w:rPr>
              <w:t>Memorandum of Incorporation</w:t>
            </w:r>
          </w:p>
          <w:p w14:paraId="55FF5C1C" w14:textId="77777777" w:rsidR="00D440B0" w:rsidRPr="00F209B7" w:rsidRDefault="00D440B0" w:rsidP="00D66738">
            <w:pPr>
              <w:pStyle w:val="charts"/>
              <w:keepNext w:val="0"/>
              <w:jc w:val="both"/>
              <w:rPr>
                <w:sz w:val="20"/>
              </w:rPr>
            </w:pPr>
          </w:p>
        </w:tc>
        <w:tc>
          <w:tcPr>
            <w:tcW w:w="2330" w:type="pct"/>
          </w:tcPr>
          <w:p w14:paraId="407D8CFE" w14:textId="77777777" w:rsidR="00D440B0" w:rsidRPr="00F209B7" w:rsidRDefault="00D440B0" w:rsidP="00D66738">
            <w:pPr>
              <w:pStyle w:val="charts"/>
              <w:keepNext w:val="0"/>
              <w:jc w:val="both"/>
              <w:rPr>
                <w:sz w:val="20"/>
              </w:rPr>
            </w:pPr>
            <w:r w:rsidRPr="00F209B7">
              <w:rPr>
                <w:sz w:val="20"/>
              </w:rPr>
              <w:t>Yes, the annual general meeting must consider approval of the auditor’s report and financial statements</w:t>
            </w:r>
          </w:p>
        </w:tc>
      </w:tr>
      <w:tr w:rsidR="00906CCD" w:rsidRPr="00F209B7" w14:paraId="3A897196" w14:textId="77777777" w:rsidTr="00906CCD">
        <w:trPr>
          <w:cantSplit/>
        </w:trPr>
        <w:tc>
          <w:tcPr>
            <w:tcW w:w="672" w:type="pct"/>
          </w:tcPr>
          <w:p w14:paraId="5032CF9D" w14:textId="77777777" w:rsidR="00D440B0" w:rsidRPr="00F209B7" w:rsidRDefault="00D440B0" w:rsidP="00D66738">
            <w:pPr>
              <w:pStyle w:val="charts"/>
              <w:keepNext w:val="0"/>
              <w:jc w:val="both"/>
              <w:rPr>
                <w:sz w:val="20"/>
              </w:rPr>
            </w:pPr>
            <w:r w:rsidRPr="00F209B7">
              <w:rPr>
                <w:sz w:val="20"/>
              </w:rPr>
              <w:t>Minimum directors</w:t>
            </w:r>
          </w:p>
        </w:tc>
        <w:tc>
          <w:tcPr>
            <w:tcW w:w="1998" w:type="pct"/>
          </w:tcPr>
          <w:p w14:paraId="4853A46F" w14:textId="77777777" w:rsidR="00D440B0" w:rsidRPr="00F209B7" w:rsidRDefault="00D440B0" w:rsidP="00D66738">
            <w:pPr>
              <w:pStyle w:val="charts"/>
              <w:keepNext w:val="0"/>
              <w:jc w:val="both"/>
              <w:rPr>
                <w:sz w:val="20"/>
              </w:rPr>
            </w:pPr>
            <w:r w:rsidRPr="00F209B7">
              <w:rPr>
                <w:sz w:val="20"/>
              </w:rPr>
              <w:t>1</w:t>
            </w:r>
          </w:p>
        </w:tc>
        <w:tc>
          <w:tcPr>
            <w:tcW w:w="2330" w:type="pct"/>
          </w:tcPr>
          <w:p w14:paraId="4BD80D77" w14:textId="77777777" w:rsidR="00D440B0" w:rsidRPr="00F209B7" w:rsidRDefault="00D440B0" w:rsidP="00D66738">
            <w:pPr>
              <w:pStyle w:val="charts"/>
              <w:keepNext w:val="0"/>
              <w:jc w:val="both"/>
              <w:rPr>
                <w:sz w:val="20"/>
              </w:rPr>
            </w:pPr>
            <w:r w:rsidRPr="00F209B7">
              <w:rPr>
                <w:sz w:val="20"/>
              </w:rPr>
              <w:t>5</w:t>
            </w:r>
          </w:p>
        </w:tc>
      </w:tr>
      <w:tr w:rsidR="00906CCD" w:rsidRPr="00F209B7" w14:paraId="386C5B55" w14:textId="77777777" w:rsidTr="00906CCD">
        <w:trPr>
          <w:cantSplit/>
        </w:trPr>
        <w:tc>
          <w:tcPr>
            <w:tcW w:w="672" w:type="pct"/>
          </w:tcPr>
          <w:p w14:paraId="45D75BC9" w14:textId="77777777" w:rsidR="00D440B0" w:rsidRPr="00F209B7" w:rsidRDefault="00D440B0" w:rsidP="00D66738">
            <w:pPr>
              <w:pStyle w:val="charts"/>
              <w:keepNext w:val="0"/>
              <w:jc w:val="both"/>
              <w:rPr>
                <w:sz w:val="20"/>
              </w:rPr>
            </w:pPr>
            <w:r w:rsidRPr="00F209B7">
              <w:rPr>
                <w:sz w:val="20"/>
              </w:rPr>
              <w:t>Minimum members</w:t>
            </w:r>
          </w:p>
        </w:tc>
        <w:tc>
          <w:tcPr>
            <w:tcW w:w="1998" w:type="pct"/>
          </w:tcPr>
          <w:p w14:paraId="71E9151E" w14:textId="77777777" w:rsidR="00D440B0" w:rsidRPr="00F209B7" w:rsidRDefault="00D440B0" w:rsidP="00D66738">
            <w:pPr>
              <w:pStyle w:val="charts"/>
              <w:keepNext w:val="0"/>
              <w:jc w:val="both"/>
              <w:rPr>
                <w:sz w:val="20"/>
              </w:rPr>
            </w:pPr>
            <w:r w:rsidRPr="00F209B7">
              <w:rPr>
                <w:sz w:val="20"/>
              </w:rPr>
              <w:t>1</w:t>
            </w:r>
          </w:p>
        </w:tc>
        <w:tc>
          <w:tcPr>
            <w:tcW w:w="2330" w:type="pct"/>
          </w:tcPr>
          <w:p w14:paraId="15DC1DB5" w14:textId="77777777" w:rsidR="00D440B0" w:rsidRPr="00F209B7" w:rsidRDefault="00D440B0" w:rsidP="00D66738">
            <w:pPr>
              <w:pStyle w:val="charts"/>
              <w:keepNext w:val="0"/>
              <w:jc w:val="both"/>
              <w:rPr>
                <w:sz w:val="20"/>
              </w:rPr>
            </w:pPr>
            <w:r w:rsidRPr="00F209B7">
              <w:rPr>
                <w:sz w:val="20"/>
              </w:rPr>
              <w:t>5</w:t>
            </w:r>
          </w:p>
        </w:tc>
      </w:tr>
      <w:tr w:rsidR="00906CCD" w:rsidRPr="00F209B7" w14:paraId="273D3F71" w14:textId="77777777" w:rsidTr="00906CCD">
        <w:trPr>
          <w:cantSplit/>
        </w:trPr>
        <w:tc>
          <w:tcPr>
            <w:tcW w:w="672" w:type="pct"/>
          </w:tcPr>
          <w:p w14:paraId="2FF896A9" w14:textId="77777777" w:rsidR="00D440B0" w:rsidRPr="00F209B7" w:rsidRDefault="00D440B0" w:rsidP="00D66738">
            <w:pPr>
              <w:pStyle w:val="charts"/>
              <w:keepNext w:val="0"/>
              <w:jc w:val="both"/>
              <w:rPr>
                <w:sz w:val="20"/>
              </w:rPr>
            </w:pPr>
            <w:r w:rsidRPr="00F209B7">
              <w:rPr>
                <w:sz w:val="20"/>
              </w:rPr>
              <w:t>Keeping company records</w:t>
            </w:r>
          </w:p>
        </w:tc>
        <w:tc>
          <w:tcPr>
            <w:tcW w:w="1998" w:type="pct"/>
          </w:tcPr>
          <w:p w14:paraId="6EB88F82" w14:textId="77777777" w:rsidR="00D440B0" w:rsidRPr="00F209B7" w:rsidRDefault="00D440B0" w:rsidP="00D66738">
            <w:pPr>
              <w:pStyle w:val="charts"/>
              <w:keepNext w:val="0"/>
              <w:jc w:val="both"/>
              <w:rPr>
                <w:sz w:val="20"/>
              </w:rPr>
            </w:pPr>
            <w:r w:rsidRPr="00F209B7">
              <w:rPr>
                <w:sz w:val="20"/>
              </w:rPr>
              <w:t>Yes</w:t>
            </w:r>
          </w:p>
        </w:tc>
        <w:tc>
          <w:tcPr>
            <w:tcW w:w="2330" w:type="pct"/>
          </w:tcPr>
          <w:p w14:paraId="39665E52" w14:textId="77777777" w:rsidR="00D440B0" w:rsidRPr="00F209B7" w:rsidRDefault="00D440B0" w:rsidP="00D66738">
            <w:pPr>
              <w:pStyle w:val="charts"/>
              <w:keepNext w:val="0"/>
              <w:jc w:val="both"/>
              <w:rPr>
                <w:sz w:val="20"/>
              </w:rPr>
            </w:pPr>
            <w:r w:rsidRPr="00F209B7">
              <w:rPr>
                <w:sz w:val="20"/>
              </w:rPr>
              <w:t>Yes</w:t>
            </w:r>
          </w:p>
        </w:tc>
      </w:tr>
    </w:tbl>
    <w:p w14:paraId="73B788BF" w14:textId="77777777" w:rsidR="00D440B0" w:rsidRPr="00F209B7" w:rsidRDefault="00D440B0" w:rsidP="00D66738">
      <w:pPr>
        <w:pStyle w:val="source"/>
        <w:jc w:val="both"/>
      </w:pPr>
      <w:r w:rsidRPr="00F209B7">
        <w:rPr>
          <w:i/>
        </w:rPr>
        <w:t xml:space="preserve">Source: </w:t>
      </w:r>
      <w:r w:rsidRPr="00F209B7">
        <w:t>CIPC (2016) The Comp</w:t>
      </w:r>
      <w:r w:rsidRPr="00F209B7">
        <w:rPr>
          <w:rStyle w:val="sourceChar"/>
        </w:rPr>
        <w:t>a</w:t>
      </w:r>
      <w:r w:rsidRPr="00F209B7">
        <w:t>nies Act 2008 at a Glance</w:t>
      </w:r>
    </w:p>
    <w:p w14:paraId="6305F827" w14:textId="77777777" w:rsidR="00DB5580" w:rsidRPr="00F209B7" w:rsidRDefault="00DB5580" w:rsidP="00D66738">
      <w:pPr>
        <w:pStyle w:val="Heading4"/>
        <w:jc w:val="both"/>
      </w:pPr>
      <w:r w:rsidRPr="00F209B7">
        <w:t>Registratio</w:t>
      </w:r>
      <w:r w:rsidR="00167650" w:rsidRPr="00F209B7">
        <w:t>n of companies</w:t>
      </w:r>
    </w:p>
    <w:p w14:paraId="770DD83E" w14:textId="77777777" w:rsidR="00E41438" w:rsidRPr="00F209B7" w:rsidRDefault="003764B9" w:rsidP="00D66738">
      <w:pPr>
        <w:jc w:val="both"/>
      </w:pPr>
      <w:r w:rsidRPr="00F209B7">
        <w:t>A</w:t>
      </w:r>
      <w:r w:rsidR="00E41438" w:rsidRPr="00F209B7">
        <w:t xml:space="preserve">ssessment of registration processes and registration fees for companies </w:t>
      </w:r>
      <w:r w:rsidRPr="00F209B7">
        <w:t>indicates</w:t>
      </w:r>
      <w:r w:rsidR="00E41438" w:rsidRPr="00F209B7">
        <w:t xml:space="preserve"> that they do not pose a significant administrative burden on </w:t>
      </w:r>
      <w:r w:rsidR="00170B5A" w:rsidRPr="00F209B7">
        <w:t>small business</w:t>
      </w:r>
      <w:r w:rsidR="00DB5580" w:rsidRPr="00F209B7">
        <w:t>, while they bring substantial benefits</w:t>
      </w:r>
      <w:r w:rsidR="00E41438" w:rsidRPr="00F209B7">
        <w:t xml:space="preserve">. The registration costs of R125 are about 3% of informal employers’ monthly earnings and the accessibility of registration via </w:t>
      </w:r>
      <w:r w:rsidR="00906CCD" w:rsidRPr="00F209B7">
        <w:t xml:space="preserve">self-service terminals </w:t>
      </w:r>
      <w:r w:rsidR="00E41438" w:rsidRPr="00F209B7">
        <w:t xml:space="preserve">and banks makes it highly accessible for entrepreneurs from every part of the country. </w:t>
      </w:r>
      <w:r w:rsidR="00906CCD" w:rsidRPr="00F209B7">
        <w:t xml:space="preserve">In contrast to five years ago, turnaround time is quick. </w:t>
      </w:r>
    </w:p>
    <w:p w14:paraId="692DA7D3" w14:textId="77777777" w:rsidR="00E41438" w:rsidRPr="00F209B7" w:rsidRDefault="00E41438" w:rsidP="00D66738">
      <w:pPr>
        <w:jc w:val="both"/>
      </w:pPr>
      <w:r w:rsidRPr="00F209B7">
        <w:t>The ease of access is demonstrated by the fact that new company registrations have been on the increase despite poor macroeconomic conditions. The CIPC reports that 2016 was the highest number of new company registration since the establishment of the commission (CIPC, 2016b). The evidence suggests that digitisation has improved efficiency and access, given that 95% of the CIPC new company registrations were made online in 2016.</w:t>
      </w:r>
    </w:p>
    <w:p w14:paraId="178C39AC" w14:textId="1943A392" w:rsidR="00E41438" w:rsidRPr="00054B68" w:rsidRDefault="00054B68" w:rsidP="00D66738">
      <w:pPr>
        <w:pStyle w:val="Caption"/>
        <w:jc w:val="both"/>
        <w:rPr>
          <w:szCs w:val="24"/>
        </w:rPr>
      </w:pPr>
      <w:bookmarkStart w:id="631" w:name="_Ref479713451"/>
      <w:bookmarkStart w:id="632" w:name="_Toc479845229"/>
      <w:bookmarkStart w:id="633" w:name="_Toc479940954"/>
      <w:r w:rsidRPr="00054B68">
        <w:lastRenderedPageBreak/>
        <w:t xml:space="preserve">Figure </w:t>
      </w:r>
      <w:fldSimple w:instr=" SEQ Figure \* ARABIC ">
        <w:r w:rsidR="005062E7">
          <w:rPr>
            <w:noProof/>
          </w:rPr>
          <w:t>12</w:t>
        </w:r>
      </w:fldSimple>
      <w:bookmarkEnd w:id="631"/>
      <w:r w:rsidRPr="00054B68">
        <w:t xml:space="preserve">. </w:t>
      </w:r>
      <w:r w:rsidR="00906CCD" w:rsidRPr="00054B68">
        <w:rPr>
          <w:szCs w:val="24"/>
        </w:rPr>
        <w:t xml:space="preserve">CIPC registration statistics, </w:t>
      </w:r>
      <w:r w:rsidR="00E41438" w:rsidRPr="00054B68">
        <w:rPr>
          <w:szCs w:val="24"/>
        </w:rPr>
        <w:t xml:space="preserve">2008 </w:t>
      </w:r>
      <w:r w:rsidR="00906CCD" w:rsidRPr="00054B68">
        <w:rPr>
          <w:szCs w:val="24"/>
        </w:rPr>
        <w:t xml:space="preserve">to </w:t>
      </w:r>
      <w:r w:rsidR="00E41438" w:rsidRPr="00054B68">
        <w:rPr>
          <w:szCs w:val="24"/>
        </w:rPr>
        <w:t>2016</w:t>
      </w:r>
      <w:bookmarkEnd w:id="632"/>
      <w:bookmarkEnd w:id="633"/>
    </w:p>
    <w:p w14:paraId="798D4429" w14:textId="77777777" w:rsidR="00E41438" w:rsidRPr="00F209B7" w:rsidRDefault="00E41438" w:rsidP="00D66738">
      <w:pPr>
        <w:pStyle w:val="charts"/>
        <w:jc w:val="both"/>
        <w:rPr>
          <w:rFonts w:ascii="Calibri" w:eastAsia="Calibri" w:hAnsi="Calibri" w:cs="Times New Roman"/>
          <w:szCs w:val="24"/>
        </w:rPr>
      </w:pPr>
      <w:r w:rsidRPr="00F209B7">
        <w:rPr>
          <w:noProof/>
          <w:lang w:eastAsia="en-ZA"/>
        </w:rPr>
        <w:drawing>
          <wp:inline distT="0" distB="0" distL="0" distR="0" wp14:anchorId="2F8AF764" wp14:editId="7DED16F6">
            <wp:extent cx="5742071" cy="2524125"/>
            <wp:effectExtent l="19050" t="19050" r="1143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86591" cy="2543695"/>
                    </a:xfrm>
                    <a:prstGeom prst="rect">
                      <a:avLst/>
                    </a:prstGeom>
                    <a:noFill/>
                    <a:ln>
                      <a:solidFill>
                        <a:schemeClr val="tx1"/>
                      </a:solidFill>
                    </a:ln>
                  </pic:spPr>
                </pic:pic>
              </a:graphicData>
            </a:graphic>
          </wp:inline>
        </w:drawing>
      </w:r>
    </w:p>
    <w:p w14:paraId="3B7CE071" w14:textId="77777777" w:rsidR="00E41438" w:rsidRPr="00F209B7" w:rsidRDefault="00E41438" w:rsidP="00D66738">
      <w:pPr>
        <w:pStyle w:val="source"/>
        <w:jc w:val="both"/>
        <w:rPr>
          <w:szCs w:val="24"/>
        </w:rPr>
      </w:pPr>
      <w:r w:rsidRPr="00F209B7">
        <w:rPr>
          <w:i/>
        </w:rPr>
        <w:t xml:space="preserve">Source: </w:t>
      </w:r>
      <w:r w:rsidRPr="00F209B7">
        <w:t>CIPC (2016) CIPC Annual Report 2015/2016</w:t>
      </w:r>
    </w:p>
    <w:p w14:paraId="40BB1928" w14:textId="496381D0" w:rsidR="00906CCD" w:rsidRPr="00F209B7" w:rsidRDefault="00E41438" w:rsidP="00D66738">
      <w:pPr>
        <w:jc w:val="both"/>
      </w:pPr>
      <w:r w:rsidRPr="00F209B7">
        <w:t xml:space="preserve">Registration for cooperatives is more burdensome. Cooperatives are only registered </w:t>
      </w:r>
      <w:proofErr w:type="gramStart"/>
      <w:r w:rsidRPr="00F209B7">
        <w:t>manually,</w:t>
      </w:r>
      <w:proofErr w:type="gramEnd"/>
      <w:r w:rsidRPr="00F209B7">
        <w:t xml:space="preserve"> the cost is slightly higher at R215 per new registration and the turnaround time is </w:t>
      </w:r>
      <w:r w:rsidR="00054B68">
        <w:t xml:space="preserve">often </w:t>
      </w:r>
      <w:r w:rsidRPr="00F209B7">
        <w:t xml:space="preserve">longer. </w:t>
      </w:r>
    </w:p>
    <w:p w14:paraId="64C0DFA8" w14:textId="77777777" w:rsidR="00DB5580" w:rsidRPr="00A215BF" w:rsidRDefault="00DB5580" w:rsidP="00D66738">
      <w:pPr>
        <w:pStyle w:val="Heading4"/>
        <w:jc w:val="both"/>
      </w:pPr>
      <w:r w:rsidRPr="00A215BF">
        <w:t>Annual Returns</w:t>
      </w:r>
    </w:p>
    <w:p w14:paraId="56511ED9" w14:textId="77777777" w:rsidR="00DB5580" w:rsidRPr="00F209B7" w:rsidRDefault="00DB5580" w:rsidP="00D66738">
      <w:pPr>
        <w:jc w:val="both"/>
        <w:rPr>
          <w:rFonts w:ascii="Calibri" w:eastAsia="Calibri" w:hAnsi="Calibri" w:cs="Times New Roman"/>
          <w:szCs w:val="24"/>
        </w:rPr>
      </w:pPr>
      <w:r w:rsidRPr="00F209B7">
        <w:rPr>
          <w:rFonts w:ascii="Calibri" w:eastAsia="Calibri" w:hAnsi="Calibri" w:cs="Times New Roman"/>
          <w:szCs w:val="24"/>
        </w:rPr>
        <w:t xml:space="preserve">While most informants were happy with the CIPC’s registration process, they found the </w:t>
      </w:r>
      <w:r w:rsidR="00F209B7" w:rsidRPr="00F209B7">
        <w:rPr>
          <w:rFonts w:ascii="Calibri" w:eastAsia="Calibri" w:hAnsi="Calibri" w:cs="Times New Roman"/>
          <w:szCs w:val="24"/>
        </w:rPr>
        <w:t>requirements</w:t>
      </w:r>
      <w:r w:rsidRPr="00F209B7">
        <w:rPr>
          <w:rFonts w:ascii="Calibri" w:eastAsia="Calibri" w:hAnsi="Calibri" w:cs="Times New Roman"/>
          <w:szCs w:val="24"/>
        </w:rPr>
        <w:t xml:space="preserve"> around Annual Returns</w:t>
      </w:r>
      <w:r w:rsidR="00023D85" w:rsidRPr="00F209B7">
        <w:rPr>
          <w:rFonts w:ascii="Calibri" w:eastAsia="Calibri" w:hAnsi="Calibri" w:cs="Times New Roman"/>
          <w:szCs w:val="24"/>
        </w:rPr>
        <w:t xml:space="preserve"> </w:t>
      </w:r>
      <w:r w:rsidRPr="00F209B7">
        <w:rPr>
          <w:rFonts w:ascii="Calibri" w:eastAsia="Calibri" w:hAnsi="Calibri" w:cs="Times New Roman"/>
          <w:szCs w:val="24"/>
        </w:rPr>
        <w:t>unnecessarily burdensome. The main issues arose around the timing of th</w:t>
      </w:r>
      <w:r w:rsidR="00023D85" w:rsidRPr="00F209B7">
        <w:rPr>
          <w:rFonts w:ascii="Calibri" w:eastAsia="Calibri" w:hAnsi="Calibri" w:cs="Times New Roman"/>
          <w:szCs w:val="24"/>
        </w:rPr>
        <w:t xml:space="preserve">e return and the duplication with </w:t>
      </w:r>
      <w:r w:rsidRPr="00F209B7">
        <w:rPr>
          <w:rFonts w:ascii="Calibri" w:eastAsia="Calibri" w:hAnsi="Calibri" w:cs="Times New Roman"/>
          <w:szCs w:val="24"/>
        </w:rPr>
        <w:t xml:space="preserve">tax requirements. </w:t>
      </w:r>
      <w:r w:rsidR="004F185F" w:rsidRPr="00F209B7">
        <w:rPr>
          <w:rFonts w:ascii="Calibri" w:eastAsia="Calibri" w:hAnsi="Calibri" w:cs="Times New Roman"/>
          <w:szCs w:val="24"/>
        </w:rPr>
        <w:t xml:space="preserve">In addition, a study by the </w:t>
      </w:r>
      <w:r w:rsidR="004F185F" w:rsidRPr="00D40FDE">
        <w:rPr>
          <w:rFonts w:ascii="Calibri" w:eastAsia="Calibri" w:hAnsi="Calibri" w:cs="Times New Roman"/>
          <w:b/>
          <w:szCs w:val="24"/>
        </w:rPr>
        <w:t xml:space="preserve">dti </w:t>
      </w:r>
      <w:r w:rsidR="004F185F" w:rsidRPr="00F209B7">
        <w:rPr>
          <w:rFonts w:ascii="Calibri" w:eastAsia="Calibri" w:hAnsi="Calibri" w:cs="Times New Roman"/>
          <w:szCs w:val="24"/>
        </w:rPr>
        <w:t xml:space="preserve">found that the use of the internet as the sole way to file returns posed a significant challenge to many small businesses. </w:t>
      </w:r>
    </w:p>
    <w:p w14:paraId="01195D7A" w14:textId="77777777" w:rsidR="00023D85" w:rsidRPr="00F209B7" w:rsidRDefault="00023D85" w:rsidP="00D66738">
      <w:pPr>
        <w:jc w:val="both"/>
      </w:pPr>
      <w:r w:rsidRPr="00F209B7">
        <w:t xml:space="preserve">The benefits of the Annual Return are the following. </w:t>
      </w:r>
    </w:p>
    <w:p w14:paraId="4523C159" w14:textId="77777777" w:rsidR="00023D85" w:rsidRPr="00F209B7" w:rsidRDefault="00023D85" w:rsidP="00D66738">
      <w:pPr>
        <w:pStyle w:val="ListParagraph"/>
        <w:numPr>
          <w:ilvl w:val="0"/>
          <w:numId w:val="30"/>
        </w:numPr>
        <w:jc w:val="both"/>
      </w:pPr>
      <w:r w:rsidRPr="00F209B7">
        <w:t xml:space="preserve">It ensures the CIPC registry is up to date, with accurate contact and ownership details and including only functioning businesses. Given that a core aim of company registration is to ensure that ownership is properly recorded, ensuring a reliable register is worthwhile for the economy as a whole. </w:t>
      </w:r>
    </w:p>
    <w:p w14:paraId="07BD5DBC" w14:textId="77777777" w:rsidR="00023D85" w:rsidRPr="00F209B7" w:rsidRDefault="00023D85" w:rsidP="00D66738">
      <w:pPr>
        <w:pStyle w:val="ListParagraph"/>
        <w:numPr>
          <w:ilvl w:val="0"/>
          <w:numId w:val="30"/>
        </w:numPr>
        <w:jc w:val="both"/>
      </w:pPr>
      <w:r w:rsidRPr="00F209B7">
        <w:t xml:space="preserve">It is the largest single source of revenue for the CIPC, generating R283 million or 52% of its total income in 2015/6. Since the CIPC is self-funding, this is important for its sustainability.  </w:t>
      </w:r>
    </w:p>
    <w:p w14:paraId="06C1B18B" w14:textId="358F128C" w:rsidR="00BC6959" w:rsidRDefault="00023D85" w:rsidP="00D66738">
      <w:pPr>
        <w:jc w:val="both"/>
      </w:pPr>
      <w:r w:rsidRPr="00F209B7">
        <w:t>That said, t</w:t>
      </w:r>
      <w:r w:rsidR="00BC6959" w:rsidRPr="00F209B7">
        <w:t>he CIPC itself suggests that the Annual Returns process is flawed</w:t>
      </w:r>
      <w:r w:rsidR="00FE4593">
        <w:t>. It reported (CIPC 2016b, p.50</w:t>
      </w:r>
      <w:r w:rsidR="00BC6959" w:rsidRPr="00F209B7">
        <w:t xml:space="preserve">) that only 50% of enterprises that were expected to file an Annual Return actually did so. Officials report that approximately 25 000 to 30 000 enterprises are referred to deregistration every </w:t>
      </w:r>
      <w:r w:rsidR="00796C67">
        <w:t>month</w:t>
      </w:r>
      <w:r w:rsidR="00BC6959" w:rsidRPr="00F209B7">
        <w:t xml:space="preserve"> for failure to file. Low filing rates were also identified by the </w:t>
      </w:r>
      <w:r w:rsidR="00BC6959" w:rsidRPr="00D40FDE">
        <w:rPr>
          <w:b/>
        </w:rPr>
        <w:t xml:space="preserve">dti </w:t>
      </w:r>
      <w:r w:rsidR="00BC6959" w:rsidRPr="00F209B7">
        <w:t xml:space="preserve">in 2015 through a study </w:t>
      </w:r>
      <w:r w:rsidR="00FE4593">
        <w:t xml:space="preserve">on obstacles to small business (the </w:t>
      </w:r>
      <w:r w:rsidR="00FE4593" w:rsidRPr="00FE4593">
        <w:rPr>
          <w:b/>
        </w:rPr>
        <w:t>dti</w:t>
      </w:r>
      <w:r w:rsidR="00FE4593">
        <w:t xml:space="preserve">, </w:t>
      </w:r>
      <w:r w:rsidR="00FE4593" w:rsidRPr="00FE4593">
        <w:t>2009</w:t>
      </w:r>
      <w:r w:rsidR="00FE4593">
        <w:t>).</w:t>
      </w:r>
    </w:p>
    <w:p w14:paraId="4FC4D678" w14:textId="161E9AFF" w:rsidR="00DB5580" w:rsidRPr="00F209B7" w:rsidRDefault="00796C67" w:rsidP="00D66738">
      <w:pPr>
        <w:jc w:val="both"/>
        <w:rPr>
          <w:rFonts w:ascii="Calibri" w:eastAsia="Calibri" w:hAnsi="Calibri" w:cs="Times New Roman"/>
          <w:szCs w:val="24"/>
        </w:rPr>
      </w:pPr>
      <w:r>
        <w:rPr>
          <w:rFonts w:ascii="Calibri" w:eastAsia="Calibri" w:hAnsi="Calibri" w:cs="Times New Roman"/>
          <w:szCs w:val="24"/>
        </w:rPr>
        <w:t>Officials claim that they</w:t>
      </w:r>
      <w:r w:rsidRPr="00796C67">
        <w:rPr>
          <w:rFonts w:ascii="Calibri" w:eastAsia="Calibri" w:hAnsi="Calibri" w:cs="Times New Roman"/>
          <w:szCs w:val="24"/>
        </w:rPr>
        <w:t xml:space="preserve"> deregister </w:t>
      </w:r>
      <w:r>
        <w:rPr>
          <w:rFonts w:ascii="Calibri" w:eastAsia="Calibri" w:hAnsi="Calibri" w:cs="Times New Roman"/>
          <w:szCs w:val="24"/>
        </w:rPr>
        <w:t xml:space="preserve">companies </w:t>
      </w:r>
      <w:r w:rsidRPr="00796C67">
        <w:rPr>
          <w:rFonts w:ascii="Calibri" w:eastAsia="Calibri" w:hAnsi="Calibri" w:cs="Times New Roman"/>
          <w:szCs w:val="24"/>
        </w:rPr>
        <w:t>on an annual basis due to annual return non</w:t>
      </w:r>
      <w:r>
        <w:rPr>
          <w:rFonts w:ascii="Calibri" w:eastAsia="Calibri" w:hAnsi="Calibri" w:cs="Times New Roman"/>
          <w:szCs w:val="24"/>
        </w:rPr>
        <w:t>-compliance</w:t>
      </w:r>
      <w:r w:rsidR="00DB5580" w:rsidRPr="00F209B7">
        <w:rPr>
          <w:rFonts w:ascii="Calibri" w:eastAsia="Calibri" w:hAnsi="Calibri" w:cs="Times New Roman"/>
          <w:szCs w:val="24"/>
        </w:rPr>
        <w:t>. Companies can find that, until they are reinstated, they are unable to undertake m</w:t>
      </w:r>
      <w:r w:rsidR="00BC6959" w:rsidRPr="00F209B7">
        <w:rPr>
          <w:rFonts w:ascii="Calibri" w:eastAsia="Calibri" w:hAnsi="Calibri" w:cs="Times New Roman"/>
          <w:szCs w:val="24"/>
        </w:rPr>
        <w:t>ost formal business activities or tender for government contracts.</w:t>
      </w:r>
      <w:r w:rsidR="000538CE" w:rsidRPr="00F209B7">
        <w:rPr>
          <w:rFonts w:ascii="Calibri" w:eastAsia="Calibri" w:hAnsi="Calibri" w:cs="Times New Roman"/>
          <w:szCs w:val="24"/>
        </w:rPr>
        <w:t xml:space="preserve"> </w:t>
      </w:r>
      <w:r w:rsidR="000538CE" w:rsidRPr="00F209B7">
        <w:t xml:space="preserve">CIPC officials report that about 25 000 to 30 000 companies and close corporations are referred for deregistration due to non-compliance with annual returns, every </w:t>
      </w:r>
      <w:r>
        <w:t>month</w:t>
      </w:r>
      <w:r w:rsidR="000538CE" w:rsidRPr="00F209B7">
        <w:t xml:space="preserve">. Of this number, some are </w:t>
      </w:r>
      <w:proofErr w:type="gramStart"/>
      <w:r w:rsidR="000538CE" w:rsidRPr="00F209B7">
        <w:t>deregistered</w:t>
      </w:r>
      <w:proofErr w:type="gramEnd"/>
      <w:r w:rsidR="000538CE" w:rsidRPr="00F209B7">
        <w:t xml:space="preserve"> and others </w:t>
      </w:r>
      <w:r w:rsidR="00023D85" w:rsidRPr="00F209B7">
        <w:t>ultimately submit</w:t>
      </w:r>
      <w:r w:rsidR="000538CE" w:rsidRPr="00F209B7">
        <w:t xml:space="preserve"> annual returns.</w:t>
      </w:r>
    </w:p>
    <w:p w14:paraId="4D64A38B" w14:textId="77777777" w:rsidR="004F185F" w:rsidRPr="00F209B7" w:rsidRDefault="004F185F" w:rsidP="00D66738">
      <w:pPr>
        <w:jc w:val="both"/>
        <w:rPr>
          <w:rFonts w:ascii="Calibri" w:eastAsia="Calibri" w:hAnsi="Calibri" w:cs="Times New Roman"/>
          <w:szCs w:val="24"/>
        </w:rPr>
      </w:pPr>
      <w:r w:rsidRPr="00F209B7">
        <w:rPr>
          <w:rFonts w:ascii="Calibri" w:eastAsia="Calibri" w:hAnsi="Calibri" w:cs="Times New Roman"/>
          <w:szCs w:val="24"/>
        </w:rPr>
        <w:lastRenderedPageBreak/>
        <w:t>Inform</w:t>
      </w:r>
      <w:r w:rsidR="00BC6959" w:rsidRPr="00F209B7">
        <w:rPr>
          <w:rFonts w:ascii="Calibri" w:eastAsia="Calibri" w:hAnsi="Calibri" w:cs="Times New Roman"/>
          <w:szCs w:val="24"/>
        </w:rPr>
        <w:t xml:space="preserve">ants argued that tying the date </w:t>
      </w:r>
      <w:r w:rsidRPr="00F209B7">
        <w:rPr>
          <w:rFonts w:ascii="Calibri" w:eastAsia="Calibri" w:hAnsi="Calibri" w:cs="Times New Roman"/>
          <w:szCs w:val="24"/>
        </w:rPr>
        <w:t xml:space="preserve">of the Annual Return to the initial registration was confusing, and that the importance of filing was often not understood. Moreover, if companies change their contact information without informing the CIPC, they may not get reminders. </w:t>
      </w:r>
    </w:p>
    <w:p w14:paraId="28E2DF31" w14:textId="77777777" w:rsidR="00DB5580" w:rsidRPr="00F209B7" w:rsidRDefault="00DB5580" w:rsidP="00D66738">
      <w:pPr>
        <w:jc w:val="both"/>
        <w:rPr>
          <w:rFonts w:ascii="Calibri" w:eastAsia="Calibri" w:hAnsi="Calibri" w:cs="Times New Roman"/>
          <w:szCs w:val="24"/>
        </w:rPr>
      </w:pPr>
      <w:r w:rsidRPr="00F209B7">
        <w:rPr>
          <w:rFonts w:ascii="Calibri" w:eastAsia="Calibri" w:hAnsi="Calibri" w:cs="Times New Roman"/>
          <w:szCs w:val="24"/>
        </w:rPr>
        <w:t>Informants also felt that the information in the Annual Return was similar, although m</w:t>
      </w:r>
      <w:r w:rsidR="003764B9" w:rsidRPr="00F209B7">
        <w:rPr>
          <w:rFonts w:ascii="Calibri" w:eastAsia="Calibri" w:hAnsi="Calibri" w:cs="Times New Roman"/>
          <w:szCs w:val="24"/>
        </w:rPr>
        <w:t>uch less detailed, than the requ</w:t>
      </w:r>
      <w:r w:rsidRPr="00F209B7">
        <w:rPr>
          <w:rFonts w:ascii="Calibri" w:eastAsia="Calibri" w:hAnsi="Calibri" w:cs="Times New Roman"/>
          <w:szCs w:val="24"/>
        </w:rPr>
        <w:t xml:space="preserve">irements for tax filing. As a result, they felt that it was a duplicate effort and that the two processes should be aligned. </w:t>
      </w:r>
    </w:p>
    <w:p w14:paraId="22993085" w14:textId="77777777" w:rsidR="00E41438" w:rsidRPr="00F209B7" w:rsidRDefault="00023D85" w:rsidP="00D66738">
      <w:pPr>
        <w:jc w:val="both"/>
      </w:pPr>
      <w:r w:rsidRPr="00F209B7">
        <w:t xml:space="preserve">Other factors that </w:t>
      </w:r>
      <w:r w:rsidR="009E5323" w:rsidRPr="00F209B7">
        <w:t xml:space="preserve">contribute to the </w:t>
      </w:r>
      <w:r w:rsidR="00E41438" w:rsidRPr="00F209B7">
        <w:t>low Annual Return filing rate</w:t>
      </w:r>
      <w:r w:rsidRPr="00F209B7">
        <w:t xml:space="preserve"> include:</w:t>
      </w:r>
    </w:p>
    <w:p w14:paraId="69E7305C" w14:textId="03B5B048" w:rsidR="00E41438" w:rsidRPr="00F209B7" w:rsidRDefault="00E41438" w:rsidP="00D66738">
      <w:pPr>
        <w:pStyle w:val="ListParagraph"/>
        <w:numPr>
          <w:ilvl w:val="0"/>
          <w:numId w:val="29"/>
        </w:numPr>
        <w:jc w:val="both"/>
      </w:pPr>
      <w:r w:rsidRPr="00F209B7">
        <w:t xml:space="preserve">The </w:t>
      </w:r>
      <w:r w:rsidR="004F185F" w:rsidRPr="00F209B7">
        <w:t xml:space="preserve">difficulty of using </w:t>
      </w:r>
      <w:r w:rsidRPr="00F209B7">
        <w:t>the internet in order to file Annual Returns</w:t>
      </w:r>
      <w:r w:rsidR="00023D85" w:rsidRPr="00F209B7">
        <w:t xml:space="preserve">, which the CIPC </w:t>
      </w:r>
      <w:r w:rsidRPr="00F209B7">
        <w:t>underestimated.</w:t>
      </w:r>
      <w:r w:rsidR="004F185F" w:rsidRPr="00F209B7">
        <w:t xml:space="preserve"> </w:t>
      </w:r>
      <w:r w:rsidR="00023D85" w:rsidRPr="00F209B7">
        <w:t xml:space="preserve">A </w:t>
      </w:r>
      <w:r w:rsidR="004F185F" w:rsidRPr="00D40FDE">
        <w:rPr>
          <w:b/>
        </w:rPr>
        <w:t>dti</w:t>
      </w:r>
      <w:r w:rsidR="004F185F" w:rsidRPr="00F209B7">
        <w:t>-commissioned</w:t>
      </w:r>
      <w:r w:rsidRPr="00F209B7">
        <w:t xml:space="preserve"> study </w:t>
      </w:r>
      <w:r w:rsidR="00564B60">
        <w:t>(</w:t>
      </w:r>
      <w:r w:rsidR="00D40FDE">
        <w:t xml:space="preserve">the </w:t>
      </w:r>
      <w:r w:rsidR="00564B60" w:rsidRPr="00D40FDE">
        <w:rPr>
          <w:b/>
        </w:rPr>
        <w:t>dti</w:t>
      </w:r>
      <w:r w:rsidR="00564B60">
        <w:t xml:space="preserve">, 2009) </w:t>
      </w:r>
      <w:r w:rsidRPr="00F209B7">
        <w:t xml:space="preserve">reported that 61% of respondents claimed that the use and cost of </w:t>
      </w:r>
      <w:r w:rsidR="004F185F" w:rsidRPr="00F209B7">
        <w:t xml:space="preserve">the </w:t>
      </w:r>
      <w:r w:rsidR="00023D85" w:rsidRPr="00F209B7">
        <w:t>internet were</w:t>
      </w:r>
      <w:r w:rsidRPr="00F209B7">
        <w:t xml:space="preserve"> the most significant obstacle to filing an annual return.</w:t>
      </w:r>
    </w:p>
    <w:p w14:paraId="653735A7" w14:textId="77777777" w:rsidR="00E41438" w:rsidRPr="00F209B7" w:rsidRDefault="00023D85" w:rsidP="00D66738">
      <w:pPr>
        <w:pStyle w:val="ListParagraph"/>
        <w:numPr>
          <w:ilvl w:val="0"/>
          <w:numId w:val="29"/>
        </w:numPr>
        <w:jc w:val="both"/>
      </w:pPr>
      <w:r w:rsidRPr="00F209B7">
        <w:t xml:space="preserve">Dormant or </w:t>
      </w:r>
      <w:r w:rsidR="00E41438" w:rsidRPr="00F209B7">
        <w:t xml:space="preserve">inactive company owners may not understand </w:t>
      </w:r>
      <w:r w:rsidRPr="00F209B7">
        <w:t xml:space="preserve">their obligation </w:t>
      </w:r>
      <w:r w:rsidR="00E41438" w:rsidRPr="00F209B7">
        <w:t>or</w:t>
      </w:r>
      <w:r w:rsidRPr="00F209B7">
        <w:t xml:space="preserve"> cannot afford </w:t>
      </w:r>
      <w:r w:rsidR="00E41438" w:rsidRPr="00F209B7">
        <w:t>to file an Annual Return.</w:t>
      </w:r>
    </w:p>
    <w:p w14:paraId="4BEC28E9" w14:textId="77777777" w:rsidR="00054B68" w:rsidRDefault="00BC6959" w:rsidP="00D66738">
      <w:pPr>
        <w:jc w:val="both"/>
      </w:pPr>
      <w:r w:rsidRPr="00F209B7">
        <w:t xml:space="preserve">Officials in the CIPC say they addressed some of the recommendations of the </w:t>
      </w:r>
      <w:r w:rsidRPr="00D40FDE">
        <w:rPr>
          <w:b/>
        </w:rPr>
        <w:t xml:space="preserve">dti </w:t>
      </w:r>
      <w:r w:rsidRPr="00F209B7">
        <w:t>study by improving communication with enterprises regarding Annual Returns and se</w:t>
      </w:r>
      <w:r w:rsidR="00564B60">
        <w:t>nding out systematic reminders as well as increasing its educational drives and marketing campaigns to create more awareness regarding annual returns and the importance to file.</w:t>
      </w:r>
      <w:r w:rsidR="00054B68">
        <w:t xml:space="preserve"> </w:t>
      </w:r>
    </w:p>
    <w:p w14:paraId="37BFBFA1" w14:textId="59C061D5" w:rsidR="00054B68" w:rsidRDefault="00054B68" w:rsidP="00D66738">
      <w:pPr>
        <w:jc w:val="both"/>
      </w:pPr>
      <w:r>
        <w:t>Officials also argue that filing rates are low because many of the newest</w:t>
      </w:r>
      <w:r w:rsidRPr="00FE4593">
        <w:t xml:space="preserve"> registrations are </w:t>
      </w:r>
      <w:r>
        <w:t xml:space="preserve">by </w:t>
      </w:r>
      <w:r w:rsidRPr="00FE4593">
        <w:t xml:space="preserve">survivalist </w:t>
      </w:r>
      <w:r>
        <w:t xml:space="preserve">enterprises that are not </w:t>
      </w:r>
      <w:r w:rsidRPr="00FE4593">
        <w:t xml:space="preserve">a </w:t>
      </w:r>
      <w:r>
        <w:t>going concern. They cite r</w:t>
      </w:r>
      <w:r w:rsidRPr="00FE4593">
        <w:t xml:space="preserve">esearch </w:t>
      </w:r>
      <w:r>
        <w:t xml:space="preserve">that has </w:t>
      </w:r>
      <w:r w:rsidRPr="00FE4593">
        <w:t>shown that about 80% of business</w:t>
      </w:r>
      <w:r>
        <w:t xml:space="preserve">es fail within the first three </w:t>
      </w:r>
      <w:r w:rsidRPr="00FE4593">
        <w:t>years.</w:t>
      </w:r>
    </w:p>
    <w:p w14:paraId="5D87FF4B" w14:textId="77777777" w:rsidR="000538CE" w:rsidRPr="00F209B7" w:rsidRDefault="000538CE" w:rsidP="00D66738">
      <w:pPr>
        <w:pStyle w:val="Heading4"/>
        <w:jc w:val="both"/>
      </w:pPr>
      <w:r w:rsidRPr="00F209B7">
        <w:t>Co-operative registration</w:t>
      </w:r>
    </w:p>
    <w:p w14:paraId="4559C0FB" w14:textId="16CE4AF4" w:rsidR="00167650" w:rsidRPr="00F209B7" w:rsidRDefault="00167650" w:rsidP="00D66738">
      <w:pPr>
        <w:jc w:val="both"/>
      </w:pPr>
      <w:r w:rsidRPr="00F209B7">
        <w:t xml:space="preserve">The registration of co-operatives declined by around a third in 2015/6, as indicated </w:t>
      </w:r>
      <w:r w:rsidR="00D87000">
        <w:t xml:space="preserve">in </w:t>
      </w:r>
      <w:r w:rsidR="00054B68">
        <w:fldChar w:fldCharType="begin"/>
      </w:r>
      <w:r w:rsidR="00054B68">
        <w:instrText xml:space="preserve"> REF _Ref479713451 \h </w:instrText>
      </w:r>
      <w:r w:rsidR="00D66738">
        <w:instrText xml:space="preserve"> \* MERGEFORMAT </w:instrText>
      </w:r>
      <w:r w:rsidR="00054B68">
        <w:fldChar w:fldCharType="separate"/>
      </w:r>
      <w:r w:rsidR="005062E7" w:rsidRPr="00054B68">
        <w:t xml:space="preserve">Figure </w:t>
      </w:r>
      <w:r w:rsidR="005062E7">
        <w:rPr>
          <w:noProof/>
        </w:rPr>
        <w:t>12</w:t>
      </w:r>
      <w:r w:rsidR="00054B68">
        <w:fldChar w:fldCharType="end"/>
      </w:r>
      <w:r w:rsidR="00054B68">
        <w:t xml:space="preserve"> </w:t>
      </w:r>
      <w:r w:rsidRPr="00F209B7">
        <w:t xml:space="preserve">above. The CIPC acknowledges that relative complexity of registering a new cooperative may be a factor in the decline, although it also notes the withdrawal of some </w:t>
      </w:r>
      <w:r w:rsidR="00054B68">
        <w:t xml:space="preserve">government </w:t>
      </w:r>
      <w:r w:rsidRPr="00F209B7">
        <w:t>support measures. (CIPC, 2016b).</w:t>
      </w:r>
    </w:p>
    <w:p w14:paraId="1F4D23C5" w14:textId="77777777" w:rsidR="00023D85" w:rsidRPr="00F209B7" w:rsidRDefault="00023D85" w:rsidP="00D66738">
      <w:pPr>
        <w:jc w:val="both"/>
      </w:pPr>
      <w:r w:rsidRPr="00F209B7">
        <w:t>Overall, cooperatives have an extraordinarily high mortality rate. A 2010 study funded by the European Union found that only 2644 of the then 22 619 registered cooperatives were still functional. In other words, some 88% had not survived beyond a year or two. (</w:t>
      </w:r>
      <w:proofErr w:type="spellStart"/>
      <w:r w:rsidRPr="00F209B7">
        <w:t>Eising</w:t>
      </w:r>
      <w:proofErr w:type="spellEnd"/>
      <w:r w:rsidRPr="00F209B7">
        <w:t xml:space="preserve"> &amp; </w:t>
      </w:r>
      <w:proofErr w:type="spellStart"/>
      <w:r w:rsidRPr="00F209B7">
        <w:t>Shenxane</w:t>
      </w:r>
      <w:proofErr w:type="spellEnd"/>
      <w:r w:rsidRPr="00F209B7">
        <w:t>, 2011 in Wessels, 2016)</w:t>
      </w:r>
    </w:p>
    <w:p w14:paraId="6D61F416" w14:textId="743D0D93" w:rsidR="004C05ED" w:rsidRPr="00F209B7" w:rsidRDefault="00E41438" w:rsidP="00D66738">
      <w:pPr>
        <w:jc w:val="both"/>
      </w:pPr>
      <w:r w:rsidRPr="00F209B7">
        <w:t xml:space="preserve">The requirement </w:t>
      </w:r>
      <w:r w:rsidR="004C05ED" w:rsidRPr="00F209B7">
        <w:t xml:space="preserve">that all registered co-ops </w:t>
      </w:r>
      <w:r w:rsidRPr="00F209B7">
        <w:t xml:space="preserve">submit audited financial statements is perceived as the most burdensome and costly </w:t>
      </w:r>
      <w:r w:rsidR="00054B68">
        <w:t xml:space="preserve">registration </w:t>
      </w:r>
      <w:r w:rsidRPr="00F209B7">
        <w:t xml:space="preserve">requirement. </w:t>
      </w:r>
      <w:r w:rsidR="004C05ED" w:rsidRPr="00F209B7">
        <w:t xml:space="preserve">In contrast, only companies with a high public interest score or internal requirements have to </w:t>
      </w:r>
      <w:r w:rsidR="00F209B7" w:rsidRPr="00F209B7">
        <w:t>submit</w:t>
      </w:r>
      <w:r w:rsidR="004C05ED" w:rsidRPr="00F209B7">
        <w:t xml:space="preserve"> audited statements to the CIPC. </w:t>
      </w:r>
    </w:p>
    <w:p w14:paraId="61DDE0AF" w14:textId="2D75F3A9" w:rsidR="004C05ED" w:rsidRPr="00F209B7" w:rsidRDefault="004C05ED" w:rsidP="00D66738">
      <w:pPr>
        <w:jc w:val="both"/>
      </w:pPr>
      <w:r w:rsidRPr="00F209B7">
        <w:t xml:space="preserve">In the event, </w:t>
      </w:r>
      <w:r w:rsidR="00023D85" w:rsidRPr="00F209B7">
        <w:t xml:space="preserve">many co-ops ignore </w:t>
      </w:r>
      <w:r w:rsidRPr="00F209B7">
        <w:t xml:space="preserve">the audit requirement, although it is not clear how many </w:t>
      </w:r>
      <w:r w:rsidR="00520601">
        <w:t xml:space="preserve">of these </w:t>
      </w:r>
      <w:r w:rsidRPr="00F209B7">
        <w:t xml:space="preserve">are actually registered. The </w:t>
      </w:r>
      <w:r w:rsidRPr="00D40FDE">
        <w:rPr>
          <w:b/>
        </w:rPr>
        <w:t>dti</w:t>
      </w:r>
      <w:r w:rsidRPr="00054B68">
        <w:t>’s</w:t>
      </w:r>
      <w:r w:rsidRPr="00F209B7">
        <w:t xml:space="preserve"> 2009 </w:t>
      </w:r>
      <w:r w:rsidR="00E41438" w:rsidRPr="00F209B7">
        <w:t xml:space="preserve">baseline study found that almost all of the emerging co-operatives surveyed </w:t>
      </w:r>
      <w:r w:rsidR="00023D85" w:rsidRPr="00F209B7">
        <w:t>did not submit</w:t>
      </w:r>
      <w:r w:rsidR="00E41438" w:rsidRPr="00F209B7">
        <w:t xml:space="preserve"> annual financial statements to the Regist</w:t>
      </w:r>
      <w:r w:rsidRPr="00F209B7">
        <w:t>rar of Co-operatives, and only 4,</w:t>
      </w:r>
      <w:r w:rsidR="00E41438" w:rsidRPr="00F209B7">
        <w:t xml:space="preserve">72% </w:t>
      </w:r>
      <w:r w:rsidRPr="00F209B7">
        <w:t xml:space="preserve">had </w:t>
      </w:r>
      <w:r w:rsidR="00E41438" w:rsidRPr="00F209B7">
        <w:t>audit reports</w:t>
      </w:r>
      <w:r w:rsidR="00023D85" w:rsidRPr="00F209B7">
        <w:t xml:space="preserve">. (the </w:t>
      </w:r>
      <w:r w:rsidR="00023D85" w:rsidRPr="00D40FDE">
        <w:rPr>
          <w:b/>
        </w:rPr>
        <w:t>dti</w:t>
      </w:r>
      <w:r w:rsidR="00023D85" w:rsidRPr="00F209B7">
        <w:t>, 2009)</w:t>
      </w:r>
    </w:p>
    <w:p w14:paraId="18017A9C" w14:textId="77777777" w:rsidR="004C05ED" w:rsidRPr="00F209B7" w:rsidRDefault="004C05ED" w:rsidP="00D66738">
      <w:pPr>
        <w:jc w:val="both"/>
        <w:rPr>
          <w:rFonts w:ascii="Calibri" w:eastAsia="Calibri" w:hAnsi="Calibri" w:cs="Times New Roman"/>
          <w:szCs w:val="24"/>
        </w:rPr>
      </w:pPr>
      <w:r w:rsidRPr="00F209B7">
        <w:rPr>
          <w:rFonts w:ascii="Calibri" w:eastAsia="Calibri" w:hAnsi="Calibri" w:cs="Times New Roman"/>
          <w:szCs w:val="24"/>
        </w:rPr>
        <w:t xml:space="preserve">Informants argued that the need to include original members in many filings posed an additional challenge. Since membership changes over time, this requirement can cause significant delays and costs. </w:t>
      </w:r>
    </w:p>
    <w:p w14:paraId="0BC96EC5" w14:textId="3ABDF03B" w:rsidR="004C05ED" w:rsidRPr="00F209B7" w:rsidRDefault="004C05ED" w:rsidP="00D66738">
      <w:pPr>
        <w:jc w:val="both"/>
        <w:rPr>
          <w:rFonts w:ascii="Calibri" w:eastAsia="Calibri" w:hAnsi="Calibri" w:cs="Times New Roman"/>
          <w:szCs w:val="24"/>
        </w:rPr>
      </w:pPr>
      <w:r w:rsidRPr="00F209B7">
        <w:lastRenderedPageBreak/>
        <w:t>The costs of registration for cooperatives need to be offset against the benefits. The evidence suggests that the high number of new re</w:t>
      </w:r>
      <w:r w:rsidR="00520601">
        <w:t>gistrations of cooperatives was</w:t>
      </w:r>
      <w:r w:rsidRPr="00F209B7">
        <w:t xml:space="preserve"> previously driven by committed government support programmes, in the form of funding from </w:t>
      </w:r>
      <w:proofErr w:type="spellStart"/>
      <w:r w:rsidR="00520601">
        <w:t>sefa</w:t>
      </w:r>
      <w:proofErr w:type="spellEnd"/>
      <w:r w:rsidRPr="00F209B7">
        <w:t xml:space="preserve"> and departments such as the Departments of Agriculture, Education and Social Welfare (Wessels, 2016). Informants however argued that the benefits were scanty compared to the administrative burdens</w:t>
      </w:r>
      <w:r w:rsidR="00520601">
        <w:t xml:space="preserve"> of registration</w:t>
      </w:r>
      <w:r w:rsidRPr="00F209B7">
        <w:t xml:space="preserve">, especially given the broader difficulty of sustaining new co-ops as an innovative form of ownership and control. </w:t>
      </w:r>
    </w:p>
    <w:p w14:paraId="49AB229B" w14:textId="77777777" w:rsidR="00D24224" w:rsidRPr="00F209B7" w:rsidRDefault="00167650" w:rsidP="00D66738">
      <w:pPr>
        <w:jc w:val="both"/>
      </w:pPr>
      <w:r w:rsidRPr="00F209B7">
        <w:rPr>
          <w:rFonts w:ascii="Calibri" w:eastAsia="Calibri" w:hAnsi="Calibri" w:cs="Times New Roman"/>
          <w:szCs w:val="24"/>
        </w:rPr>
        <w:t xml:space="preserve">Finally, </w:t>
      </w:r>
      <w:r w:rsidR="00D24224" w:rsidRPr="00F209B7">
        <w:rPr>
          <w:rFonts w:ascii="Calibri" w:eastAsia="Calibri" w:hAnsi="Calibri" w:cs="Times New Roman"/>
          <w:szCs w:val="24"/>
        </w:rPr>
        <w:t>informants identified</w:t>
      </w:r>
      <w:r w:rsidRPr="00F209B7">
        <w:rPr>
          <w:rFonts w:ascii="Calibri" w:eastAsia="Calibri" w:hAnsi="Calibri" w:cs="Times New Roman"/>
          <w:szCs w:val="24"/>
        </w:rPr>
        <w:t xml:space="preserve"> shortcomings in </w:t>
      </w:r>
      <w:r w:rsidR="00D24224" w:rsidRPr="00F209B7">
        <w:rPr>
          <w:rFonts w:ascii="Calibri" w:eastAsia="Calibri" w:hAnsi="Calibri" w:cs="Times New Roman"/>
          <w:szCs w:val="24"/>
        </w:rPr>
        <w:t xml:space="preserve">the CIPC </w:t>
      </w:r>
      <w:r w:rsidRPr="00F209B7">
        <w:rPr>
          <w:rFonts w:ascii="Calibri" w:eastAsia="Calibri" w:hAnsi="Calibri" w:cs="Times New Roman"/>
          <w:szCs w:val="24"/>
        </w:rPr>
        <w:t xml:space="preserve">call centre challenges as a broad challenge. </w:t>
      </w:r>
      <w:r w:rsidR="00D24224" w:rsidRPr="00F209B7">
        <w:rPr>
          <w:rFonts w:ascii="Calibri" w:eastAsia="Calibri" w:hAnsi="Calibri" w:cs="Times New Roman"/>
          <w:szCs w:val="24"/>
        </w:rPr>
        <w:t xml:space="preserve">The CIPC itself </w:t>
      </w:r>
      <w:r w:rsidRPr="00F209B7">
        <w:rPr>
          <w:rFonts w:ascii="Calibri" w:eastAsia="Calibri" w:hAnsi="Calibri" w:cs="Times New Roman"/>
          <w:szCs w:val="24"/>
        </w:rPr>
        <w:t xml:space="preserve">found that 60% of calls were </w:t>
      </w:r>
      <w:r w:rsidR="00D24224" w:rsidRPr="00F209B7">
        <w:rPr>
          <w:rFonts w:ascii="Calibri" w:eastAsia="Calibri" w:hAnsi="Calibri" w:cs="Times New Roman"/>
          <w:szCs w:val="24"/>
        </w:rPr>
        <w:t>abandoned in 2015/6, although the rate declined from over 90% in April 2015 to just over 50% in March 2016</w:t>
      </w:r>
      <w:r w:rsidRPr="00F209B7">
        <w:rPr>
          <w:rFonts w:ascii="Calibri" w:eastAsia="Calibri" w:hAnsi="Calibri" w:cs="Times New Roman"/>
          <w:szCs w:val="24"/>
        </w:rPr>
        <w:t>.</w:t>
      </w:r>
      <w:r w:rsidR="00912A83" w:rsidRPr="00F209B7">
        <w:rPr>
          <w:rFonts w:ascii="Calibri" w:eastAsia="Calibri" w:hAnsi="Calibri" w:cs="Times New Roman"/>
          <w:szCs w:val="24"/>
        </w:rPr>
        <w:t xml:space="preserve"> The main reason was understaffing as well as reliance on poorly capacitated people.</w:t>
      </w:r>
      <w:r w:rsidR="00D24224" w:rsidRPr="00F209B7">
        <w:rPr>
          <w:rFonts w:ascii="Calibri" w:eastAsia="Calibri" w:hAnsi="Calibri" w:cs="Times New Roman"/>
          <w:szCs w:val="24"/>
        </w:rPr>
        <w:t xml:space="preserve"> (CIPC 2016b, p. 48)</w:t>
      </w:r>
      <w:r w:rsidRPr="00F209B7">
        <w:rPr>
          <w:rFonts w:ascii="Calibri" w:eastAsia="Calibri" w:hAnsi="Calibri" w:cs="Times New Roman"/>
          <w:szCs w:val="24"/>
        </w:rPr>
        <w:t xml:space="preserve"> </w:t>
      </w:r>
    </w:p>
    <w:p w14:paraId="455B6023" w14:textId="0966F22B" w:rsidR="00E41438" w:rsidRPr="00F209B7" w:rsidRDefault="00777101" w:rsidP="00D66738">
      <w:pPr>
        <w:pStyle w:val="Heading3"/>
        <w:numPr>
          <w:ilvl w:val="2"/>
          <w:numId w:val="130"/>
        </w:numPr>
        <w:ind w:left="0" w:firstLine="0"/>
        <w:jc w:val="both"/>
      </w:pPr>
      <w:bookmarkStart w:id="634" w:name="_Toc479843917"/>
      <w:bookmarkStart w:id="635" w:name="_Toc479844541"/>
      <w:bookmarkStart w:id="636" w:name="_Toc479940868"/>
      <w:r>
        <w:t>Options</w:t>
      </w:r>
      <w:bookmarkEnd w:id="634"/>
      <w:bookmarkEnd w:id="635"/>
      <w:bookmarkEnd w:id="636"/>
    </w:p>
    <w:p w14:paraId="5D83F1A9" w14:textId="653EC134" w:rsidR="00E41438" w:rsidRPr="00F209B7" w:rsidRDefault="00167650" w:rsidP="00D66738">
      <w:pPr>
        <w:spacing w:after="160"/>
        <w:jc w:val="both"/>
        <w:rPr>
          <w:rFonts w:ascii="Calibri" w:eastAsia="Calibri" w:hAnsi="Calibri" w:cs="Times New Roman"/>
          <w:szCs w:val="24"/>
        </w:rPr>
      </w:pPr>
      <w:r w:rsidRPr="00F209B7">
        <w:rPr>
          <w:rFonts w:ascii="Calibri" w:eastAsia="Calibri" w:hAnsi="Calibri" w:cs="Times New Roman"/>
          <w:szCs w:val="24"/>
        </w:rPr>
        <w:t>T</w:t>
      </w:r>
      <w:r w:rsidR="00054B68">
        <w:rPr>
          <w:rFonts w:ascii="Calibri" w:eastAsia="Calibri" w:hAnsi="Calibri" w:cs="Times New Roman"/>
          <w:szCs w:val="24"/>
        </w:rPr>
        <w:t>he t</w:t>
      </w:r>
      <w:r w:rsidR="00E41438" w:rsidRPr="00F209B7">
        <w:rPr>
          <w:rFonts w:ascii="Calibri" w:eastAsia="Calibri" w:hAnsi="Calibri" w:cs="Times New Roman"/>
          <w:szCs w:val="24"/>
        </w:rPr>
        <w:t>wo most significant issues that emerged from the analysis of burdens pertaining to compan</w:t>
      </w:r>
      <w:r w:rsidRPr="00F209B7">
        <w:rPr>
          <w:rFonts w:ascii="Calibri" w:eastAsia="Calibri" w:hAnsi="Calibri" w:cs="Times New Roman"/>
          <w:szCs w:val="24"/>
        </w:rPr>
        <w:t>y and cooperatives registration were:</w:t>
      </w:r>
    </w:p>
    <w:p w14:paraId="29DABD28" w14:textId="77777777" w:rsidR="00E41438" w:rsidRPr="00F209B7" w:rsidRDefault="00E41438" w:rsidP="00D66738">
      <w:pPr>
        <w:pStyle w:val="ListParagraph"/>
        <w:numPr>
          <w:ilvl w:val="0"/>
          <w:numId w:val="20"/>
        </w:numPr>
        <w:spacing w:before="0" w:after="160" w:line="259" w:lineRule="auto"/>
        <w:jc w:val="both"/>
        <w:rPr>
          <w:rFonts w:ascii="Calibri" w:eastAsia="Calibri" w:hAnsi="Calibri" w:cs="Times New Roman"/>
          <w:szCs w:val="24"/>
        </w:rPr>
      </w:pPr>
      <w:r w:rsidRPr="00F209B7">
        <w:rPr>
          <w:rFonts w:ascii="Calibri" w:eastAsia="Calibri" w:hAnsi="Calibri" w:cs="Times New Roman"/>
          <w:szCs w:val="24"/>
        </w:rPr>
        <w:t>Annual Returns for companies, and</w:t>
      </w:r>
    </w:p>
    <w:p w14:paraId="47977C6D" w14:textId="77777777" w:rsidR="00E41438" w:rsidRPr="00F209B7" w:rsidRDefault="00167650" w:rsidP="00D66738">
      <w:pPr>
        <w:pStyle w:val="ListParagraph"/>
        <w:numPr>
          <w:ilvl w:val="0"/>
          <w:numId w:val="20"/>
        </w:numPr>
        <w:spacing w:before="0" w:after="160" w:line="259" w:lineRule="auto"/>
        <w:jc w:val="both"/>
        <w:rPr>
          <w:rFonts w:ascii="Calibri" w:eastAsia="Calibri" w:hAnsi="Calibri" w:cs="Times New Roman"/>
          <w:szCs w:val="24"/>
        </w:rPr>
      </w:pPr>
      <w:r w:rsidRPr="00F209B7">
        <w:rPr>
          <w:rFonts w:ascii="Calibri" w:eastAsia="Calibri" w:hAnsi="Calibri" w:cs="Times New Roman"/>
          <w:szCs w:val="24"/>
        </w:rPr>
        <w:t>C</w:t>
      </w:r>
      <w:r w:rsidR="00E41438" w:rsidRPr="00F209B7">
        <w:rPr>
          <w:rFonts w:ascii="Calibri" w:eastAsia="Calibri" w:hAnsi="Calibri" w:cs="Times New Roman"/>
          <w:szCs w:val="24"/>
        </w:rPr>
        <w:t xml:space="preserve">ompulsory </w:t>
      </w:r>
      <w:r w:rsidRPr="00F209B7">
        <w:rPr>
          <w:rFonts w:ascii="Calibri" w:eastAsia="Calibri" w:hAnsi="Calibri" w:cs="Times New Roman"/>
          <w:szCs w:val="24"/>
        </w:rPr>
        <w:t>a</w:t>
      </w:r>
      <w:r w:rsidR="00E41438" w:rsidRPr="00F209B7">
        <w:rPr>
          <w:rFonts w:ascii="Calibri" w:eastAsia="Calibri" w:hAnsi="Calibri" w:cs="Times New Roman"/>
          <w:szCs w:val="24"/>
        </w:rPr>
        <w:t xml:space="preserve">udits for </w:t>
      </w:r>
      <w:r w:rsidRPr="00F209B7">
        <w:rPr>
          <w:rFonts w:ascii="Calibri" w:eastAsia="Calibri" w:hAnsi="Calibri" w:cs="Times New Roman"/>
          <w:szCs w:val="24"/>
        </w:rPr>
        <w:t xml:space="preserve">virtually all </w:t>
      </w:r>
      <w:r w:rsidR="00E41438" w:rsidRPr="00F209B7">
        <w:rPr>
          <w:rFonts w:ascii="Calibri" w:eastAsia="Calibri" w:hAnsi="Calibri" w:cs="Times New Roman"/>
          <w:szCs w:val="24"/>
        </w:rPr>
        <w:t>cooperatives.</w:t>
      </w:r>
    </w:p>
    <w:p w14:paraId="198D33B9" w14:textId="77777777" w:rsidR="00167650" w:rsidRPr="00F209B7" w:rsidRDefault="00167650" w:rsidP="00D66738">
      <w:pPr>
        <w:pStyle w:val="Heading4"/>
        <w:jc w:val="both"/>
        <w:rPr>
          <w:rFonts w:eastAsia="Calibri"/>
        </w:rPr>
      </w:pPr>
      <w:r w:rsidRPr="00F209B7">
        <w:rPr>
          <w:rFonts w:eastAsia="Calibri"/>
        </w:rPr>
        <w:t>Annual Returns</w:t>
      </w:r>
    </w:p>
    <w:p w14:paraId="5905F6AE" w14:textId="77777777" w:rsidR="00167650" w:rsidRPr="00F209B7" w:rsidRDefault="00167650" w:rsidP="00D66738">
      <w:pPr>
        <w:jc w:val="both"/>
      </w:pPr>
      <w:r w:rsidRPr="00F209B7">
        <w:t xml:space="preserve">The following options were assessed to address the challenges around Annual Returns. </w:t>
      </w:r>
    </w:p>
    <w:p w14:paraId="54D54D12" w14:textId="77777777" w:rsidR="00167650" w:rsidRPr="00F209B7" w:rsidRDefault="00167650" w:rsidP="00D66738">
      <w:pPr>
        <w:pStyle w:val="ListParagraph"/>
        <w:numPr>
          <w:ilvl w:val="0"/>
          <w:numId w:val="32"/>
        </w:numPr>
        <w:jc w:val="both"/>
      </w:pPr>
      <w:r w:rsidRPr="00F209B7">
        <w:t xml:space="preserve">Option 1: Increase awareness </w:t>
      </w:r>
      <w:r w:rsidR="00DC3E23" w:rsidRPr="00F209B7">
        <w:t>through</w:t>
      </w:r>
      <w:r w:rsidRPr="00F209B7">
        <w:t xml:space="preserve"> DSBD and CIPC (outreach campaigns, more capacity to follow up and remind companies)</w:t>
      </w:r>
    </w:p>
    <w:p w14:paraId="15FA9FE8" w14:textId="77777777" w:rsidR="00167650" w:rsidRPr="00F209B7" w:rsidRDefault="00167650" w:rsidP="00D66738">
      <w:pPr>
        <w:pStyle w:val="ListParagraph"/>
        <w:numPr>
          <w:ilvl w:val="0"/>
          <w:numId w:val="32"/>
        </w:numPr>
        <w:jc w:val="both"/>
      </w:pPr>
      <w:r w:rsidRPr="00F209B7">
        <w:t xml:space="preserve">Option 2: Integrate </w:t>
      </w:r>
      <w:r w:rsidR="00DC3E23" w:rsidRPr="00F209B7">
        <w:t xml:space="preserve">Annual Returns </w:t>
      </w:r>
      <w:r w:rsidRPr="00F209B7">
        <w:t>with SARS Annual Filing (CIPC filing only for dormant companies)</w:t>
      </w:r>
    </w:p>
    <w:p w14:paraId="4AD53E21" w14:textId="77777777" w:rsidR="00167650" w:rsidRPr="00F209B7" w:rsidRDefault="00167650" w:rsidP="00D66738">
      <w:pPr>
        <w:pStyle w:val="ListParagraph"/>
        <w:numPr>
          <w:ilvl w:val="0"/>
          <w:numId w:val="32"/>
        </w:numPr>
        <w:jc w:val="both"/>
      </w:pPr>
      <w:r w:rsidRPr="00F209B7">
        <w:t xml:space="preserve">Option 3: Eliminate Annual Returns (altogether or </w:t>
      </w:r>
      <w:r w:rsidR="00DC3E23" w:rsidRPr="00F209B7">
        <w:t xml:space="preserve">for companies below a </w:t>
      </w:r>
      <w:r w:rsidRPr="00F209B7">
        <w:t>threshold</w:t>
      </w:r>
      <w:r w:rsidR="00DC3E23" w:rsidRPr="00F209B7">
        <w:t xml:space="preserve"> size</w:t>
      </w:r>
      <w:r w:rsidRPr="00F209B7">
        <w:t>)</w:t>
      </w:r>
    </w:p>
    <w:p w14:paraId="71BD5053" w14:textId="166E37DF" w:rsidR="00DC3E23" w:rsidRPr="00F209B7" w:rsidRDefault="00DC3E23" w:rsidP="00D66738">
      <w:pPr>
        <w:jc w:val="both"/>
      </w:pPr>
      <w:r w:rsidRPr="00F209B7">
        <w:fldChar w:fldCharType="begin"/>
      </w:r>
      <w:r w:rsidRPr="00F209B7">
        <w:instrText xml:space="preserve"> REF _Ref477876277 \h </w:instrText>
      </w:r>
      <w:r w:rsidR="00493691" w:rsidRPr="00F209B7">
        <w:instrText xml:space="preserve"> \* MERGEFORMAT </w:instrText>
      </w:r>
      <w:r w:rsidRPr="00F209B7">
        <w:fldChar w:fldCharType="separate"/>
      </w:r>
      <w:r w:rsidR="005062E7" w:rsidRPr="00F209B7">
        <w:t xml:space="preserve">Table </w:t>
      </w:r>
      <w:r w:rsidR="005062E7">
        <w:rPr>
          <w:noProof/>
        </w:rPr>
        <w:t>8</w:t>
      </w:r>
      <w:r w:rsidRPr="00F209B7">
        <w:fldChar w:fldCharType="end"/>
      </w:r>
      <w:r w:rsidRPr="00F209B7">
        <w:t xml:space="preserve"> indicates the main costs, benefits and risks to the key stakeholders – small business, the DSBD, the CIPC and other stakeholders. </w:t>
      </w:r>
    </w:p>
    <w:p w14:paraId="06BF8647" w14:textId="0C023E6D" w:rsidR="00E41438" w:rsidRPr="000468A4" w:rsidRDefault="00DC3E23" w:rsidP="00D66738">
      <w:pPr>
        <w:pStyle w:val="Caption"/>
        <w:jc w:val="both"/>
      </w:pPr>
      <w:bookmarkStart w:id="637" w:name="_Ref477876277"/>
      <w:bookmarkStart w:id="638" w:name="_Toc479940965"/>
      <w:r w:rsidRPr="00F209B7">
        <w:t xml:space="preserve">Table </w:t>
      </w:r>
      <w:fldSimple w:instr=" SEQ Table \* ARABIC ">
        <w:r w:rsidR="005062E7">
          <w:rPr>
            <w:noProof/>
          </w:rPr>
          <w:t>8</w:t>
        </w:r>
      </w:fldSimple>
      <w:bookmarkEnd w:id="637"/>
      <w:r w:rsidR="00520601">
        <w:rPr>
          <w:noProof/>
        </w:rPr>
        <w:t>.</w:t>
      </w:r>
      <w:r w:rsidRPr="00F209B7">
        <w:t xml:space="preserve"> </w:t>
      </w:r>
      <w:r w:rsidR="00E41438" w:rsidRPr="000468A4">
        <w:t xml:space="preserve">Costs, benefits and risks </w:t>
      </w:r>
      <w:r w:rsidR="00A703B1" w:rsidRPr="000468A4">
        <w:t xml:space="preserve">of </w:t>
      </w:r>
      <w:r w:rsidRPr="000468A4">
        <w:t xml:space="preserve">options to reform </w:t>
      </w:r>
      <w:r w:rsidR="00E41438" w:rsidRPr="000468A4">
        <w:t>Annual Returns</w:t>
      </w:r>
      <w:bookmarkEnd w:id="638"/>
      <w:r w:rsidR="00E41438" w:rsidRPr="000468A4">
        <w:t xml:space="preserve"> </w:t>
      </w:r>
    </w:p>
    <w:tbl>
      <w:tblPr>
        <w:tblStyle w:val="TableGrid"/>
        <w:tblW w:w="5000" w:type="pct"/>
        <w:tblLook w:val="04A0" w:firstRow="1" w:lastRow="0" w:firstColumn="1" w:lastColumn="0" w:noHBand="0" w:noVBand="1"/>
      </w:tblPr>
      <w:tblGrid>
        <w:gridCol w:w="1564"/>
        <w:gridCol w:w="1919"/>
        <w:gridCol w:w="1889"/>
        <w:gridCol w:w="1889"/>
        <w:gridCol w:w="1981"/>
      </w:tblGrid>
      <w:tr w:rsidR="00E41438" w:rsidRPr="00F209B7" w14:paraId="32E3F38E" w14:textId="77777777" w:rsidTr="00DC3E23">
        <w:trPr>
          <w:cantSplit/>
          <w:tblHeader/>
        </w:trPr>
        <w:tc>
          <w:tcPr>
            <w:tcW w:w="846" w:type="pct"/>
          </w:tcPr>
          <w:p w14:paraId="7C8F0AA9" w14:textId="77777777" w:rsidR="00E41438" w:rsidRPr="00F209B7" w:rsidRDefault="00DC3E23" w:rsidP="00D66738">
            <w:pPr>
              <w:pStyle w:val="charts"/>
              <w:spacing w:before="120"/>
              <w:jc w:val="both"/>
              <w:rPr>
                <w:b/>
                <w:sz w:val="20"/>
              </w:rPr>
            </w:pPr>
            <w:r w:rsidRPr="00F209B7">
              <w:rPr>
                <w:b/>
                <w:sz w:val="20"/>
              </w:rPr>
              <w:t>Option</w:t>
            </w:r>
          </w:p>
        </w:tc>
        <w:tc>
          <w:tcPr>
            <w:tcW w:w="1038" w:type="pct"/>
          </w:tcPr>
          <w:p w14:paraId="1698F06E" w14:textId="46DA87DC" w:rsidR="00E41438" w:rsidRPr="00F209B7" w:rsidRDefault="00520601" w:rsidP="00D66738">
            <w:pPr>
              <w:pStyle w:val="charts"/>
              <w:spacing w:before="120"/>
              <w:jc w:val="both"/>
              <w:rPr>
                <w:b/>
                <w:sz w:val="20"/>
              </w:rPr>
            </w:pPr>
            <w:r>
              <w:rPr>
                <w:b/>
                <w:sz w:val="20"/>
              </w:rPr>
              <w:t>S</w:t>
            </w:r>
            <w:r w:rsidR="00170B5A" w:rsidRPr="00F209B7">
              <w:rPr>
                <w:b/>
                <w:sz w:val="20"/>
              </w:rPr>
              <w:t>mall business</w:t>
            </w:r>
          </w:p>
        </w:tc>
        <w:tc>
          <w:tcPr>
            <w:tcW w:w="1022" w:type="pct"/>
          </w:tcPr>
          <w:p w14:paraId="044C6955" w14:textId="77777777" w:rsidR="00E41438" w:rsidRPr="00F209B7" w:rsidRDefault="00E41438" w:rsidP="00D66738">
            <w:pPr>
              <w:pStyle w:val="charts"/>
              <w:spacing w:before="120"/>
              <w:jc w:val="both"/>
              <w:rPr>
                <w:b/>
                <w:sz w:val="20"/>
              </w:rPr>
            </w:pPr>
            <w:r w:rsidRPr="00F209B7">
              <w:rPr>
                <w:b/>
                <w:sz w:val="20"/>
              </w:rPr>
              <w:t>DSBD</w:t>
            </w:r>
          </w:p>
        </w:tc>
        <w:tc>
          <w:tcPr>
            <w:tcW w:w="1022" w:type="pct"/>
          </w:tcPr>
          <w:p w14:paraId="02718C4B" w14:textId="77777777" w:rsidR="00E41438" w:rsidRPr="00F209B7" w:rsidRDefault="00E41438" w:rsidP="00D66738">
            <w:pPr>
              <w:pStyle w:val="charts"/>
              <w:spacing w:before="120"/>
              <w:jc w:val="both"/>
              <w:rPr>
                <w:b/>
                <w:sz w:val="20"/>
              </w:rPr>
            </w:pPr>
            <w:r w:rsidRPr="00F209B7">
              <w:rPr>
                <w:b/>
                <w:sz w:val="20"/>
              </w:rPr>
              <w:t>Regulator (CIPC)</w:t>
            </w:r>
          </w:p>
        </w:tc>
        <w:tc>
          <w:tcPr>
            <w:tcW w:w="1072" w:type="pct"/>
          </w:tcPr>
          <w:p w14:paraId="591FC561" w14:textId="77777777" w:rsidR="00E41438" w:rsidRPr="00F209B7" w:rsidRDefault="00E41438" w:rsidP="00D66738">
            <w:pPr>
              <w:pStyle w:val="charts"/>
              <w:spacing w:before="120"/>
              <w:jc w:val="both"/>
              <w:rPr>
                <w:b/>
                <w:sz w:val="20"/>
              </w:rPr>
            </w:pPr>
            <w:r w:rsidRPr="00F209B7">
              <w:rPr>
                <w:b/>
                <w:sz w:val="20"/>
              </w:rPr>
              <w:t xml:space="preserve">Other stakeholders </w:t>
            </w:r>
          </w:p>
        </w:tc>
      </w:tr>
      <w:tr w:rsidR="00E41438" w:rsidRPr="00F209B7" w14:paraId="10EF7158" w14:textId="77777777" w:rsidTr="00DC3E23">
        <w:trPr>
          <w:cantSplit/>
        </w:trPr>
        <w:tc>
          <w:tcPr>
            <w:tcW w:w="846" w:type="pct"/>
          </w:tcPr>
          <w:p w14:paraId="6E036CD8" w14:textId="77777777" w:rsidR="00E41438" w:rsidRPr="00F209B7" w:rsidRDefault="00E41438" w:rsidP="00D66738">
            <w:pPr>
              <w:pStyle w:val="charts"/>
              <w:keepNext w:val="0"/>
              <w:spacing w:before="120"/>
              <w:jc w:val="both"/>
              <w:rPr>
                <w:sz w:val="20"/>
              </w:rPr>
            </w:pPr>
            <w:r w:rsidRPr="00F209B7">
              <w:rPr>
                <w:sz w:val="20"/>
              </w:rPr>
              <w:t xml:space="preserve">Option 1: Increase awareness </w:t>
            </w:r>
            <w:r w:rsidR="00DC3E23" w:rsidRPr="00F209B7">
              <w:rPr>
                <w:sz w:val="20"/>
              </w:rPr>
              <w:t xml:space="preserve">through </w:t>
            </w:r>
            <w:r w:rsidRPr="00F209B7">
              <w:rPr>
                <w:sz w:val="20"/>
              </w:rPr>
              <w:t xml:space="preserve">DSBD and CIPC </w:t>
            </w:r>
          </w:p>
        </w:tc>
        <w:tc>
          <w:tcPr>
            <w:tcW w:w="1038" w:type="pct"/>
          </w:tcPr>
          <w:p w14:paraId="147387A4" w14:textId="77777777" w:rsidR="00E41438" w:rsidRPr="00F209B7" w:rsidRDefault="00E41438" w:rsidP="00D66738">
            <w:pPr>
              <w:pStyle w:val="charts"/>
              <w:keepNext w:val="0"/>
              <w:spacing w:before="120"/>
              <w:jc w:val="both"/>
              <w:rPr>
                <w:sz w:val="20"/>
                <w:szCs w:val="20"/>
              </w:rPr>
            </w:pPr>
            <w:r w:rsidRPr="00F209B7">
              <w:rPr>
                <w:sz w:val="20"/>
                <w:szCs w:val="20"/>
              </w:rPr>
              <w:t>C: Non-filing companies will have to pay filing fee</w:t>
            </w:r>
            <w:r w:rsidR="00DC3E23" w:rsidRPr="00F209B7">
              <w:rPr>
                <w:sz w:val="20"/>
                <w:szCs w:val="20"/>
              </w:rPr>
              <w:t xml:space="preserve"> and accept admin burdens</w:t>
            </w:r>
          </w:p>
          <w:p w14:paraId="2F276B15"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DC3E23" w:rsidRPr="00F209B7">
              <w:rPr>
                <w:sz w:val="20"/>
                <w:szCs w:val="20"/>
              </w:rPr>
              <w:t>Avoid costs from being deregistered due to lack of knowledge about requirements</w:t>
            </w:r>
          </w:p>
          <w:p w14:paraId="1643C991"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DC3E23" w:rsidRPr="00F209B7">
              <w:rPr>
                <w:sz w:val="20"/>
                <w:szCs w:val="20"/>
              </w:rPr>
              <w:t>Outreach fails to reach small businesses, which therefore may still be deregistered.</w:t>
            </w:r>
          </w:p>
        </w:tc>
        <w:tc>
          <w:tcPr>
            <w:tcW w:w="1022" w:type="pct"/>
          </w:tcPr>
          <w:p w14:paraId="41987759" w14:textId="70545DE5" w:rsidR="00E41438" w:rsidRPr="00F209B7" w:rsidRDefault="00E41438" w:rsidP="00D66738">
            <w:pPr>
              <w:pStyle w:val="charts"/>
              <w:keepNext w:val="0"/>
              <w:spacing w:before="120"/>
              <w:jc w:val="both"/>
              <w:rPr>
                <w:sz w:val="20"/>
                <w:szCs w:val="20"/>
              </w:rPr>
            </w:pPr>
            <w:r w:rsidRPr="00F209B7">
              <w:rPr>
                <w:sz w:val="20"/>
                <w:szCs w:val="20"/>
              </w:rPr>
              <w:t>C:</w:t>
            </w:r>
            <w:r w:rsidR="00DC3E23" w:rsidRPr="00F209B7">
              <w:rPr>
                <w:sz w:val="20"/>
                <w:szCs w:val="20"/>
              </w:rPr>
              <w:t xml:space="preserve"> Additional work for </w:t>
            </w:r>
            <w:proofErr w:type="spellStart"/>
            <w:r w:rsidR="00520601">
              <w:rPr>
                <w:sz w:val="20"/>
                <w:szCs w:val="20"/>
              </w:rPr>
              <w:t>seda</w:t>
            </w:r>
            <w:proofErr w:type="spellEnd"/>
            <w:r w:rsidR="00D87000">
              <w:rPr>
                <w:sz w:val="20"/>
                <w:szCs w:val="20"/>
              </w:rPr>
              <w:t xml:space="preserve"> and </w:t>
            </w:r>
            <w:proofErr w:type="spellStart"/>
            <w:r w:rsidR="00520601">
              <w:rPr>
                <w:sz w:val="20"/>
                <w:szCs w:val="20"/>
              </w:rPr>
              <w:t>sefa</w:t>
            </w:r>
            <w:proofErr w:type="spellEnd"/>
          </w:p>
          <w:p w14:paraId="1127699A" w14:textId="63CD92BF" w:rsidR="00E41438" w:rsidRPr="00F209B7" w:rsidRDefault="00E41438" w:rsidP="00D66738">
            <w:pPr>
              <w:pStyle w:val="charts"/>
              <w:keepNext w:val="0"/>
              <w:spacing w:before="120"/>
              <w:jc w:val="both"/>
              <w:rPr>
                <w:sz w:val="20"/>
                <w:szCs w:val="20"/>
              </w:rPr>
            </w:pPr>
            <w:r w:rsidRPr="00F209B7">
              <w:rPr>
                <w:sz w:val="20"/>
                <w:szCs w:val="20"/>
              </w:rPr>
              <w:t xml:space="preserve">B: DSBD </w:t>
            </w:r>
            <w:r w:rsidR="00DC3E23" w:rsidRPr="00F209B7">
              <w:rPr>
                <w:sz w:val="20"/>
                <w:szCs w:val="20"/>
              </w:rPr>
              <w:t>benefits from more accurate CIPC database and better environment for small business</w:t>
            </w:r>
          </w:p>
          <w:p w14:paraId="300AEB60"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DC3E23" w:rsidRPr="00F209B7">
              <w:rPr>
                <w:sz w:val="20"/>
                <w:szCs w:val="20"/>
              </w:rPr>
              <w:t xml:space="preserve">Outreach fails to achieve desired aims because </w:t>
            </w:r>
            <w:proofErr w:type="gramStart"/>
            <w:r w:rsidR="00DC3E23" w:rsidRPr="00F209B7">
              <w:rPr>
                <w:sz w:val="20"/>
                <w:szCs w:val="20"/>
              </w:rPr>
              <w:t>doesn’t</w:t>
            </w:r>
            <w:proofErr w:type="gramEnd"/>
            <w:r w:rsidR="00DC3E23" w:rsidRPr="00F209B7">
              <w:rPr>
                <w:sz w:val="20"/>
                <w:szCs w:val="20"/>
              </w:rPr>
              <w:t xml:space="preserve"> have required scope or companies not filing due admin burdens</w:t>
            </w:r>
          </w:p>
        </w:tc>
        <w:tc>
          <w:tcPr>
            <w:tcW w:w="1022" w:type="pct"/>
          </w:tcPr>
          <w:p w14:paraId="2DF47EB8"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DC3E23" w:rsidRPr="00F209B7">
              <w:rPr>
                <w:sz w:val="20"/>
                <w:szCs w:val="20"/>
              </w:rPr>
              <w:t>Additional work and cost to reach small business</w:t>
            </w:r>
          </w:p>
          <w:p w14:paraId="17AE1F34"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DC3E23" w:rsidRPr="00F209B7">
              <w:rPr>
                <w:sz w:val="20"/>
                <w:szCs w:val="20"/>
              </w:rPr>
              <w:t xml:space="preserve">Increased revenues; </w:t>
            </w:r>
            <w:r w:rsidRPr="00F209B7">
              <w:rPr>
                <w:sz w:val="20"/>
                <w:szCs w:val="20"/>
              </w:rPr>
              <w:t>a more accurate database</w:t>
            </w:r>
          </w:p>
          <w:p w14:paraId="0DEFD6E0" w14:textId="77777777" w:rsidR="00E41438" w:rsidRPr="00F209B7" w:rsidRDefault="00E41438" w:rsidP="00D66738">
            <w:pPr>
              <w:pStyle w:val="charts"/>
              <w:keepNext w:val="0"/>
              <w:spacing w:before="120"/>
              <w:jc w:val="both"/>
              <w:rPr>
                <w:sz w:val="20"/>
                <w:szCs w:val="20"/>
              </w:rPr>
            </w:pPr>
            <w:r w:rsidRPr="00F209B7">
              <w:rPr>
                <w:sz w:val="20"/>
                <w:szCs w:val="20"/>
              </w:rPr>
              <w:t>R:</w:t>
            </w:r>
            <w:r w:rsidR="00DC3E23" w:rsidRPr="00F209B7">
              <w:rPr>
                <w:sz w:val="20"/>
                <w:szCs w:val="20"/>
              </w:rPr>
              <w:t xml:space="preserve"> As with DSBD</w:t>
            </w:r>
          </w:p>
        </w:tc>
        <w:tc>
          <w:tcPr>
            <w:tcW w:w="1072" w:type="pct"/>
          </w:tcPr>
          <w:p w14:paraId="4512FFB4" w14:textId="77777777" w:rsidR="00E41438" w:rsidRPr="00F209B7" w:rsidRDefault="00E41438" w:rsidP="00D66738">
            <w:pPr>
              <w:pStyle w:val="charts"/>
              <w:keepNext w:val="0"/>
              <w:spacing w:before="120"/>
              <w:jc w:val="both"/>
              <w:rPr>
                <w:sz w:val="20"/>
                <w:szCs w:val="20"/>
              </w:rPr>
            </w:pPr>
            <w:r w:rsidRPr="00F209B7">
              <w:rPr>
                <w:sz w:val="20"/>
                <w:szCs w:val="20"/>
              </w:rPr>
              <w:t>C</w:t>
            </w:r>
            <w:r w:rsidR="00DC3E23" w:rsidRPr="00F209B7">
              <w:rPr>
                <w:sz w:val="20"/>
                <w:szCs w:val="20"/>
              </w:rPr>
              <w:t>: Opportunity cost as resources directed to outreach campaign (but small)</w:t>
            </w:r>
            <w:r w:rsidRPr="00F209B7">
              <w:rPr>
                <w:sz w:val="20"/>
                <w:szCs w:val="20"/>
              </w:rPr>
              <w:t xml:space="preserve"> </w:t>
            </w:r>
          </w:p>
          <w:p w14:paraId="04E87C4E"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DC3E23" w:rsidRPr="00F209B7">
              <w:rPr>
                <w:sz w:val="20"/>
                <w:szCs w:val="20"/>
              </w:rPr>
              <w:t>Workers in small business benefit with their employers; other citizens benefit from stronger small-business sector</w:t>
            </w:r>
          </w:p>
          <w:p w14:paraId="65F55CA1"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DC3E23" w:rsidRPr="00F209B7">
              <w:rPr>
                <w:sz w:val="20"/>
                <w:szCs w:val="20"/>
              </w:rPr>
              <w:t>As with DSBD</w:t>
            </w:r>
          </w:p>
        </w:tc>
      </w:tr>
      <w:tr w:rsidR="00E41438" w:rsidRPr="00F209B7" w14:paraId="25273B44" w14:textId="77777777" w:rsidTr="00DC3E23">
        <w:trPr>
          <w:cantSplit/>
        </w:trPr>
        <w:tc>
          <w:tcPr>
            <w:tcW w:w="846" w:type="pct"/>
          </w:tcPr>
          <w:p w14:paraId="4CDC032D" w14:textId="77777777" w:rsidR="00E41438" w:rsidRPr="00F209B7" w:rsidRDefault="00E41438" w:rsidP="00D66738">
            <w:pPr>
              <w:pStyle w:val="charts"/>
              <w:keepNext w:val="0"/>
              <w:spacing w:before="120"/>
              <w:jc w:val="both"/>
              <w:rPr>
                <w:sz w:val="20"/>
              </w:rPr>
            </w:pPr>
            <w:r w:rsidRPr="00F209B7">
              <w:rPr>
                <w:sz w:val="20"/>
              </w:rPr>
              <w:lastRenderedPageBreak/>
              <w:t>Option 2: Integrate with SARS Annual Filing (CIPC filing only for dormant companies)</w:t>
            </w:r>
            <w:r w:rsidR="000A4171" w:rsidRPr="00F209B7">
              <w:rPr>
                <w:sz w:val="20"/>
              </w:rPr>
              <w:t>, with fees paid to CIPC through SARS</w:t>
            </w:r>
          </w:p>
        </w:tc>
        <w:tc>
          <w:tcPr>
            <w:tcW w:w="1038" w:type="pct"/>
          </w:tcPr>
          <w:p w14:paraId="2F72B6C1" w14:textId="77777777" w:rsidR="00DC3E23" w:rsidRPr="00F209B7" w:rsidRDefault="00E41438" w:rsidP="00D66738">
            <w:pPr>
              <w:pStyle w:val="charts"/>
              <w:keepNext w:val="0"/>
              <w:spacing w:before="120"/>
              <w:jc w:val="both"/>
              <w:rPr>
                <w:sz w:val="20"/>
                <w:szCs w:val="20"/>
              </w:rPr>
            </w:pPr>
            <w:r w:rsidRPr="00F209B7">
              <w:rPr>
                <w:sz w:val="20"/>
                <w:szCs w:val="20"/>
              </w:rPr>
              <w:t xml:space="preserve">C: </w:t>
            </w:r>
            <w:r w:rsidR="00DC3E23" w:rsidRPr="00F209B7">
              <w:rPr>
                <w:sz w:val="20"/>
                <w:szCs w:val="20"/>
              </w:rPr>
              <w:t>Filing fee will depend on arrangement between SARS and CIPC</w:t>
            </w:r>
          </w:p>
          <w:p w14:paraId="5ED9E90C"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DC3E23" w:rsidRPr="00F209B7">
              <w:rPr>
                <w:sz w:val="20"/>
                <w:szCs w:val="20"/>
              </w:rPr>
              <w:t>Reduced admin burdens for filing as well as benefits of remaining registered</w:t>
            </w:r>
          </w:p>
          <w:p w14:paraId="68CE5084"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DC3E23" w:rsidRPr="00F209B7">
              <w:rPr>
                <w:sz w:val="20"/>
                <w:szCs w:val="20"/>
              </w:rPr>
              <w:t xml:space="preserve">SARS and CIPC do not interface adequately, leading to delays or failure to </w:t>
            </w:r>
            <w:r w:rsidR="000A4171" w:rsidRPr="00F209B7">
              <w:rPr>
                <w:sz w:val="20"/>
                <w:szCs w:val="20"/>
              </w:rPr>
              <w:t>file returns</w:t>
            </w:r>
          </w:p>
        </w:tc>
        <w:tc>
          <w:tcPr>
            <w:tcW w:w="1022" w:type="pct"/>
          </w:tcPr>
          <w:p w14:paraId="4DF3CC04"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A4171" w:rsidRPr="00F209B7">
              <w:rPr>
                <w:sz w:val="20"/>
                <w:szCs w:val="20"/>
              </w:rPr>
              <w:t>None</w:t>
            </w:r>
          </w:p>
          <w:p w14:paraId="1CE69D28" w14:textId="77777777" w:rsidR="000A4171" w:rsidRPr="00F209B7" w:rsidRDefault="00E41438" w:rsidP="00D66738">
            <w:pPr>
              <w:pStyle w:val="charts"/>
              <w:keepNext w:val="0"/>
              <w:spacing w:before="120"/>
              <w:jc w:val="both"/>
              <w:rPr>
                <w:sz w:val="20"/>
                <w:szCs w:val="20"/>
              </w:rPr>
            </w:pPr>
            <w:r w:rsidRPr="00F209B7">
              <w:rPr>
                <w:sz w:val="20"/>
                <w:szCs w:val="20"/>
              </w:rPr>
              <w:t xml:space="preserve">B: </w:t>
            </w:r>
            <w:r w:rsidR="000A4171" w:rsidRPr="00F209B7">
              <w:rPr>
                <w:sz w:val="20"/>
                <w:szCs w:val="20"/>
              </w:rPr>
              <w:t>DSBD benefits from more accurate CIPC database and from better environment for small business</w:t>
            </w:r>
          </w:p>
          <w:p w14:paraId="5627C9FE" w14:textId="2484F9ED" w:rsidR="00E41438" w:rsidRPr="00F209B7" w:rsidRDefault="00E41438" w:rsidP="00D66738">
            <w:pPr>
              <w:pStyle w:val="charts"/>
              <w:keepNext w:val="0"/>
              <w:spacing w:before="120"/>
              <w:jc w:val="both"/>
              <w:rPr>
                <w:sz w:val="20"/>
                <w:szCs w:val="20"/>
              </w:rPr>
            </w:pPr>
            <w:r w:rsidRPr="00F209B7">
              <w:rPr>
                <w:sz w:val="20"/>
                <w:szCs w:val="20"/>
              </w:rPr>
              <w:t>R</w:t>
            </w:r>
            <w:r w:rsidR="000A4171" w:rsidRPr="00F209B7">
              <w:rPr>
                <w:sz w:val="20"/>
                <w:szCs w:val="20"/>
              </w:rPr>
              <w:t xml:space="preserve">: </w:t>
            </w:r>
            <w:r w:rsidR="006967E8">
              <w:rPr>
                <w:sz w:val="20"/>
                <w:szCs w:val="20"/>
              </w:rPr>
              <w:t>Same as small business</w:t>
            </w:r>
          </w:p>
        </w:tc>
        <w:tc>
          <w:tcPr>
            <w:tcW w:w="1022" w:type="pct"/>
          </w:tcPr>
          <w:p w14:paraId="4F7CF388"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A4171" w:rsidRPr="00F209B7">
              <w:rPr>
                <w:sz w:val="20"/>
                <w:szCs w:val="20"/>
              </w:rPr>
              <w:t>Might have to provide some payment to SARS for its services; cost of database interface</w:t>
            </w:r>
          </w:p>
          <w:p w14:paraId="07979595"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0A4171" w:rsidRPr="00F209B7">
              <w:rPr>
                <w:sz w:val="20"/>
                <w:szCs w:val="20"/>
              </w:rPr>
              <w:t>Increased revenues if filing increases above 50%; a more accurate database</w:t>
            </w:r>
          </w:p>
          <w:p w14:paraId="5D521B31" w14:textId="55196C0E" w:rsidR="00E41438" w:rsidRPr="00F209B7" w:rsidRDefault="00E41438" w:rsidP="00D66738">
            <w:pPr>
              <w:pStyle w:val="charts"/>
              <w:keepNext w:val="0"/>
              <w:spacing w:before="120"/>
              <w:jc w:val="both"/>
              <w:rPr>
                <w:sz w:val="20"/>
                <w:szCs w:val="20"/>
              </w:rPr>
            </w:pPr>
            <w:r w:rsidRPr="00F209B7">
              <w:rPr>
                <w:sz w:val="20"/>
                <w:szCs w:val="20"/>
              </w:rPr>
              <w:t>R:</w:t>
            </w:r>
            <w:r w:rsidR="006967E8">
              <w:rPr>
                <w:sz w:val="20"/>
                <w:szCs w:val="20"/>
              </w:rPr>
              <w:t xml:space="preserve"> Same as small business</w:t>
            </w:r>
          </w:p>
        </w:tc>
        <w:tc>
          <w:tcPr>
            <w:tcW w:w="1072" w:type="pct"/>
          </w:tcPr>
          <w:p w14:paraId="31EA0B22"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A4171" w:rsidRPr="00F209B7">
              <w:rPr>
                <w:sz w:val="20"/>
                <w:szCs w:val="20"/>
              </w:rPr>
              <w:t>Opportunity cost for other citizens and companies if SARS invests significant resources into the system</w:t>
            </w:r>
          </w:p>
          <w:p w14:paraId="7AB9D324" w14:textId="77777777" w:rsidR="000A4171" w:rsidRPr="00F209B7" w:rsidRDefault="00E41438" w:rsidP="00D66738">
            <w:pPr>
              <w:pStyle w:val="charts"/>
              <w:keepNext w:val="0"/>
              <w:spacing w:before="120"/>
              <w:jc w:val="both"/>
              <w:rPr>
                <w:sz w:val="20"/>
                <w:szCs w:val="20"/>
              </w:rPr>
            </w:pPr>
            <w:r w:rsidRPr="00F209B7">
              <w:rPr>
                <w:sz w:val="20"/>
                <w:szCs w:val="20"/>
              </w:rPr>
              <w:t xml:space="preserve">B: </w:t>
            </w:r>
            <w:r w:rsidR="000A4171" w:rsidRPr="00F209B7">
              <w:rPr>
                <w:sz w:val="20"/>
                <w:szCs w:val="20"/>
              </w:rPr>
              <w:t>Workers in small business benefit with their employers; other citizens benefit from stronger small-business sector</w:t>
            </w:r>
          </w:p>
          <w:p w14:paraId="45E60A55" w14:textId="77777777" w:rsidR="00E41438" w:rsidRPr="00F209B7" w:rsidRDefault="00E41438" w:rsidP="00D66738">
            <w:pPr>
              <w:pStyle w:val="charts"/>
              <w:keepNext w:val="0"/>
              <w:spacing w:before="120"/>
              <w:jc w:val="both"/>
              <w:rPr>
                <w:sz w:val="20"/>
                <w:szCs w:val="20"/>
              </w:rPr>
            </w:pPr>
            <w:r w:rsidRPr="00F209B7">
              <w:rPr>
                <w:sz w:val="20"/>
                <w:szCs w:val="20"/>
              </w:rPr>
              <w:t xml:space="preserve">R:  Failure of </w:t>
            </w:r>
            <w:r w:rsidR="000A4171" w:rsidRPr="00F209B7">
              <w:rPr>
                <w:sz w:val="20"/>
                <w:szCs w:val="20"/>
              </w:rPr>
              <w:t>interface could affect efficiency in other SARS or CIPC functions</w:t>
            </w:r>
          </w:p>
        </w:tc>
      </w:tr>
      <w:tr w:rsidR="00E41438" w:rsidRPr="00F209B7" w14:paraId="53FB28A0" w14:textId="77777777" w:rsidTr="000B0271">
        <w:trPr>
          <w:cantSplit/>
          <w:trHeight w:val="4149"/>
        </w:trPr>
        <w:tc>
          <w:tcPr>
            <w:tcW w:w="846" w:type="pct"/>
          </w:tcPr>
          <w:p w14:paraId="6D19781E" w14:textId="77777777" w:rsidR="00E41438" w:rsidRPr="00F209B7" w:rsidRDefault="00E41438" w:rsidP="00D66738">
            <w:pPr>
              <w:pStyle w:val="charts"/>
              <w:keepNext w:val="0"/>
              <w:spacing w:before="120"/>
              <w:jc w:val="both"/>
              <w:rPr>
                <w:sz w:val="20"/>
              </w:rPr>
            </w:pPr>
            <w:r w:rsidRPr="00F209B7">
              <w:rPr>
                <w:sz w:val="20"/>
              </w:rPr>
              <w:t>Option 3: Eliminate Annual Returns (altogether or</w:t>
            </w:r>
            <w:r w:rsidR="000A4171" w:rsidRPr="00F209B7">
              <w:rPr>
                <w:sz w:val="20"/>
              </w:rPr>
              <w:t xml:space="preserve"> below a size</w:t>
            </w:r>
            <w:r w:rsidRPr="00F209B7">
              <w:rPr>
                <w:sz w:val="20"/>
              </w:rPr>
              <w:t xml:space="preserve"> threshold)</w:t>
            </w:r>
          </w:p>
        </w:tc>
        <w:tc>
          <w:tcPr>
            <w:tcW w:w="1038" w:type="pct"/>
          </w:tcPr>
          <w:p w14:paraId="0521FDA1" w14:textId="77777777" w:rsidR="00E41438" w:rsidRPr="00F209B7" w:rsidRDefault="000A4171" w:rsidP="00D66738">
            <w:pPr>
              <w:pStyle w:val="charts"/>
              <w:keepNext w:val="0"/>
              <w:spacing w:before="120"/>
              <w:jc w:val="both"/>
              <w:rPr>
                <w:sz w:val="20"/>
                <w:szCs w:val="20"/>
              </w:rPr>
            </w:pPr>
            <w:r w:rsidRPr="00F209B7">
              <w:rPr>
                <w:sz w:val="20"/>
                <w:szCs w:val="20"/>
              </w:rPr>
              <w:t>C: None</w:t>
            </w:r>
            <w:r w:rsidR="00B40020" w:rsidRPr="00F209B7">
              <w:rPr>
                <w:sz w:val="20"/>
                <w:szCs w:val="20"/>
              </w:rPr>
              <w:t xml:space="preserve"> (but see risks)</w:t>
            </w:r>
          </w:p>
          <w:p w14:paraId="040BBE2B" w14:textId="77777777" w:rsidR="000A4171" w:rsidRPr="00F209B7" w:rsidRDefault="000A4171" w:rsidP="00D66738">
            <w:pPr>
              <w:pStyle w:val="charts"/>
              <w:keepNext w:val="0"/>
              <w:spacing w:before="120"/>
              <w:jc w:val="both"/>
              <w:rPr>
                <w:sz w:val="20"/>
                <w:szCs w:val="20"/>
              </w:rPr>
            </w:pPr>
            <w:r w:rsidRPr="00F209B7">
              <w:rPr>
                <w:sz w:val="20"/>
                <w:szCs w:val="20"/>
              </w:rPr>
              <w:t xml:space="preserve">B: At least some small business could not have to file at all. </w:t>
            </w:r>
          </w:p>
          <w:p w14:paraId="518B1F55"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0A4171" w:rsidRPr="00F209B7">
              <w:rPr>
                <w:sz w:val="20"/>
                <w:szCs w:val="20"/>
              </w:rPr>
              <w:t>Less reliable registration of small business could lead to fraud or theft and make it more difficult for small business to engage in the formal economy.</w:t>
            </w:r>
          </w:p>
        </w:tc>
        <w:tc>
          <w:tcPr>
            <w:tcW w:w="1022" w:type="pct"/>
          </w:tcPr>
          <w:p w14:paraId="613DE40E" w14:textId="77777777" w:rsidR="000A4171" w:rsidRPr="00F209B7" w:rsidRDefault="000A4171" w:rsidP="00D66738">
            <w:pPr>
              <w:pStyle w:val="charts"/>
              <w:keepNext w:val="0"/>
              <w:spacing w:before="120"/>
              <w:jc w:val="both"/>
              <w:rPr>
                <w:sz w:val="20"/>
                <w:szCs w:val="20"/>
              </w:rPr>
            </w:pPr>
            <w:r w:rsidRPr="00F209B7">
              <w:rPr>
                <w:sz w:val="20"/>
                <w:szCs w:val="20"/>
              </w:rPr>
              <w:t>C: Less accurate CIPC database on small business would make targeted measures more difficult</w:t>
            </w:r>
          </w:p>
          <w:p w14:paraId="1E62E7AC" w14:textId="77777777" w:rsidR="000A4171" w:rsidRPr="00F209B7" w:rsidRDefault="000A4171" w:rsidP="00D66738">
            <w:pPr>
              <w:pStyle w:val="charts"/>
              <w:keepNext w:val="0"/>
              <w:spacing w:before="120"/>
              <w:jc w:val="both"/>
              <w:rPr>
                <w:sz w:val="20"/>
                <w:szCs w:val="20"/>
              </w:rPr>
            </w:pPr>
            <w:r w:rsidRPr="00F209B7">
              <w:rPr>
                <w:sz w:val="20"/>
                <w:szCs w:val="20"/>
              </w:rPr>
              <w:t>B: Some improvement in conditions for some small business at least in short run</w:t>
            </w:r>
          </w:p>
          <w:p w14:paraId="535E6B41" w14:textId="77777777" w:rsidR="00E41438" w:rsidRPr="00F209B7" w:rsidRDefault="000A4171" w:rsidP="00D66738">
            <w:pPr>
              <w:pStyle w:val="charts"/>
              <w:keepNext w:val="0"/>
              <w:spacing w:before="120"/>
              <w:jc w:val="both"/>
              <w:rPr>
                <w:sz w:val="20"/>
                <w:szCs w:val="20"/>
              </w:rPr>
            </w:pPr>
            <w:r w:rsidRPr="00F209B7">
              <w:rPr>
                <w:sz w:val="20"/>
                <w:szCs w:val="20"/>
              </w:rPr>
              <w:t>R: Worse database leads to increasing exclusion of small business from formal economy.</w:t>
            </w:r>
          </w:p>
        </w:tc>
        <w:tc>
          <w:tcPr>
            <w:tcW w:w="1022" w:type="pct"/>
          </w:tcPr>
          <w:p w14:paraId="6845782C"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A4171" w:rsidRPr="00F209B7">
              <w:rPr>
                <w:sz w:val="20"/>
                <w:szCs w:val="20"/>
              </w:rPr>
              <w:t>Substantial l</w:t>
            </w:r>
            <w:r w:rsidRPr="00F209B7">
              <w:rPr>
                <w:sz w:val="20"/>
                <w:szCs w:val="20"/>
              </w:rPr>
              <w:t>oss in revenue</w:t>
            </w:r>
            <w:r w:rsidR="000A4171" w:rsidRPr="00F209B7">
              <w:rPr>
                <w:sz w:val="20"/>
                <w:szCs w:val="20"/>
              </w:rPr>
              <w:t xml:space="preserve"> plus cost of amending </w:t>
            </w:r>
            <w:r w:rsidRPr="00F209B7">
              <w:rPr>
                <w:sz w:val="20"/>
                <w:szCs w:val="20"/>
              </w:rPr>
              <w:t xml:space="preserve">the companies Act (section 33). </w:t>
            </w:r>
          </w:p>
          <w:p w14:paraId="4C202ED6" w14:textId="77777777" w:rsidR="00E41438" w:rsidRPr="00F209B7" w:rsidRDefault="00E41438" w:rsidP="00D66738">
            <w:pPr>
              <w:pStyle w:val="charts"/>
              <w:keepNext w:val="0"/>
              <w:spacing w:before="120"/>
              <w:jc w:val="both"/>
              <w:rPr>
                <w:sz w:val="20"/>
                <w:szCs w:val="20"/>
              </w:rPr>
            </w:pPr>
            <w:r w:rsidRPr="00F209B7">
              <w:rPr>
                <w:sz w:val="20"/>
                <w:szCs w:val="20"/>
              </w:rPr>
              <w:t>B: Could result in increased compliance</w:t>
            </w:r>
            <w:r w:rsidR="000A4171" w:rsidRPr="00F209B7">
              <w:rPr>
                <w:sz w:val="20"/>
                <w:szCs w:val="20"/>
              </w:rPr>
              <w:t xml:space="preserve"> as can focus on larger companies, sustaining revenues </w:t>
            </w:r>
          </w:p>
          <w:p w14:paraId="09B1B571" w14:textId="77777777" w:rsidR="00E41438" w:rsidRPr="00F209B7" w:rsidRDefault="00E41438" w:rsidP="00D66738">
            <w:pPr>
              <w:pStyle w:val="charts"/>
              <w:keepNext w:val="0"/>
              <w:spacing w:before="120"/>
              <w:jc w:val="both"/>
              <w:rPr>
                <w:sz w:val="20"/>
                <w:szCs w:val="20"/>
              </w:rPr>
            </w:pPr>
            <w:r w:rsidRPr="00F209B7">
              <w:rPr>
                <w:sz w:val="20"/>
                <w:szCs w:val="20"/>
              </w:rPr>
              <w:t>R:</w:t>
            </w:r>
            <w:r w:rsidR="000A4171" w:rsidRPr="00F209B7">
              <w:rPr>
                <w:sz w:val="20"/>
                <w:szCs w:val="20"/>
              </w:rPr>
              <w:t xml:space="preserve"> Lower quality database.</w:t>
            </w:r>
          </w:p>
        </w:tc>
        <w:tc>
          <w:tcPr>
            <w:tcW w:w="1072" w:type="pct"/>
          </w:tcPr>
          <w:p w14:paraId="018A6089"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A4171" w:rsidRPr="00F209B7">
              <w:rPr>
                <w:sz w:val="20"/>
                <w:szCs w:val="20"/>
              </w:rPr>
              <w:t xml:space="preserve">If state has to support </w:t>
            </w:r>
            <w:r w:rsidR="00B40020" w:rsidRPr="00F209B7">
              <w:rPr>
                <w:sz w:val="20"/>
                <w:szCs w:val="20"/>
              </w:rPr>
              <w:t>CIPC due to loss of revenues, then cost to other programmes; workers in small business lose if slower growth in long run</w:t>
            </w:r>
          </w:p>
          <w:p w14:paraId="34A608E4"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B40020" w:rsidRPr="00F209B7">
              <w:rPr>
                <w:sz w:val="20"/>
                <w:szCs w:val="20"/>
              </w:rPr>
              <w:t>In the short run, some benefit from stronger small-business sector for both workers and communities</w:t>
            </w:r>
          </w:p>
          <w:p w14:paraId="60AFD13E" w14:textId="18314376" w:rsidR="00E41438" w:rsidRPr="00F209B7" w:rsidRDefault="00E41438" w:rsidP="00D66738">
            <w:pPr>
              <w:pStyle w:val="charts"/>
              <w:keepNext w:val="0"/>
              <w:spacing w:before="120"/>
              <w:jc w:val="both"/>
              <w:rPr>
                <w:sz w:val="20"/>
                <w:szCs w:val="20"/>
              </w:rPr>
            </w:pPr>
            <w:r w:rsidRPr="00F209B7">
              <w:rPr>
                <w:sz w:val="20"/>
                <w:szCs w:val="20"/>
              </w:rPr>
              <w:t>R:</w:t>
            </w:r>
            <w:r w:rsidR="00B40020" w:rsidRPr="00F209B7">
              <w:rPr>
                <w:sz w:val="20"/>
                <w:szCs w:val="20"/>
              </w:rPr>
              <w:t xml:space="preserve"> </w:t>
            </w:r>
            <w:r w:rsidR="006967E8">
              <w:rPr>
                <w:sz w:val="20"/>
                <w:szCs w:val="20"/>
              </w:rPr>
              <w:t>Same a</w:t>
            </w:r>
            <w:r w:rsidR="00B40020" w:rsidRPr="00F209B7">
              <w:rPr>
                <w:sz w:val="20"/>
                <w:szCs w:val="20"/>
              </w:rPr>
              <w:t>s for small business.</w:t>
            </w:r>
            <w:r w:rsidRPr="00F209B7">
              <w:rPr>
                <w:sz w:val="20"/>
                <w:szCs w:val="20"/>
              </w:rPr>
              <w:t>.</w:t>
            </w:r>
          </w:p>
        </w:tc>
      </w:tr>
    </w:tbl>
    <w:p w14:paraId="65527643" w14:textId="68DB5408" w:rsidR="00B40020" w:rsidRPr="00F209B7" w:rsidRDefault="00B40020" w:rsidP="00D66738">
      <w:pPr>
        <w:jc w:val="both"/>
      </w:pPr>
      <w:r w:rsidRPr="00F209B7">
        <w:t xml:space="preserve">The assessment of costs, benefits and risks indicates that the </w:t>
      </w:r>
      <w:r w:rsidR="006967E8">
        <w:t xml:space="preserve">preferred </w:t>
      </w:r>
      <w:r w:rsidRPr="00F209B7">
        <w:t>option is to integrate CIPC Annual Returns with SARS.</w:t>
      </w:r>
      <w:r w:rsidR="006967E8">
        <w:t xml:space="preserve"> C</w:t>
      </w:r>
      <w:r w:rsidRPr="00F209B7">
        <w:t xml:space="preserve">ompanies have to provide returns to SARS, and the state has an interest in sustaining that function, but the CIPC returns can </w:t>
      </w:r>
      <w:r w:rsidR="00C731FB">
        <w:t>integrate with</w:t>
      </w:r>
      <w:r w:rsidR="001330C7">
        <w:t xml:space="preserve"> </w:t>
      </w:r>
      <w:r w:rsidRPr="00F209B7">
        <w:t xml:space="preserve">it. The fees to the CIPC could be levied by SARS as part of normal tax assessment and then transferred to the CIPC. </w:t>
      </w:r>
    </w:p>
    <w:p w14:paraId="278FD703" w14:textId="77777777" w:rsidR="00B40020" w:rsidRPr="00F209B7" w:rsidRDefault="00B40020" w:rsidP="00D66738">
      <w:pPr>
        <w:jc w:val="both"/>
      </w:pPr>
      <w:r w:rsidRPr="00F209B7">
        <w:t xml:space="preserve">The main challenge is that both SARS and the CIPC have capacity constraints in managing their databases. As noted in the table, it would be important to manage the transfer to the new system and the interface between SARS and the CIPC carefully in order to maintain both CIPC revenues and the integrity of the registry. </w:t>
      </w:r>
    </w:p>
    <w:p w14:paraId="54384C6E" w14:textId="77777777" w:rsidR="00B40020" w:rsidRPr="00F209B7" w:rsidRDefault="00B40020" w:rsidP="00D66738">
      <w:pPr>
        <w:jc w:val="both"/>
      </w:pPr>
      <w:r w:rsidRPr="00F209B7">
        <w:t xml:space="preserve">Inactive or dormant companies may still file their Annual Returns with </w:t>
      </w:r>
      <w:proofErr w:type="gramStart"/>
      <w:r w:rsidRPr="00F209B7">
        <w:t>CIPC, since</w:t>
      </w:r>
      <w:proofErr w:type="gramEnd"/>
      <w:r w:rsidRPr="00F209B7">
        <w:t xml:space="preserve"> they do not pay tax. They would have to provide evidence of dormancy (such as a bank statement with no transactions) and could be enabled to file Annual Returns at a minimal fee.</w:t>
      </w:r>
    </w:p>
    <w:p w14:paraId="0ED8F699" w14:textId="77777777" w:rsidR="00E41438" w:rsidRPr="00F209B7" w:rsidRDefault="00B40020" w:rsidP="00D66738">
      <w:pPr>
        <w:pStyle w:val="Heading4"/>
        <w:jc w:val="both"/>
        <w:rPr>
          <w:rFonts w:eastAsia="Calibri"/>
        </w:rPr>
      </w:pPr>
      <w:r w:rsidRPr="00F209B7">
        <w:rPr>
          <w:rFonts w:eastAsia="Calibri"/>
        </w:rPr>
        <w:lastRenderedPageBreak/>
        <w:t>Minimising the audit burden on co-operatives</w:t>
      </w:r>
    </w:p>
    <w:p w14:paraId="34790EDE" w14:textId="77777777" w:rsidR="00B40020" w:rsidRPr="00F209B7" w:rsidRDefault="00B40020" w:rsidP="00D66738">
      <w:pPr>
        <w:jc w:val="both"/>
      </w:pPr>
      <w:r w:rsidRPr="00F209B7">
        <w:t xml:space="preserve">The following options were developed to reduce the burden on co-operatives of the audit requirement. </w:t>
      </w:r>
    </w:p>
    <w:p w14:paraId="233C38D6" w14:textId="323A45F3" w:rsidR="00A703B1" w:rsidRPr="00F209B7" w:rsidRDefault="00A703B1" w:rsidP="00D66738">
      <w:pPr>
        <w:pStyle w:val="ListParagraph"/>
        <w:numPr>
          <w:ilvl w:val="0"/>
          <w:numId w:val="33"/>
        </w:numPr>
        <w:jc w:val="both"/>
      </w:pPr>
      <w:r w:rsidRPr="00F209B7">
        <w:t xml:space="preserve">Option 1: DSBD funds the audit through </w:t>
      </w:r>
      <w:proofErr w:type="spellStart"/>
      <w:r w:rsidR="00520601">
        <w:t>sefa</w:t>
      </w:r>
      <w:proofErr w:type="spellEnd"/>
    </w:p>
    <w:p w14:paraId="585D2994" w14:textId="576ADB4B" w:rsidR="00A703B1" w:rsidRPr="00F209B7" w:rsidRDefault="006967E8" w:rsidP="00D66738">
      <w:pPr>
        <w:pStyle w:val="ListParagraph"/>
        <w:numPr>
          <w:ilvl w:val="0"/>
          <w:numId w:val="33"/>
        </w:numPr>
        <w:jc w:val="both"/>
      </w:pPr>
      <w:r>
        <w:t>Option 2: Policy directive</w:t>
      </w:r>
      <w:r w:rsidR="00A703B1" w:rsidRPr="00F209B7">
        <w:t>s or amendments clarify the exemption criteria to minimise the requirements to larger and better established co-ops.</w:t>
      </w:r>
    </w:p>
    <w:p w14:paraId="091109AE" w14:textId="77777777" w:rsidR="00A703B1" w:rsidRPr="00F209B7" w:rsidRDefault="00A703B1" w:rsidP="00D66738">
      <w:pPr>
        <w:pStyle w:val="ListParagraph"/>
        <w:numPr>
          <w:ilvl w:val="0"/>
          <w:numId w:val="33"/>
        </w:numPr>
        <w:jc w:val="both"/>
      </w:pPr>
      <w:r w:rsidRPr="00F209B7">
        <w:t>Option 3: Eliminate compulsory audits (some cooperatives would still have to undergo routine SARS audits and could institute them in any case if they wanted)</w:t>
      </w:r>
    </w:p>
    <w:p w14:paraId="6DAD15CD" w14:textId="234F5925" w:rsidR="00A703B1" w:rsidRPr="00F209B7" w:rsidRDefault="00A703B1" w:rsidP="00D66738">
      <w:pPr>
        <w:jc w:val="both"/>
      </w:pPr>
      <w:r w:rsidRPr="00F209B7">
        <w:fldChar w:fldCharType="begin"/>
      </w:r>
      <w:r w:rsidRPr="00F209B7">
        <w:instrText xml:space="preserve"> REF _Ref477879685 \h </w:instrText>
      </w:r>
      <w:r w:rsidR="00493691" w:rsidRPr="00F209B7">
        <w:instrText xml:space="preserve"> \* MERGEFORMAT </w:instrText>
      </w:r>
      <w:r w:rsidRPr="00F209B7">
        <w:fldChar w:fldCharType="separate"/>
      </w:r>
      <w:r w:rsidR="005062E7" w:rsidRPr="00F209B7">
        <w:t xml:space="preserve">Table </w:t>
      </w:r>
      <w:r w:rsidR="005062E7">
        <w:rPr>
          <w:noProof/>
        </w:rPr>
        <w:t>9</w:t>
      </w:r>
      <w:r w:rsidRPr="00F209B7">
        <w:fldChar w:fldCharType="end"/>
      </w:r>
      <w:r w:rsidRPr="00F209B7">
        <w:t xml:space="preserve"> summarises the main costs, benefits and risks to the key stakeholders</w:t>
      </w:r>
    </w:p>
    <w:p w14:paraId="242A3F27" w14:textId="0C788451" w:rsidR="00E41438" w:rsidRPr="000468A4" w:rsidRDefault="00A703B1" w:rsidP="00D66738">
      <w:pPr>
        <w:pStyle w:val="Caption"/>
        <w:jc w:val="both"/>
      </w:pPr>
      <w:bookmarkStart w:id="639" w:name="_Ref477879685"/>
      <w:bookmarkStart w:id="640" w:name="_Toc479940966"/>
      <w:r w:rsidRPr="00F209B7">
        <w:t xml:space="preserve">Table </w:t>
      </w:r>
      <w:fldSimple w:instr=" SEQ Table \* ARABIC ">
        <w:r w:rsidR="005062E7">
          <w:rPr>
            <w:noProof/>
          </w:rPr>
          <w:t>9</w:t>
        </w:r>
      </w:fldSimple>
      <w:bookmarkEnd w:id="639"/>
      <w:r w:rsidR="006967E8">
        <w:rPr>
          <w:noProof/>
        </w:rPr>
        <w:t>.</w:t>
      </w:r>
      <w:r w:rsidRPr="00F209B7">
        <w:t xml:space="preserve"> </w:t>
      </w:r>
      <w:r w:rsidR="00E41438" w:rsidRPr="000468A4">
        <w:t xml:space="preserve">Costs, benefits and risks </w:t>
      </w:r>
      <w:r w:rsidRPr="000468A4">
        <w:t>of modifying compulsory audits for co-operatives</w:t>
      </w:r>
      <w:bookmarkEnd w:id="640"/>
    </w:p>
    <w:tbl>
      <w:tblPr>
        <w:tblStyle w:val="TableGrid"/>
        <w:tblW w:w="5000" w:type="pct"/>
        <w:tblLook w:val="04A0" w:firstRow="1" w:lastRow="0" w:firstColumn="1" w:lastColumn="0" w:noHBand="0" w:noVBand="1"/>
      </w:tblPr>
      <w:tblGrid>
        <w:gridCol w:w="1263"/>
        <w:gridCol w:w="1681"/>
        <w:gridCol w:w="2266"/>
        <w:gridCol w:w="2052"/>
        <w:gridCol w:w="1980"/>
      </w:tblGrid>
      <w:tr w:rsidR="000F3700" w:rsidRPr="00F209B7" w14:paraId="2567E65F" w14:textId="77777777" w:rsidTr="006D7A1C">
        <w:trPr>
          <w:cantSplit/>
          <w:tblHeader/>
        </w:trPr>
        <w:tc>
          <w:tcPr>
            <w:tcW w:w="683" w:type="pct"/>
          </w:tcPr>
          <w:p w14:paraId="03C58161" w14:textId="77777777" w:rsidR="00E41438" w:rsidRPr="00F209B7" w:rsidRDefault="00E41438" w:rsidP="00D66738">
            <w:pPr>
              <w:pStyle w:val="charts"/>
              <w:keepNext w:val="0"/>
              <w:spacing w:before="120"/>
              <w:jc w:val="both"/>
              <w:rPr>
                <w:b/>
                <w:sz w:val="20"/>
              </w:rPr>
            </w:pPr>
          </w:p>
        </w:tc>
        <w:tc>
          <w:tcPr>
            <w:tcW w:w="909" w:type="pct"/>
          </w:tcPr>
          <w:p w14:paraId="4B012148" w14:textId="77777777" w:rsidR="00E41438" w:rsidRPr="00F209B7" w:rsidRDefault="00B40020" w:rsidP="00D66738">
            <w:pPr>
              <w:pStyle w:val="charts"/>
              <w:keepNext w:val="0"/>
              <w:spacing w:before="120"/>
              <w:jc w:val="both"/>
              <w:rPr>
                <w:b/>
                <w:sz w:val="20"/>
              </w:rPr>
            </w:pPr>
            <w:r w:rsidRPr="00F209B7">
              <w:rPr>
                <w:b/>
                <w:sz w:val="20"/>
              </w:rPr>
              <w:t>Co-op</w:t>
            </w:r>
            <w:r w:rsidR="00A703B1" w:rsidRPr="00F209B7">
              <w:rPr>
                <w:b/>
                <w:sz w:val="20"/>
              </w:rPr>
              <w:t>eratives</w:t>
            </w:r>
          </w:p>
        </w:tc>
        <w:tc>
          <w:tcPr>
            <w:tcW w:w="1226" w:type="pct"/>
          </w:tcPr>
          <w:p w14:paraId="0566A618" w14:textId="77777777" w:rsidR="00E41438" w:rsidRPr="00F209B7" w:rsidRDefault="00E41438" w:rsidP="00D66738">
            <w:pPr>
              <w:pStyle w:val="charts"/>
              <w:keepNext w:val="0"/>
              <w:spacing w:before="120"/>
              <w:jc w:val="both"/>
              <w:rPr>
                <w:b/>
                <w:sz w:val="20"/>
              </w:rPr>
            </w:pPr>
            <w:r w:rsidRPr="00F209B7">
              <w:rPr>
                <w:b/>
                <w:sz w:val="20"/>
              </w:rPr>
              <w:t>DSBD</w:t>
            </w:r>
          </w:p>
        </w:tc>
        <w:tc>
          <w:tcPr>
            <w:tcW w:w="1110" w:type="pct"/>
          </w:tcPr>
          <w:p w14:paraId="4DFE9F84" w14:textId="77777777" w:rsidR="00E41438" w:rsidRPr="00F209B7" w:rsidRDefault="00E41438" w:rsidP="00D66738">
            <w:pPr>
              <w:pStyle w:val="charts"/>
              <w:keepNext w:val="0"/>
              <w:spacing w:before="120"/>
              <w:jc w:val="both"/>
              <w:rPr>
                <w:b/>
                <w:sz w:val="20"/>
              </w:rPr>
            </w:pPr>
            <w:r w:rsidRPr="00F209B7">
              <w:rPr>
                <w:b/>
                <w:sz w:val="20"/>
              </w:rPr>
              <w:t xml:space="preserve">Regulator (CIPC) </w:t>
            </w:r>
          </w:p>
        </w:tc>
        <w:tc>
          <w:tcPr>
            <w:tcW w:w="1071" w:type="pct"/>
          </w:tcPr>
          <w:p w14:paraId="3C3A58A8" w14:textId="77777777" w:rsidR="00E41438" w:rsidRPr="00F209B7" w:rsidRDefault="00E41438" w:rsidP="00D66738">
            <w:pPr>
              <w:pStyle w:val="charts"/>
              <w:keepNext w:val="0"/>
              <w:spacing w:before="120"/>
              <w:jc w:val="both"/>
              <w:rPr>
                <w:b/>
                <w:sz w:val="20"/>
              </w:rPr>
            </w:pPr>
            <w:r w:rsidRPr="00F209B7">
              <w:rPr>
                <w:b/>
                <w:sz w:val="20"/>
              </w:rPr>
              <w:t xml:space="preserve">Other stakeholders </w:t>
            </w:r>
          </w:p>
        </w:tc>
      </w:tr>
      <w:tr w:rsidR="000F3700" w:rsidRPr="00F209B7" w14:paraId="507ED10F" w14:textId="77777777" w:rsidTr="006D7A1C">
        <w:trPr>
          <w:cantSplit/>
        </w:trPr>
        <w:tc>
          <w:tcPr>
            <w:tcW w:w="683" w:type="pct"/>
          </w:tcPr>
          <w:p w14:paraId="1DFD8CFA" w14:textId="385EF880" w:rsidR="00E41438" w:rsidRPr="00F209B7" w:rsidRDefault="00E41438" w:rsidP="00D66738">
            <w:pPr>
              <w:pStyle w:val="charts"/>
              <w:keepNext w:val="0"/>
              <w:spacing w:before="120"/>
              <w:jc w:val="both"/>
              <w:rPr>
                <w:sz w:val="20"/>
              </w:rPr>
            </w:pPr>
            <w:r w:rsidRPr="00F209B7">
              <w:rPr>
                <w:sz w:val="20"/>
              </w:rPr>
              <w:t>Option 1: DSBD fund</w:t>
            </w:r>
            <w:r w:rsidR="00A703B1" w:rsidRPr="00F209B7">
              <w:rPr>
                <w:sz w:val="20"/>
              </w:rPr>
              <w:t>s</w:t>
            </w:r>
            <w:r w:rsidRPr="00F209B7">
              <w:rPr>
                <w:sz w:val="20"/>
              </w:rPr>
              <w:t xml:space="preserve"> the audit </w:t>
            </w:r>
            <w:r w:rsidR="00A703B1" w:rsidRPr="00F209B7">
              <w:rPr>
                <w:sz w:val="20"/>
              </w:rPr>
              <w:t xml:space="preserve">through </w:t>
            </w:r>
            <w:proofErr w:type="spellStart"/>
            <w:r w:rsidR="00520601">
              <w:rPr>
                <w:sz w:val="20"/>
              </w:rPr>
              <w:t>sefa</w:t>
            </w:r>
            <w:proofErr w:type="spellEnd"/>
          </w:p>
        </w:tc>
        <w:tc>
          <w:tcPr>
            <w:tcW w:w="909" w:type="pct"/>
          </w:tcPr>
          <w:p w14:paraId="23160AB8" w14:textId="77777777" w:rsidR="00E41438" w:rsidRPr="00F209B7" w:rsidRDefault="00E41438" w:rsidP="00D66738">
            <w:pPr>
              <w:pStyle w:val="charts"/>
              <w:keepNext w:val="0"/>
              <w:spacing w:before="120"/>
              <w:jc w:val="both"/>
              <w:rPr>
                <w:sz w:val="20"/>
                <w:szCs w:val="20"/>
              </w:rPr>
            </w:pPr>
            <w:r w:rsidRPr="00F209B7">
              <w:rPr>
                <w:sz w:val="20"/>
                <w:szCs w:val="20"/>
              </w:rPr>
              <w:t>C: No costs</w:t>
            </w:r>
          </w:p>
          <w:p w14:paraId="1FA5FBA7" w14:textId="77777777" w:rsidR="00E41438" w:rsidRPr="00F209B7" w:rsidRDefault="00E41438" w:rsidP="00D66738">
            <w:pPr>
              <w:pStyle w:val="charts"/>
              <w:keepNext w:val="0"/>
              <w:spacing w:before="120"/>
              <w:jc w:val="both"/>
              <w:rPr>
                <w:sz w:val="20"/>
                <w:szCs w:val="20"/>
              </w:rPr>
            </w:pPr>
            <w:r w:rsidRPr="00F209B7">
              <w:rPr>
                <w:sz w:val="20"/>
                <w:szCs w:val="20"/>
              </w:rPr>
              <w:t>B: Free audit; improved financial management</w:t>
            </w:r>
          </w:p>
          <w:p w14:paraId="3DB40218" w14:textId="77777777" w:rsidR="00E41438" w:rsidRPr="00F209B7" w:rsidRDefault="00E41438" w:rsidP="00D66738">
            <w:pPr>
              <w:pStyle w:val="charts"/>
              <w:keepNext w:val="0"/>
              <w:spacing w:before="120"/>
              <w:jc w:val="both"/>
              <w:rPr>
                <w:sz w:val="20"/>
                <w:szCs w:val="20"/>
              </w:rPr>
            </w:pPr>
            <w:r w:rsidRPr="00F209B7">
              <w:rPr>
                <w:sz w:val="20"/>
                <w:szCs w:val="20"/>
              </w:rPr>
              <w:t>R: No risks</w:t>
            </w:r>
          </w:p>
        </w:tc>
        <w:tc>
          <w:tcPr>
            <w:tcW w:w="1226" w:type="pct"/>
          </w:tcPr>
          <w:p w14:paraId="3DC1370C" w14:textId="2D28A16F" w:rsidR="00E41438" w:rsidRPr="00F209B7" w:rsidRDefault="00E41438" w:rsidP="00D66738">
            <w:pPr>
              <w:pStyle w:val="charts"/>
              <w:keepNext w:val="0"/>
              <w:spacing w:before="120"/>
              <w:jc w:val="both"/>
              <w:rPr>
                <w:sz w:val="20"/>
                <w:szCs w:val="20"/>
              </w:rPr>
            </w:pPr>
            <w:r w:rsidRPr="00F209B7">
              <w:rPr>
                <w:sz w:val="20"/>
                <w:szCs w:val="20"/>
              </w:rPr>
              <w:t xml:space="preserve">C: </w:t>
            </w:r>
            <w:r w:rsidR="00A703B1" w:rsidRPr="00F209B7">
              <w:rPr>
                <w:sz w:val="20"/>
                <w:szCs w:val="20"/>
              </w:rPr>
              <w:t>14 000 co-ops registered in 2015/6. The cost of funding their au</w:t>
            </w:r>
            <w:r w:rsidR="006D7A1C">
              <w:rPr>
                <w:sz w:val="20"/>
                <w:szCs w:val="20"/>
              </w:rPr>
              <w:t xml:space="preserve">dits would come to over R100 </w:t>
            </w:r>
            <w:proofErr w:type="spellStart"/>
            <w:r w:rsidR="00A703B1" w:rsidRPr="00F209B7">
              <w:rPr>
                <w:sz w:val="20"/>
                <w:szCs w:val="20"/>
              </w:rPr>
              <w:t>mn</w:t>
            </w:r>
            <w:proofErr w:type="spellEnd"/>
            <w:r w:rsidR="00A703B1" w:rsidRPr="00F209B7">
              <w:rPr>
                <w:sz w:val="20"/>
                <w:szCs w:val="20"/>
              </w:rPr>
              <w:t xml:space="preserve">. </w:t>
            </w:r>
          </w:p>
          <w:p w14:paraId="3869A984"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A703B1" w:rsidRPr="00F209B7">
              <w:rPr>
                <w:sz w:val="20"/>
                <w:szCs w:val="20"/>
              </w:rPr>
              <w:t>Reduce the burden on co-ops without undermining financial management.</w:t>
            </w:r>
          </w:p>
          <w:p w14:paraId="489904D8"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A703B1" w:rsidRPr="00F209B7">
              <w:rPr>
                <w:sz w:val="20"/>
                <w:szCs w:val="20"/>
              </w:rPr>
              <w:t>Cost goes up as more co-ops register in order to benefit from free audit</w:t>
            </w:r>
            <w:r w:rsidR="000F3700" w:rsidRPr="00F209B7">
              <w:rPr>
                <w:sz w:val="20"/>
                <w:szCs w:val="20"/>
              </w:rPr>
              <w:t xml:space="preserve">; co-ops fail despite free </w:t>
            </w:r>
            <w:proofErr w:type="gramStart"/>
            <w:r w:rsidR="000F3700" w:rsidRPr="00F209B7">
              <w:rPr>
                <w:sz w:val="20"/>
                <w:szCs w:val="20"/>
              </w:rPr>
              <w:t>audit</w:t>
            </w:r>
            <w:proofErr w:type="gramEnd"/>
            <w:r w:rsidR="000F3700" w:rsidRPr="00F209B7">
              <w:rPr>
                <w:sz w:val="20"/>
                <w:szCs w:val="20"/>
              </w:rPr>
              <w:t xml:space="preserve"> so money is wasted</w:t>
            </w:r>
          </w:p>
        </w:tc>
        <w:tc>
          <w:tcPr>
            <w:tcW w:w="1110" w:type="pct"/>
          </w:tcPr>
          <w:p w14:paraId="315BAEC8"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F3700" w:rsidRPr="00F209B7">
              <w:rPr>
                <w:sz w:val="20"/>
                <w:szCs w:val="20"/>
              </w:rPr>
              <w:t>No cost</w:t>
            </w:r>
          </w:p>
          <w:p w14:paraId="254D001B"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0F3700" w:rsidRPr="00F209B7">
              <w:rPr>
                <w:sz w:val="20"/>
                <w:szCs w:val="20"/>
              </w:rPr>
              <w:t>Less pushback when registering co-ops</w:t>
            </w:r>
          </w:p>
          <w:p w14:paraId="1609D04C"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0F3700" w:rsidRPr="00F209B7">
              <w:rPr>
                <w:sz w:val="20"/>
                <w:szCs w:val="20"/>
              </w:rPr>
              <w:t>Increased</w:t>
            </w:r>
            <w:r w:rsidRPr="00F209B7">
              <w:rPr>
                <w:sz w:val="20"/>
                <w:szCs w:val="20"/>
              </w:rPr>
              <w:t xml:space="preserve"> number of cooperatives register to access </w:t>
            </w:r>
            <w:r w:rsidR="000F3700" w:rsidRPr="00F209B7">
              <w:rPr>
                <w:sz w:val="20"/>
                <w:szCs w:val="20"/>
              </w:rPr>
              <w:t xml:space="preserve">the </w:t>
            </w:r>
            <w:r w:rsidRPr="00F209B7">
              <w:rPr>
                <w:sz w:val="20"/>
                <w:szCs w:val="20"/>
              </w:rPr>
              <w:t>benefit</w:t>
            </w:r>
            <w:r w:rsidR="000F3700" w:rsidRPr="00F209B7">
              <w:rPr>
                <w:sz w:val="20"/>
                <w:szCs w:val="20"/>
              </w:rPr>
              <w:t>, straining CIPC capacity</w:t>
            </w:r>
          </w:p>
        </w:tc>
        <w:tc>
          <w:tcPr>
            <w:tcW w:w="1071" w:type="pct"/>
          </w:tcPr>
          <w:p w14:paraId="1188A7D6"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F3700" w:rsidRPr="00F209B7">
              <w:rPr>
                <w:sz w:val="20"/>
                <w:szCs w:val="20"/>
              </w:rPr>
              <w:t>Opportunity cost for other government programmes</w:t>
            </w:r>
          </w:p>
          <w:p w14:paraId="429B875F"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0F3700" w:rsidRPr="00F209B7">
              <w:rPr>
                <w:sz w:val="20"/>
                <w:szCs w:val="20"/>
              </w:rPr>
              <w:t>Benefits to community from stronger co-op movement</w:t>
            </w:r>
          </w:p>
          <w:p w14:paraId="63A51E0D"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0F3700" w:rsidRPr="00F209B7">
              <w:rPr>
                <w:sz w:val="20"/>
                <w:szCs w:val="20"/>
              </w:rPr>
              <w:t xml:space="preserve">Pay for the audit but co-ops fail in any case for other reasons </w:t>
            </w:r>
          </w:p>
        </w:tc>
      </w:tr>
      <w:tr w:rsidR="000F3700" w:rsidRPr="00F209B7" w14:paraId="56BA1CFA" w14:textId="77777777" w:rsidTr="006D7A1C">
        <w:trPr>
          <w:cantSplit/>
        </w:trPr>
        <w:tc>
          <w:tcPr>
            <w:tcW w:w="683" w:type="pct"/>
          </w:tcPr>
          <w:p w14:paraId="2C26FB5A" w14:textId="77777777" w:rsidR="00E41438" w:rsidRPr="00F209B7" w:rsidRDefault="00E41438" w:rsidP="00D66738">
            <w:pPr>
              <w:pStyle w:val="charts"/>
              <w:keepNext w:val="0"/>
              <w:spacing w:before="120"/>
              <w:jc w:val="both"/>
              <w:rPr>
                <w:sz w:val="20"/>
              </w:rPr>
            </w:pPr>
            <w:r w:rsidRPr="00F209B7">
              <w:rPr>
                <w:sz w:val="20"/>
              </w:rPr>
              <w:t xml:space="preserve">Option 2: Clarify exemption criteria </w:t>
            </w:r>
          </w:p>
        </w:tc>
        <w:tc>
          <w:tcPr>
            <w:tcW w:w="909" w:type="pct"/>
          </w:tcPr>
          <w:p w14:paraId="6E85696F"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F3700" w:rsidRPr="00F209B7">
              <w:rPr>
                <w:sz w:val="20"/>
                <w:szCs w:val="20"/>
              </w:rPr>
              <w:t>More established and prosperous co-ops will still have to get</w:t>
            </w:r>
            <w:r w:rsidRPr="00F209B7">
              <w:rPr>
                <w:sz w:val="20"/>
                <w:szCs w:val="20"/>
              </w:rPr>
              <w:t xml:space="preserve"> an audit</w:t>
            </w:r>
          </w:p>
          <w:p w14:paraId="0F2ABAF1" w14:textId="66550821" w:rsidR="00E41438" w:rsidRPr="00F209B7" w:rsidRDefault="00E41438" w:rsidP="00D66738">
            <w:pPr>
              <w:pStyle w:val="charts"/>
              <w:keepNext w:val="0"/>
              <w:spacing w:before="120"/>
              <w:jc w:val="both"/>
              <w:rPr>
                <w:sz w:val="20"/>
                <w:szCs w:val="20"/>
              </w:rPr>
            </w:pPr>
            <w:r w:rsidRPr="00F209B7">
              <w:rPr>
                <w:sz w:val="20"/>
                <w:szCs w:val="20"/>
              </w:rPr>
              <w:t xml:space="preserve">B: </w:t>
            </w:r>
            <w:r w:rsidR="006967E8">
              <w:rPr>
                <w:sz w:val="20"/>
                <w:szCs w:val="20"/>
              </w:rPr>
              <w:t>C</w:t>
            </w:r>
            <w:r w:rsidRPr="00F209B7">
              <w:rPr>
                <w:sz w:val="20"/>
                <w:szCs w:val="20"/>
              </w:rPr>
              <w:t xml:space="preserve">ooperatives </w:t>
            </w:r>
            <w:r w:rsidR="006967E8">
              <w:rPr>
                <w:sz w:val="20"/>
                <w:szCs w:val="20"/>
              </w:rPr>
              <w:t xml:space="preserve">that qualify for exemption </w:t>
            </w:r>
            <w:r w:rsidR="000F3700" w:rsidRPr="00F209B7">
              <w:rPr>
                <w:sz w:val="20"/>
                <w:szCs w:val="20"/>
              </w:rPr>
              <w:t>have lower costs</w:t>
            </w:r>
          </w:p>
          <w:p w14:paraId="75526D83"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0F3700" w:rsidRPr="00F209B7">
              <w:rPr>
                <w:sz w:val="20"/>
                <w:szCs w:val="20"/>
              </w:rPr>
              <w:t xml:space="preserve">Poor financial management </w:t>
            </w:r>
            <w:proofErr w:type="gramStart"/>
            <w:r w:rsidR="000F3700" w:rsidRPr="00F209B7">
              <w:rPr>
                <w:sz w:val="20"/>
                <w:szCs w:val="20"/>
              </w:rPr>
              <w:t>won’t</w:t>
            </w:r>
            <w:proofErr w:type="gramEnd"/>
            <w:r w:rsidR="000F3700" w:rsidRPr="00F209B7">
              <w:rPr>
                <w:sz w:val="20"/>
                <w:szCs w:val="20"/>
              </w:rPr>
              <w:t xml:space="preserve"> be addressed </w:t>
            </w:r>
          </w:p>
        </w:tc>
        <w:tc>
          <w:tcPr>
            <w:tcW w:w="1226" w:type="pct"/>
          </w:tcPr>
          <w:p w14:paraId="7640431B" w14:textId="352993F7" w:rsidR="00E41438" w:rsidRPr="00F209B7" w:rsidRDefault="006D7A1C" w:rsidP="00D66738">
            <w:pPr>
              <w:pStyle w:val="charts"/>
              <w:keepNext w:val="0"/>
              <w:spacing w:before="120"/>
              <w:jc w:val="both"/>
              <w:rPr>
                <w:sz w:val="20"/>
                <w:szCs w:val="20"/>
              </w:rPr>
            </w:pPr>
            <w:r w:rsidRPr="00F209B7">
              <w:rPr>
                <w:sz w:val="20"/>
                <w:szCs w:val="20"/>
              </w:rPr>
              <w:t>C: Effort</w:t>
            </w:r>
            <w:r w:rsidR="000F3700" w:rsidRPr="00F209B7">
              <w:rPr>
                <w:sz w:val="20"/>
                <w:szCs w:val="20"/>
              </w:rPr>
              <w:t xml:space="preserve"> to support development of new criteria together with CIPC</w:t>
            </w:r>
          </w:p>
          <w:p w14:paraId="1A5B6137"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0F3700" w:rsidRPr="00F209B7">
              <w:rPr>
                <w:sz w:val="20"/>
                <w:szCs w:val="20"/>
              </w:rPr>
              <w:t>More co-ops exempted from audit requirement</w:t>
            </w:r>
          </w:p>
          <w:p w14:paraId="3EAD3EF1"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0F3700" w:rsidRPr="00F209B7">
              <w:rPr>
                <w:sz w:val="20"/>
                <w:szCs w:val="20"/>
              </w:rPr>
              <w:t xml:space="preserve">Increased co-op failures for group that </w:t>
            </w:r>
            <w:proofErr w:type="gramStart"/>
            <w:r w:rsidR="000F3700" w:rsidRPr="00F209B7">
              <w:rPr>
                <w:sz w:val="20"/>
                <w:szCs w:val="20"/>
              </w:rPr>
              <w:t>doesn’t</w:t>
            </w:r>
            <w:proofErr w:type="gramEnd"/>
            <w:r w:rsidR="000F3700" w:rsidRPr="00F209B7">
              <w:rPr>
                <w:sz w:val="20"/>
                <w:szCs w:val="20"/>
              </w:rPr>
              <w:t xml:space="preserve"> undergo audit</w:t>
            </w:r>
          </w:p>
        </w:tc>
        <w:tc>
          <w:tcPr>
            <w:tcW w:w="1110" w:type="pct"/>
          </w:tcPr>
          <w:p w14:paraId="175473BA"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F3700" w:rsidRPr="00F209B7">
              <w:rPr>
                <w:sz w:val="20"/>
                <w:szCs w:val="20"/>
              </w:rPr>
              <w:t>Effort to develop and implement new criteria</w:t>
            </w:r>
          </w:p>
          <w:p w14:paraId="1DE867AF" w14:textId="77777777" w:rsidR="000F3700" w:rsidRPr="00F209B7" w:rsidRDefault="00E41438" w:rsidP="00D66738">
            <w:pPr>
              <w:pStyle w:val="charts"/>
              <w:keepNext w:val="0"/>
              <w:spacing w:before="120"/>
              <w:jc w:val="both"/>
              <w:rPr>
                <w:sz w:val="20"/>
                <w:szCs w:val="20"/>
              </w:rPr>
            </w:pPr>
            <w:r w:rsidRPr="00F209B7">
              <w:rPr>
                <w:sz w:val="20"/>
                <w:szCs w:val="20"/>
              </w:rPr>
              <w:t xml:space="preserve">B: </w:t>
            </w:r>
            <w:r w:rsidR="000F3700" w:rsidRPr="00F209B7">
              <w:rPr>
                <w:sz w:val="20"/>
                <w:szCs w:val="20"/>
              </w:rPr>
              <w:t xml:space="preserve">Less pushback from co-ops </w:t>
            </w:r>
          </w:p>
          <w:p w14:paraId="77DE787E" w14:textId="77777777" w:rsidR="00E41438" w:rsidRPr="00F209B7" w:rsidRDefault="00E41438" w:rsidP="00D66738">
            <w:pPr>
              <w:pStyle w:val="charts"/>
              <w:keepNext w:val="0"/>
              <w:spacing w:before="120"/>
              <w:jc w:val="both"/>
              <w:rPr>
                <w:sz w:val="20"/>
                <w:szCs w:val="20"/>
              </w:rPr>
            </w:pPr>
            <w:r w:rsidRPr="00F209B7">
              <w:rPr>
                <w:sz w:val="20"/>
                <w:szCs w:val="20"/>
              </w:rPr>
              <w:t>R:</w:t>
            </w:r>
            <w:r w:rsidR="000F3700" w:rsidRPr="00F209B7">
              <w:rPr>
                <w:sz w:val="20"/>
                <w:szCs w:val="20"/>
              </w:rPr>
              <w:t xml:space="preserve"> Increased co-op failures due lack of audit</w:t>
            </w:r>
          </w:p>
        </w:tc>
        <w:tc>
          <w:tcPr>
            <w:tcW w:w="1071" w:type="pct"/>
          </w:tcPr>
          <w:p w14:paraId="2CC16466"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F3700" w:rsidRPr="00F209B7">
              <w:rPr>
                <w:sz w:val="20"/>
                <w:szCs w:val="20"/>
              </w:rPr>
              <w:t>None</w:t>
            </w:r>
          </w:p>
          <w:p w14:paraId="123562D1" w14:textId="77777777" w:rsidR="000F3700" w:rsidRPr="00F209B7" w:rsidRDefault="00E41438" w:rsidP="00D66738">
            <w:pPr>
              <w:pStyle w:val="charts"/>
              <w:keepNext w:val="0"/>
              <w:spacing w:before="120"/>
              <w:jc w:val="both"/>
              <w:rPr>
                <w:sz w:val="20"/>
                <w:szCs w:val="20"/>
              </w:rPr>
            </w:pPr>
            <w:r w:rsidRPr="00F209B7">
              <w:rPr>
                <w:sz w:val="20"/>
                <w:szCs w:val="20"/>
              </w:rPr>
              <w:t xml:space="preserve">B: </w:t>
            </w:r>
            <w:r w:rsidR="000F3700" w:rsidRPr="00F209B7">
              <w:rPr>
                <w:sz w:val="20"/>
                <w:szCs w:val="20"/>
              </w:rPr>
              <w:t>More co-ops able to register</w:t>
            </w:r>
          </w:p>
          <w:p w14:paraId="251CA386"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0F3700" w:rsidRPr="00F209B7">
              <w:rPr>
                <w:sz w:val="20"/>
                <w:szCs w:val="20"/>
              </w:rPr>
              <w:t>Increased co-op failures due lack of audit</w:t>
            </w:r>
          </w:p>
        </w:tc>
      </w:tr>
      <w:tr w:rsidR="000F3700" w:rsidRPr="00F209B7" w14:paraId="56F8354E" w14:textId="77777777" w:rsidTr="006D7A1C">
        <w:trPr>
          <w:cantSplit/>
        </w:trPr>
        <w:tc>
          <w:tcPr>
            <w:tcW w:w="683" w:type="pct"/>
          </w:tcPr>
          <w:p w14:paraId="3CF67FBB" w14:textId="77777777" w:rsidR="00E41438" w:rsidRPr="00F209B7" w:rsidRDefault="00E41438" w:rsidP="00D66738">
            <w:pPr>
              <w:pStyle w:val="charts"/>
              <w:keepNext w:val="0"/>
              <w:spacing w:before="120"/>
              <w:jc w:val="both"/>
              <w:rPr>
                <w:sz w:val="20"/>
              </w:rPr>
            </w:pPr>
            <w:r w:rsidRPr="00F209B7">
              <w:rPr>
                <w:sz w:val="20"/>
              </w:rPr>
              <w:lastRenderedPageBreak/>
              <w:t xml:space="preserve">Option 3: </w:t>
            </w:r>
            <w:r w:rsidR="000F3700" w:rsidRPr="00F209B7">
              <w:rPr>
                <w:sz w:val="20"/>
              </w:rPr>
              <w:t>Eliminate compulsory audits</w:t>
            </w:r>
          </w:p>
        </w:tc>
        <w:tc>
          <w:tcPr>
            <w:tcW w:w="909" w:type="pct"/>
          </w:tcPr>
          <w:p w14:paraId="578F0BC3" w14:textId="77777777" w:rsidR="00E41438" w:rsidRPr="00F209B7" w:rsidRDefault="000F3700" w:rsidP="00D66738">
            <w:pPr>
              <w:pStyle w:val="charts"/>
              <w:keepNext w:val="0"/>
              <w:spacing w:before="120"/>
              <w:jc w:val="both"/>
              <w:rPr>
                <w:sz w:val="20"/>
                <w:szCs w:val="20"/>
              </w:rPr>
            </w:pPr>
            <w:r w:rsidRPr="00F209B7">
              <w:rPr>
                <w:sz w:val="20"/>
                <w:szCs w:val="20"/>
              </w:rPr>
              <w:t>C: No costs</w:t>
            </w:r>
          </w:p>
          <w:p w14:paraId="25C32816"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0F3700" w:rsidRPr="00F209B7">
              <w:rPr>
                <w:sz w:val="20"/>
                <w:szCs w:val="20"/>
              </w:rPr>
              <w:t>Relieved from audit requirement</w:t>
            </w:r>
          </w:p>
          <w:p w14:paraId="4AE58B37" w14:textId="77777777" w:rsidR="00E41438" w:rsidRPr="00F209B7" w:rsidRDefault="00E41438" w:rsidP="00D66738">
            <w:pPr>
              <w:pStyle w:val="charts"/>
              <w:keepNext w:val="0"/>
              <w:spacing w:before="120"/>
              <w:jc w:val="both"/>
              <w:rPr>
                <w:sz w:val="20"/>
                <w:szCs w:val="20"/>
              </w:rPr>
            </w:pPr>
            <w:r w:rsidRPr="00F209B7">
              <w:rPr>
                <w:sz w:val="20"/>
                <w:szCs w:val="20"/>
              </w:rPr>
              <w:t xml:space="preserve">R: Lack of audits could result in poor financial management and </w:t>
            </w:r>
            <w:r w:rsidR="000F3700" w:rsidRPr="00F209B7">
              <w:rPr>
                <w:sz w:val="20"/>
                <w:szCs w:val="20"/>
              </w:rPr>
              <w:t>higher failure rates</w:t>
            </w:r>
          </w:p>
        </w:tc>
        <w:tc>
          <w:tcPr>
            <w:tcW w:w="1226" w:type="pct"/>
          </w:tcPr>
          <w:p w14:paraId="631A91CC" w14:textId="77777777" w:rsidR="000F3700" w:rsidRPr="00F209B7" w:rsidRDefault="00E41438" w:rsidP="00D66738">
            <w:pPr>
              <w:pStyle w:val="charts"/>
              <w:keepNext w:val="0"/>
              <w:spacing w:before="120"/>
              <w:jc w:val="both"/>
              <w:rPr>
                <w:sz w:val="20"/>
                <w:szCs w:val="20"/>
              </w:rPr>
            </w:pPr>
            <w:r w:rsidRPr="00F209B7">
              <w:rPr>
                <w:sz w:val="20"/>
                <w:szCs w:val="20"/>
              </w:rPr>
              <w:t xml:space="preserve">C: </w:t>
            </w:r>
            <w:r w:rsidR="000F3700" w:rsidRPr="00F209B7">
              <w:rPr>
                <w:sz w:val="20"/>
                <w:szCs w:val="20"/>
              </w:rPr>
              <w:t>Effort to support elimination of requirement</w:t>
            </w:r>
          </w:p>
          <w:p w14:paraId="0D5830A1" w14:textId="77777777" w:rsidR="00E41438" w:rsidRPr="00F209B7" w:rsidRDefault="00E41438" w:rsidP="00D66738">
            <w:pPr>
              <w:pStyle w:val="charts"/>
              <w:keepNext w:val="0"/>
              <w:spacing w:before="120"/>
              <w:jc w:val="both"/>
              <w:rPr>
                <w:sz w:val="20"/>
                <w:szCs w:val="20"/>
              </w:rPr>
            </w:pPr>
            <w:r w:rsidRPr="00F209B7">
              <w:rPr>
                <w:sz w:val="20"/>
                <w:szCs w:val="20"/>
              </w:rPr>
              <w:t>B:</w:t>
            </w:r>
            <w:r w:rsidR="000F3700" w:rsidRPr="00F209B7">
              <w:rPr>
                <w:sz w:val="20"/>
                <w:szCs w:val="20"/>
              </w:rPr>
              <w:t xml:space="preserve"> More co-ops register, improving capacity to target support </w:t>
            </w:r>
          </w:p>
          <w:p w14:paraId="0B4E4B16"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0F3700" w:rsidRPr="00F209B7">
              <w:rPr>
                <w:sz w:val="20"/>
                <w:szCs w:val="20"/>
              </w:rPr>
              <w:t>Lack of audits could result in poor financial management and higher failure rates</w:t>
            </w:r>
          </w:p>
        </w:tc>
        <w:tc>
          <w:tcPr>
            <w:tcW w:w="1110" w:type="pct"/>
          </w:tcPr>
          <w:p w14:paraId="55A3401E" w14:textId="77777777" w:rsidR="000F3700" w:rsidRPr="00F209B7" w:rsidRDefault="00E41438" w:rsidP="00D66738">
            <w:pPr>
              <w:pStyle w:val="charts"/>
              <w:keepNext w:val="0"/>
              <w:spacing w:before="120"/>
              <w:jc w:val="both"/>
              <w:rPr>
                <w:sz w:val="20"/>
                <w:szCs w:val="20"/>
              </w:rPr>
            </w:pPr>
            <w:r w:rsidRPr="00F209B7">
              <w:rPr>
                <w:sz w:val="20"/>
                <w:szCs w:val="20"/>
              </w:rPr>
              <w:t xml:space="preserve">C: </w:t>
            </w:r>
            <w:r w:rsidR="000F3700" w:rsidRPr="00F209B7">
              <w:rPr>
                <w:sz w:val="20"/>
                <w:szCs w:val="20"/>
              </w:rPr>
              <w:t>Need to amend the Act.</w:t>
            </w:r>
          </w:p>
          <w:p w14:paraId="72DF906B" w14:textId="77777777" w:rsidR="00E41438" w:rsidRPr="00F209B7" w:rsidRDefault="00E41438" w:rsidP="00D66738">
            <w:pPr>
              <w:pStyle w:val="charts"/>
              <w:keepNext w:val="0"/>
              <w:spacing w:before="120"/>
              <w:jc w:val="both"/>
              <w:rPr>
                <w:sz w:val="20"/>
                <w:szCs w:val="20"/>
              </w:rPr>
            </w:pPr>
            <w:r w:rsidRPr="00F209B7">
              <w:rPr>
                <w:sz w:val="20"/>
                <w:szCs w:val="20"/>
              </w:rPr>
              <w:t xml:space="preserve">B: Could result in increased </w:t>
            </w:r>
            <w:r w:rsidR="000F3700" w:rsidRPr="00F209B7">
              <w:rPr>
                <w:sz w:val="20"/>
                <w:szCs w:val="20"/>
              </w:rPr>
              <w:t>co-op registrations.</w:t>
            </w:r>
          </w:p>
          <w:p w14:paraId="05B44AB1" w14:textId="77777777" w:rsidR="00E41438" w:rsidRPr="00F209B7" w:rsidRDefault="00E41438" w:rsidP="00D66738">
            <w:pPr>
              <w:pStyle w:val="charts"/>
              <w:keepNext w:val="0"/>
              <w:spacing w:before="120"/>
              <w:jc w:val="both"/>
              <w:rPr>
                <w:sz w:val="20"/>
                <w:szCs w:val="20"/>
              </w:rPr>
            </w:pPr>
            <w:r w:rsidRPr="00F209B7">
              <w:rPr>
                <w:sz w:val="20"/>
                <w:szCs w:val="20"/>
              </w:rPr>
              <w:t xml:space="preserve">R: </w:t>
            </w:r>
            <w:r w:rsidR="000F3700" w:rsidRPr="00F209B7">
              <w:rPr>
                <w:sz w:val="20"/>
                <w:szCs w:val="20"/>
              </w:rPr>
              <w:t>Managing higher co-op registrations; potential for greater fraud amongst co-ops</w:t>
            </w:r>
          </w:p>
        </w:tc>
        <w:tc>
          <w:tcPr>
            <w:tcW w:w="1071" w:type="pct"/>
          </w:tcPr>
          <w:p w14:paraId="70A2187A" w14:textId="77777777" w:rsidR="00E41438" w:rsidRPr="00F209B7" w:rsidRDefault="00E41438" w:rsidP="00D66738">
            <w:pPr>
              <w:pStyle w:val="charts"/>
              <w:keepNext w:val="0"/>
              <w:spacing w:before="120"/>
              <w:jc w:val="both"/>
              <w:rPr>
                <w:sz w:val="20"/>
                <w:szCs w:val="20"/>
              </w:rPr>
            </w:pPr>
            <w:r w:rsidRPr="00F209B7">
              <w:rPr>
                <w:sz w:val="20"/>
                <w:szCs w:val="20"/>
              </w:rPr>
              <w:t xml:space="preserve">C: </w:t>
            </w:r>
            <w:r w:rsidR="000F3700" w:rsidRPr="00F209B7">
              <w:rPr>
                <w:sz w:val="20"/>
                <w:szCs w:val="20"/>
              </w:rPr>
              <w:t>Less work for audit companies.</w:t>
            </w:r>
          </w:p>
          <w:p w14:paraId="1591F8A8" w14:textId="77777777" w:rsidR="00E41438" w:rsidRPr="00F209B7" w:rsidRDefault="00E41438" w:rsidP="00D66738">
            <w:pPr>
              <w:pStyle w:val="charts"/>
              <w:keepNext w:val="0"/>
              <w:spacing w:before="120"/>
              <w:jc w:val="both"/>
              <w:rPr>
                <w:sz w:val="20"/>
                <w:szCs w:val="20"/>
              </w:rPr>
            </w:pPr>
            <w:r w:rsidRPr="00F209B7">
              <w:rPr>
                <w:sz w:val="20"/>
                <w:szCs w:val="20"/>
              </w:rPr>
              <w:t xml:space="preserve">B: </w:t>
            </w:r>
            <w:r w:rsidR="000F3700" w:rsidRPr="00F209B7">
              <w:rPr>
                <w:sz w:val="20"/>
                <w:szCs w:val="20"/>
              </w:rPr>
              <w:t>More co-ops register and prosper due to lower cost</w:t>
            </w:r>
          </w:p>
          <w:p w14:paraId="1BFD1415" w14:textId="77777777" w:rsidR="00E41438" w:rsidRPr="00F209B7" w:rsidRDefault="00E41438" w:rsidP="00D66738">
            <w:pPr>
              <w:pStyle w:val="charts"/>
              <w:keepNext w:val="0"/>
              <w:spacing w:before="120"/>
              <w:jc w:val="both"/>
              <w:rPr>
                <w:sz w:val="20"/>
                <w:szCs w:val="20"/>
              </w:rPr>
            </w:pPr>
            <w:r w:rsidRPr="00F209B7">
              <w:rPr>
                <w:sz w:val="20"/>
                <w:szCs w:val="20"/>
              </w:rPr>
              <w:t>R: Increase fraud</w:t>
            </w:r>
            <w:r w:rsidR="000F3700" w:rsidRPr="00F209B7">
              <w:rPr>
                <w:sz w:val="20"/>
                <w:szCs w:val="20"/>
              </w:rPr>
              <w:t xml:space="preserve"> and failure in co-op sector</w:t>
            </w:r>
          </w:p>
        </w:tc>
      </w:tr>
    </w:tbl>
    <w:p w14:paraId="35DAA906" w14:textId="6742EE28" w:rsidR="002C31E2" w:rsidRPr="00F209B7" w:rsidRDefault="00E41438" w:rsidP="00D66738">
      <w:pPr>
        <w:jc w:val="both"/>
      </w:pPr>
      <w:r w:rsidRPr="00F209B7">
        <w:t>The preferr</w:t>
      </w:r>
      <w:r w:rsidR="002C31E2">
        <w:t xml:space="preserve">ed option </w:t>
      </w:r>
      <w:r w:rsidR="006967E8">
        <w:t xml:space="preserve">combines elements of the three options assessed above. It would include the following. </w:t>
      </w:r>
    </w:p>
    <w:p w14:paraId="2D1CF0C2" w14:textId="5B49BDF9" w:rsidR="000F3700" w:rsidRPr="00F209B7" w:rsidRDefault="006967E8" w:rsidP="00D66738">
      <w:pPr>
        <w:pStyle w:val="ListParagraph"/>
        <w:numPr>
          <w:ilvl w:val="0"/>
          <w:numId w:val="34"/>
        </w:numPr>
        <w:jc w:val="both"/>
      </w:pPr>
      <w:r>
        <w:t xml:space="preserve">Clarification of </w:t>
      </w:r>
      <w:r w:rsidR="000F3700" w:rsidRPr="00F209B7">
        <w:t xml:space="preserve">the </w:t>
      </w:r>
      <w:r w:rsidR="00E41438" w:rsidRPr="00F209B7">
        <w:t>exemption criteria</w:t>
      </w:r>
      <w:r>
        <w:t xml:space="preserve"> with clear guidelines especially in terms of the cost of the audit relative to turnover or some other relevant indicator.</w:t>
      </w:r>
    </w:p>
    <w:p w14:paraId="4A4D169F" w14:textId="5FF9E967" w:rsidR="000F3700" w:rsidRPr="00F209B7" w:rsidRDefault="006967E8" w:rsidP="00D66738">
      <w:pPr>
        <w:pStyle w:val="ListParagraph"/>
        <w:numPr>
          <w:ilvl w:val="0"/>
          <w:numId w:val="34"/>
        </w:numPr>
        <w:jc w:val="both"/>
      </w:pPr>
      <w:r>
        <w:t xml:space="preserve">A </w:t>
      </w:r>
      <w:r w:rsidR="00E41438" w:rsidRPr="00F209B7">
        <w:t xml:space="preserve">change the law </w:t>
      </w:r>
      <w:r w:rsidR="000F3700" w:rsidRPr="00F209B7">
        <w:t xml:space="preserve">so </w:t>
      </w:r>
      <w:r w:rsidR="00E41438" w:rsidRPr="00F209B7">
        <w:t xml:space="preserve">that audits are only required when a cooperative reaches a particular threshold. The threshold can </w:t>
      </w:r>
      <w:r w:rsidR="00511E59">
        <w:t xml:space="preserve">be </w:t>
      </w:r>
      <w:r w:rsidR="00E41438" w:rsidRPr="00F209B7">
        <w:t>harmonised with the Compa</w:t>
      </w:r>
      <w:bookmarkStart w:id="641" w:name="_Toc469410867"/>
      <w:bookmarkStart w:id="642" w:name="_Toc469585744"/>
      <w:r w:rsidR="00C2005B" w:rsidRPr="00F209B7">
        <w:t>nie</w:t>
      </w:r>
      <w:r>
        <w:t xml:space="preserve">s Act Public Interest Score. </w:t>
      </w:r>
    </w:p>
    <w:p w14:paraId="0A69AAEE" w14:textId="6019E89E" w:rsidR="00C2005B" w:rsidRPr="00F209B7" w:rsidRDefault="006967E8" w:rsidP="00D66738">
      <w:pPr>
        <w:pStyle w:val="ListParagraph"/>
        <w:numPr>
          <w:ilvl w:val="0"/>
          <w:numId w:val="34"/>
        </w:numPr>
        <w:jc w:val="both"/>
      </w:pPr>
      <w:r>
        <w:t xml:space="preserve">Development of </w:t>
      </w:r>
      <w:r w:rsidR="00C2005B" w:rsidRPr="00F209B7">
        <w:t xml:space="preserve">other ways to improve bookkeeping at co-ops, for instance through incubators or assistance from </w:t>
      </w:r>
      <w:proofErr w:type="spellStart"/>
      <w:r w:rsidR="00520601">
        <w:t>sefa</w:t>
      </w:r>
      <w:proofErr w:type="spellEnd"/>
      <w:r w:rsidR="00C2005B" w:rsidRPr="00F209B7">
        <w:t>.</w:t>
      </w:r>
    </w:p>
    <w:p w14:paraId="12CF25C9" w14:textId="71348511" w:rsidR="006967E8" w:rsidRDefault="000F3700" w:rsidP="00D66738">
      <w:pPr>
        <w:jc w:val="both"/>
      </w:pPr>
      <w:r w:rsidRPr="00F209B7">
        <w:t xml:space="preserve">A policy to interpret the exemption criteria could effectively make the audit a specific requirement </w:t>
      </w:r>
      <w:r w:rsidR="00C2005B" w:rsidRPr="00F209B7">
        <w:t>for larger co-ops</w:t>
      </w:r>
      <w:r w:rsidRPr="00F209B7">
        <w:t xml:space="preserve"> r</w:t>
      </w:r>
      <w:r w:rsidR="00C2005B" w:rsidRPr="00F209B7">
        <w:t>a</w:t>
      </w:r>
      <w:r w:rsidRPr="00F209B7">
        <w:t>ther than a default</w:t>
      </w:r>
      <w:r w:rsidR="00C2005B" w:rsidRPr="00F209B7">
        <w:t xml:space="preserve"> for all of them. </w:t>
      </w:r>
    </w:p>
    <w:p w14:paraId="06E1C1F5" w14:textId="7A4267ED" w:rsidR="006967E8" w:rsidRDefault="00777101" w:rsidP="00D66738">
      <w:pPr>
        <w:pStyle w:val="Heading4"/>
        <w:jc w:val="both"/>
      </w:pPr>
      <w:r>
        <w:t xml:space="preserve"> Stakeholder responses</w:t>
      </w:r>
    </w:p>
    <w:p w14:paraId="3BA0F00D" w14:textId="7B9E8A91" w:rsidR="006967E8" w:rsidRDefault="006967E8" w:rsidP="00D66738">
      <w:pPr>
        <w:jc w:val="both"/>
      </w:pPr>
      <w:r>
        <w:t>In terms of the proposal on Annual Returns, potential contestation could arise:</w:t>
      </w:r>
    </w:p>
    <w:p w14:paraId="5203ECC1" w14:textId="6EF5307C" w:rsidR="006967E8" w:rsidRDefault="006967E8" w:rsidP="00D66738">
      <w:pPr>
        <w:pStyle w:val="ListParagraph"/>
        <w:numPr>
          <w:ilvl w:val="0"/>
          <w:numId w:val="75"/>
        </w:numPr>
        <w:jc w:val="both"/>
      </w:pPr>
      <w:r>
        <w:t>From SARS and the CIPC, which would have to find technical solutions to ensure an efficient interface, and</w:t>
      </w:r>
    </w:p>
    <w:p w14:paraId="110459C9" w14:textId="2694265B" w:rsidR="006967E8" w:rsidRDefault="006967E8" w:rsidP="00D66738">
      <w:pPr>
        <w:pStyle w:val="ListParagraph"/>
        <w:numPr>
          <w:ilvl w:val="0"/>
          <w:numId w:val="75"/>
        </w:numPr>
        <w:jc w:val="both"/>
      </w:pPr>
      <w:r>
        <w:t xml:space="preserve">From CIPC if the process reduced its fees from Annual Returns, which are critical for its budget. </w:t>
      </w:r>
    </w:p>
    <w:p w14:paraId="4609AFE2" w14:textId="637EE336" w:rsidR="006967E8" w:rsidRPr="006967E8" w:rsidRDefault="006967E8" w:rsidP="00D66738">
      <w:pPr>
        <w:jc w:val="both"/>
      </w:pPr>
      <w:r>
        <w:t>The clarification of audit requirements for co-ops does not seem likely to cause much contestation, but would require considerable technical engagement to identify appropriate criteria for exemption</w:t>
      </w:r>
      <w:r w:rsidR="00544183">
        <w:t xml:space="preserve"> from the audit requirement, as well as to amend the law to exclude smaller co-ops altogether. In addition, the DSBD would have to identify and support partners to work with co-ops to upgrade their bookkeeping practices. </w:t>
      </w:r>
    </w:p>
    <w:p w14:paraId="193CCB1B" w14:textId="08FDECEE" w:rsidR="00E41438" w:rsidRPr="00F209B7" w:rsidRDefault="00E41438" w:rsidP="00D66738">
      <w:pPr>
        <w:pStyle w:val="Heading2"/>
        <w:numPr>
          <w:ilvl w:val="1"/>
          <w:numId w:val="129"/>
        </w:numPr>
        <w:ind w:left="0" w:firstLine="0"/>
        <w:jc w:val="both"/>
      </w:pPr>
      <w:bookmarkStart w:id="643" w:name="_Toc479843918"/>
      <w:bookmarkStart w:id="644" w:name="_Toc479844542"/>
      <w:bookmarkStart w:id="645" w:name="_Toc479940869"/>
      <w:r w:rsidRPr="00F209B7">
        <w:t>Taxation</w:t>
      </w:r>
      <w:bookmarkEnd w:id="641"/>
      <w:bookmarkEnd w:id="642"/>
      <w:bookmarkEnd w:id="643"/>
      <w:bookmarkEnd w:id="644"/>
      <w:bookmarkEnd w:id="645"/>
    </w:p>
    <w:p w14:paraId="4C48906B" w14:textId="77777777" w:rsidR="00E41438" w:rsidRPr="00F209B7" w:rsidRDefault="00B0777C" w:rsidP="00D66738">
      <w:pPr>
        <w:jc w:val="both"/>
      </w:pPr>
      <w:r w:rsidRPr="00F209B7">
        <w:t>Taxation is both socially necessary and individually burdensome. This makes it particularly difficult to regulate, because taxpayers will push back even if administrative systems are highly efficient.</w:t>
      </w:r>
      <w:r w:rsidR="00E41438" w:rsidRPr="00F209B7">
        <w:t xml:space="preserve"> </w:t>
      </w:r>
    </w:p>
    <w:p w14:paraId="16D928E6" w14:textId="77777777" w:rsidR="00B0777C" w:rsidRPr="00F209B7" w:rsidRDefault="00B0777C" w:rsidP="00D66738">
      <w:pPr>
        <w:pStyle w:val="Heading3"/>
        <w:numPr>
          <w:ilvl w:val="2"/>
          <w:numId w:val="132"/>
        </w:numPr>
        <w:ind w:left="0" w:firstLine="0"/>
        <w:jc w:val="both"/>
      </w:pPr>
      <w:bookmarkStart w:id="646" w:name="_Toc479843919"/>
      <w:bookmarkStart w:id="647" w:name="_Toc479844543"/>
      <w:bookmarkStart w:id="648" w:name="_Toc479940870"/>
      <w:r w:rsidRPr="00F209B7">
        <w:t>The legal framework</w:t>
      </w:r>
      <w:bookmarkEnd w:id="646"/>
      <w:bookmarkEnd w:id="647"/>
      <w:bookmarkEnd w:id="648"/>
    </w:p>
    <w:p w14:paraId="2402B2BC" w14:textId="695BF8DA" w:rsidR="00B0777C" w:rsidRPr="00F209B7" w:rsidRDefault="00B0777C" w:rsidP="00D66738">
      <w:pPr>
        <w:spacing w:before="240"/>
        <w:jc w:val="both"/>
        <w:rPr>
          <w:rFonts w:ascii="Calibri" w:eastAsia="Calibri" w:hAnsi="Calibri" w:cs="Times New Roman"/>
        </w:rPr>
      </w:pPr>
      <w:r w:rsidRPr="00F209B7">
        <w:rPr>
          <w:rFonts w:ascii="Calibri" w:eastAsia="Calibri" w:hAnsi="Calibri" w:cs="Times New Roman"/>
        </w:rPr>
        <w:t xml:space="preserve">SARS is South Africa’s tax collecting authority, established under the South African Revenue Services Act of 1997 as an autonomous agency. SARS is responsible for administering the </w:t>
      </w:r>
      <w:r w:rsidRPr="00F209B7">
        <w:rPr>
          <w:rFonts w:ascii="Calibri" w:eastAsia="Calibri" w:hAnsi="Calibri" w:cs="Times New Roman"/>
        </w:rPr>
        <w:lastRenderedPageBreak/>
        <w:t xml:space="preserve">South African tax system and customs service. A number of laws regulate different aspects of the tax system, as listed in </w:t>
      </w:r>
      <w:r w:rsidRPr="00F209B7">
        <w:rPr>
          <w:rFonts w:ascii="Calibri" w:eastAsia="Calibri" w:hAnsi="Calibri" w:cs="Times New Roman"/>
        </w:rPr>
        <w:fldChar w:fldCharType="begin"/>
      </w:r>
      <w:r w:rsidRPr="00F209B7">
        <w:rPr>
          <w:rFonts w:ascii="Calibri" w:eastAsia="Calibri" w:hAnsi="Calibri" w:cs="Times New Roman"/>
        </w:rPr>
        <w:instrText xml:space="preserve"> REF _Ref477088891 \h </w:instrText>
      </w:r>
      <w:r w:rsidR="00493691" w:rsidRPr="00F209B7">
        <w:rPr>
          <w:rFonts w:ascii="Calibri" w:eastAsia="Calibri" w:hAnsi="Calibri" w:cs="Times New Roman"/>
        </w:rPr>
        <w:instrText xml:space="preserve"> \* MERGEFORMAT </w:instrText>
      </w:r>
      <w:r w:rsidRPr="00F209B7">
        <w:rPr>
          <w:rFonts w:ascii="Calibri" w:eastAsia="Calibri" w:hAnsi="Calibri" w:cs="Times New Roman"/>
        </w:rPr>
      </w:r>
      <w:r w:rsidRPr="00F209B7">
        <w:rPr>
          <w:rFonts w:ascii="Calibri" w:eastAsia="Calibri" w:hAnsi="Calibri" w:cs="Times New Roman"/>
        </w:rPr>
        <w:fldChar w:fldCharType="separate"/>
      </w:r>
      <w:r w:rsidR="005062E7" w:rsidRPr="00F209B7">
        <w:t xml:space="preserve">Table </w:t>
      </w:r>
      <w:r w:rsidR="005062E7">
        <w:rPr>
          <w:noProof/>
        </w:rPr>
        <w:t>3</w:t>
      </w:r>
      <w:r w:rsidRPr="00F209B7">
        <w:rPr>
          <w:rFonts w:ascii="Calibri" w:eastAsia="Calibri" w:hAnsi="Calibri" w:cs="Times New Roman"/>
        </w:rPr>
        <w:fldChar w:fldCharType="end"/>
      </w:r>
      <w:r w:rsidRPr="00F209B7">
        <w:rPr>
          <w:rFonts w:ascii="Calibri" w:eastAsia="Calibri" w:hAnsi="Calibri" w:cs="Times New Roman"/>
        </w:rPr>
        <w:t xml:space="preserve"> above. </w:t>
      </w:r>
    </w:p>
    <w:p w14:paraId="168F8C19" w14:textId="77777777" w:rsidR="00F03436" w:rsidRPr="00F209B7" w:rsidRDefault="00E41438" w:rsidP="00D66738">
      <w:pPr>
        <w:jc w:val="both"/>
      </w:pPr>
      <w:r w:rsidRPr="00F209B7">
        <w:t xml:space="preserve">As soon as a taxpayer commences a business, whether as a sole proprietor, a partner in a partnership or a shareholder in a company, it is required to register </w:t>
      </w:r>
      <w:r w:rsidR="008A3930" w:rsidRPr="00F209B7">
        <w:t>for tax</w:t>
      </w:r>
      <w:r w:rsidRPr="00F209B7">
        <w:t xml:space="preserve">. </w:t>
      </w:r>
      <w:r w:rsidR="00F03436" w:rsidRPr="00F209B7">
        <w:t xml:space="preserve">Businesses must register for a number of taxes, although they may not have to pay anything, depending on whether they reach the relevant income or turnover thresholds. Specifically, </w:t>
      </w:r>
    </w:p>
    <w:p w14:paraId="1BFE5E98" w14:textId="77777777" w:rsidR="00F03436" w:rsidRPr="00F209B7" w:rsidRDefault="00F03436" w:rsidP="00D66738">
      <w:pPr>
        <w:pStyle w:val="ListParagraph"/>
        <w:numPr>
          <w:ilvl w:val="0"/>
          <w:numId w:val="35"/>
        </w:numPr>
        <w:jc w:val="both"/>
      </w:pPr>
      <w:r w:rsidRPr="00F209B7">
        <w:t xml:space="preserve">The initial business tax registration is for income tax, but only around a quarter of the 700 000 registered businesses earned enough to pay anything in 2014; </w:t>
      </w:r>
    </w:p>
    <w:p w14:paraId="087FB9F3" w14:textId="77777777" w:rsidR="00F03436" w:rsidRPr="00F209B7" w:rsidRDefault="00F03436" w:rsidP="00D66738">
      <w:pPr>
        <w:pStyle w:val="ListParagraph"/>
        <w:numPr>
          <w:ilvl w:val="0"/>
          <w:numId w:val="35"/>
        </w:numPr>
        <w:jc w:val="both"/>
      </w:pPr>
      <w:r w:rsidRPr="00F209B7">
        <w:t>Companies with over R1 million in turnover have to register for Value-Added Tax (VAT), which they effectively collect from customers on behalf of the state; and</w:t>
      </w:r>
    </w:p>
    <w:p w14:paraId="270D52C1" w14:textId="77777777" w:rsidR="00B0777C" w:rsidRPr="00F209B7" w:rsidRDefault="00F03436" w:rsidP="00D66738">
      <w:pPr>
        <w:pStyle w:val="ListParagraph"/>
        <w:numPr>
          <w:ilvl w:val="0"/>
          <w:numId w:val="35"/>
        </w:numPr>
        <w:jc w:val="both"/>
      </w:pPr>
      <w:r w:rsidRPr="00F209B7">
        <w:t>E</w:t>
      </w:r>
      <w:r w:rsidR="009048CA" w:rsidRPr="00F209B7">
        <w:t xml:space="preserve">mployers have to record </w:t>
      </w:r>
      <w:r w:rsidRPr="00F209B7">
        <w:t xml:space="preserve">and pay the Pay-As-You-Earn (PAYE) income tax </w:t>
      </w:r>
      <w:r w:rsidR="009048CA" w:rsidRPr="00F209B7">
        <w:t xml:space="preserve">on </w:t>
      </w:r>
      <w:r w:rsidR="00E41438" w:rsidRPr="00F209B7">
        <w:t xml:space="preserve">behalf of </w:t>
      </w:r>
      <w:r w:rsidR="009048CA" w:rsidRPr="00F209B7">
        <w:t xml:space="preserve">their </w:t>
      </w:r>
      <w:r w:rsidR="00E41438" w:rsidRPr="00F209B7">
        <w:t>employees.</w:t>
      </w:r>
      <w:r w:rsidR="00B0777C" w:rsidRPr="00F209B7">
        <w:t xml:space="preserve"> </w:t>
      </w:r>
    </w:p>
    <w:p w14:paraId="452C87C9" w14:textId="77777777" w:rsidR="00F03436" w:rsidRPr="00F209B7" w:rsidRDefault="00F03436" w:rsidP="00D66738">
      <w:pPr>
        <w:jc w:val="both"/>
      </w:pPr>
      <w:r w:rsidRPr="00F209B7">
        <w:t xml:space="preserve">Registered companies may pay tax continually through the year in the form of PAYE, VAT and other taxes. </w:t>
      </w:r>
      <w:proofErr w:type="gramStart"/>
      <w:r w:rsidRPr="00F209B7">
        <w:t>Income tax returns must be submitted manually or electronically by the annual deadline</w:t>
      </w:r>
      <w:proofErr w:type="gramEnd"/>
      <w:r w:rsidRPr="00F209B7">
        <w:t xml:space="preserve">. The mechanism of charging, collecting and paying VAT to Government is based on self-assessment, allowing each business to determine its liability or refund of tax. </w:t>
      </w:r>
      <w:r w:rsidR="008A3930" w:rsidRPr="00F209B7">
        <w:t>In both cases, SARS reviews returns and can audit them, which may lead to higher tax payments.</w:t>
      </w:r>
    </w:p>
    <w:p w14:paraId="58620368" w14:textId="77777777" w:rsidR="00F03436" w:rsidRPr="00F209B7" w:rsidRDefault="00F03436" w:rsidP="00D66738">
      <w:pPr>
        <w:jc w:val="both"/>
      </w:pPr>
      <w:r w:rsidRPr="00F209B7">
        <w:t>Like most countries, South Africa imposes significant penalties for failing to register for tax. If a company does not register or provide regular returns, SARS can charge a penalty amount that depends on a taxpayer’s taxable income, ranging from R250 up to R16 000 a month for each month of non-compliance.</w:t>
      </w:r>
    </w:p>
    <w:p w14:paraId="4329A15F" w14:textId="77777777" w:rsidR="00B0777C" w:rsidRPr="00F209B7" w:rsidRDefault="00B0777C" w:rsidP="00D66738">
      <w:pPr>
        <w:pStyle w:val="Heading3"/>
        <w:numPr>
          <w:ilvl w:val="2"/>
          <w:numId w:val="132"/>
        </w:numPr>
        <w:ind w:left="0" w:firstLine="0"/>
        <w:jc w:val="both"/>
      </w:pPr>
      <w:bookmarkStart w:id="649" w:name="_Toc479843920"/>
      <w:bookmarkStart w:id="650" w:name="_Toc479844544"/>
      <w:bookmarkStart w:id="651" w:name="_Toc479940871"/>
      <w:r w:rsidRPr="00F209B7">
        <w:t>Aims and theory of change</w:t>
      </w:r>
      <w:bookmarkEnd w:id="649"/>
      <w:bookmarkEnd w:id="650"/>
      <w:bookmarkEnd w:id="651"/>
    </w:p>
    <w:p w14:paraId="2F208544" w14:textId="77777777" w:rsidR="00B0777C" w:rsidRPr="00F209B7" w:rsidRDefault="00B0777C" w:rsidP="00D66738">
      <w:pPr>
        <w:jc w:val="both"/>
      </w:pPr>
      <w:r w:rsidRPr="00F209B7">
        <w:t xml:space="preserve">The registration requirements around taxation </w:t>
      </w:r>
      <w:r w:rsidR="00F03436" w:rsidRPr="00F209B7">
        <w:t xml:space="preserve">ultimately derive from the fundamental need for tax-funded public services to provide public goods for </w:t>
      </w:r>
      <w:r w:rsidR="00F209B7" w:rsidRPr="00F209B7">
        <w:t>everyone</w:t>
      </w:r>
      <w:r w:rsidR="00F03436" w:rsidRPr="00F209B7">
        <w:t xml:space="preserve"> and basic necessities for the poor. In that context, registration of businesses is required so that the tax authorities can ensure reasonably sound assessment and payment.  </w:t>
      </w:r>
    </w:p>
    <w:p w14:paraId="0DA54DAF" w14:textId="031E205A" w:rsidR="00E41438" w:rsidRPr="00F209B7" w:rsidRDefault="00891686" w:rsidP="00D66738">
      <w:pPr>
        <w:jc w:val="both"/>
      </w:pPr>
      <w:r>
        <w:fldChar w:fldCharType="begin"/>
      </w:r>
      <w:r>
        <w:instrText xml:space="preserve"> REF _Ref479753605 \h </w:instrText>
      </w:r>
      <w:r w:rsidR="00D66738">
        <w:instrText xml:space="preserve"> \* MERGEFORMAT </w:instrText>
      </w:r>
      <w:r>
        <w:fldChar w:fldCharType="separate"/>
      </w:r>
      <w:r w:rsidR="005062E7" w:rsidRPr="00F209B7">
        <w:t xml:space="preserve">Table </w:t>
      </w:r>
      <w:r w:rsidR="005062E7">
        <w:rPr>
          <w:noProof/>
        </w:rPr>
        <w:t>10</w:t>
      </w:r>
      <w:r>
        <w:fldChar w:fldCharType="end"/>
      </w:r>
      <w:r>
        <w:t xml:space="preserve"> </w:t>
      </w:r>
      <w:r w:rsidR="00E41438" w:rsidRPr="00F209B7">
        <w:t xml:space="preserve">indicates the main beneficiaries and cost bearers from the problems that the taxation legislation seeks to alleviate. </w:t>
      </w:r>
    </w:p>
    <w:p w14:paraId="19A1ED19" w14:textId="5344E301" w:rsidR="009048CA" w:rsidRPr="00F209B7" w:rsidRDefault="009048CA" w:rsidP="00D66738">
      <w:pPr>
        <w:pStyle w:val="Caption"/>
        <w:jc w:val="both"/>
      </w:pPr>
      <w:bookmarkStart w:id="652" w:name="_Ref479753605"/>
      <w:bookmarkStart w:id="653" w:name="_Toc479940967"/>
      <w:r w:rsidRPr="00F209B7">
        <w:t xml:space="preserve">Table </w:t>
      </w:r>
      <w:fldSimple w:instr=" SEQ Table \* ARABIC ">
        <w:r w:rsidR="005062E7">
          <w:rPr>
            <w:noProof/>
          </w:rPr>
          <w:t>10</w:t>
        </w:r>
      </w:fldSimple>
      <w:bookmarkEnd w:id="652"/>
      <w:r w:rsidR="00891686">
        <w:rPr>
          <w:noProof/>
        </w:rPr>
        <w:t>.</w:t>
      </w:r>
      <w:r w:rsidRPr="00F209B7">
        <w:t xml:space="preserve"> The logic of the tax system</w:t>
      </w:r>
      <w:bookmarkEnd w:id="653"/>
    </w:p>
    <w:tbl>
      <w:tblPr>
        <w:tblStyle w:val="TableGrid"/>
        <w:tblW w:w="5000" w:type="pct"/>
        <w:tblLook w:val="04A0" w:firstRow="1" w:lastRow="0" w:firstColumn="1" w:lastColumn="0" w:noHBand="0" w:noVBand="1"/>
      </w:tblPr>
      <w:tblGrid>
        <w:gridCol w:w="1954"/>
        <w:gridCol w:w="1983"/>
        <w:gridCol w:w="2691"/>
        <w:gridCol w:w="2614"/>
      </w:tblGrid>
      <w:tr w:rsidR="009048CA" w:rsidRPr="00891686" w14:paraId="2AD87623" w14:textId="77777777" w:rsidTr="00E41555">
        <w:trPr>
          <w:tblHeader/>
        </w:trPr>
        <w:tc>
          <w:tcPr>
            <w:tcW w:w="1057" w:type="pct"/>
          </w:tcPr>
          <w:p w14:paraId="7411863C" w14:textId="77777777" w:rsidR="009048CA" w:rsidRPr="00891686" w:rsidRDefault="009048CA" w:rsidP="00D66738">
            <w:pPr>
              <w:pStyle w:val="source"/>
              <w:keepNext/>
              <w:jc w:val="both"/>
              <w:rPr>
                <w:b/>
              </w:rPr>
            </w:pPr>
            <w:r w:rsidRPr="00891686">
              <w:rPr>
                <w:b/>
              </w:rPr>
              <w:t>The socio-economic problem</w:t>
            </w:r>
          </w:p>
        </w:tc>
        <w:tc>
          <w:tcPr>
            <w:tcW w:w="1073" w:type="pct"/>
          </w:tcPr>
          <w:p w14:paraId="5F57A7CD" w14:textId="77777777" w:rsidR="009048CA" w:rsidRPr="00891686" w:rsidRDefault="009048CA" w:rsidP="00D66738">
            <w:pPr>
              <w:pStyle w:val="source"/>
              <w:keepNext/>
              <w:jc w:val="both"/>
              <w:rPr>
                <w:b/>
              </w:rPr>
            </w:pPr>
            <w:r w:rsidRPr="00891686">
              <w:rPr>
                <w:b/>
              </w:rPr>
              <w:t xml:space="preserve">Who benefits from the </w:t>
            </w:r>
            <w:r w:rsidR="00B0777C" w:rsidRPr="00891686">
              <w:rPr>
                <w:b/>
              </w:rPr>
              <w:t>problem?</w:t>
            </w:r>
          </w:p>
        </w:tc>
        <w:tc>
          <w:tcPr>
            <w:tcW w:w="1456" w:type="pct"/>
          </w:tcPr>
          <w:p w14:paraId="40CD54FD" w14:textId="77777777" w:rsidR="009048CA" w:rsidRPr="00891686" w:rsidRDefault="009048CA" w:rsidP="00D66738">
            <w:pPr>
              <w:pStyle w:val="source"/>
              <w:keepNext/>
              <w:jc w:val="both"/>
              <w:rPr>
                <w:b/>
              </w:rPr>
            </w:pPr>
            <w:r w:rsidRPr="00891686">
              <w:rPr>
                <w:b/>
              </w:rPr>
              <w:t xml:space="preserve">Who loses from the </w:t>
            </w:r>
            <w:r w:rsidR="00B0777C" w:rsidRPr="00891686">
              <w:rPr>
                <w:b/>
              </w:rPr>
              <w:t>problem?</w:t>
            </w:r>
          </w:p>
        </w:tc>
        <w:tc>
          <w:tcPr>
            <w:tcW w:w="1414" w:type="pct"/>
          </w:tcPr>
          <w:p w14:paraId="20424EDF" w14:textId="77777777" w:rsidR="009048CA" w:rsidRPr="00891686" w:rsidRDefault="009048CA" w:rsidP="00D66738">
            <w:pPr>
              <w:pStyle w:val="source"/>
              <w:keepNext/>
              <w:jc w:val="both"/>
              <w:rPr>
                <w:b/>
              </w:rPr>
            </w:pPr>
            <w:r w:rsidRPr="00891686">
              <w:rPr>
                <w:b/>
              </w:rPr>
              <w:t>Measures to address the problem</w:t>
            </w:r>
          </w:p>
        </w:tc>
      </w:tr>
      <w:tr w:rsidR="009048CA" w:rsidRPr="00891686" w14:paraId="6E585BB8" w14:textId="77777777" w:rsidTr="00E41555">
        <w:trPr>
          <w:tblHeader/>
        </w:trPr>
        <w:tc>
          <w:tcPr>
            <w:tcW w:w="1057" w:type="pct"/>
          </w:tcPr>
          <w:p w14:paraId="4D38EE3D" w14:textId="77777777" w:rsidR="009048CA" w:rsidRPr="00891686" w:rsidRDefault="009048CA" w:rsidP="00D66738">
            <w:pPr>
              <w:pStyle w:val="source"/>
              <w:jc w:val="both"/>
            </w:pPr>
            <w:r w:rsidRPr="00891686">
              <w:t>The private sector cannot supply public goods or meet basic needs of impoverished people</w:t>
            </w:r>
          </w:p>
        </w:tc>
        <w:tc>
          <w:tcPr>
            <w:tcW w:w="1073" w:type="pct"/>
          </w:tcPr>
          <w:p w14:paraId="1C18659E" w14:textId="03C9A253" w:rsidR="009048CA" w:rsidRPr="00891686" w:rsidRDefault="009048CA" w:rsidP="00D66738">
            <w:pPr>
              <w:pStyle w:val="source"/>
              <w:jc w:val="both"/>
            </w:pPr>
            <w:r w:rsidRPr="00891686">
              <w:rPr>
                <w:rFonts w:ascii="Calibri" w:eastAsia="Calibri" w:hAnsi="Calibri" w:cs="Times New Roman"/>
              </w:rPr>
              <w:t xml:space="preserve">People and </w:t>
            </w:r>
            <w:r w:rsidR="00891686" w:rsidRPr="00891686">
              <w:rPr>
                <w:rFonts w:ascii="Calibri" w:eastAsia="Calibri" w:hAnsi="Calibri" w:cs="Times New Roman"/>
              </w:rPr>
              <w:t>c</w:t>
            </w:r>
            <w:r w:rsidRPr="00891686">
              <w:rPr>
                <w:rFonts w:ascii="Calibri" w:eastAsia="Calibri" w:hAnsi="Calibri" w:cs="Times New Roman"/>
              </w:rPr>
              <w:t>ompanies who can afford to obtain basic services and infrastructure without state support or assistance, although the unit cost may be higher</w:t>
            </w:r>
          </w:p>
        </w:tc>
        <w:tc>
          <w:tcPr>
            <w:tcW w:w="1456" w:type="pct"/>
          </w:tcPr>
          <w:p w14:paraId="6EFF0E80" w14:textId="77777777" w:rsidR="009048CA" w:rsidRPr="00891686" w:rsidRDefault="009048CA" w:rsidP="00D66738">
            <w:pPr>
              <w:pStyle w:val="source"/>
              <w:jc w:val="both"/>
              <w:rPr>
                <w:rFonts w:ascii="Calibri" w:eastAsia="Calibri" w:hAnsi="Calibri" w:cs="Times New Roman"/>
              </w:rPr>
            </w:pPr>
            <w:r w:rsidRPr="00891686">
              <w:rPr>
                <w:rFonts w:ascii="Calibri" w:eastAsia="Calibri" w:hAnsi="Calibri" w:cs="Times New Roman"/>
              </w:rPr>
              <w:t>People who cannot afford basic services and infrastructure without state support.</w:t>
            </w:r>
          </w:p>
          <w:p w14:paraId="49DC35DE" w14:textId="6964F250" w:rsidR="009048CA" w:rsidRPr="00891686" w:rsidRDefault="009048CA" w:rsidP="00D66738">
            <w:pPr>
              <w:pStyle w:val="source"/>
              <w:jc w:val="both"/>
            </w:pPr>
            <w:r w:rsidRPr="00891686">
              <w:rPr>
                <w:rFonts w:ascii="Calibri" w:eastAsia="Calibri" w:hAnsi="Calibri" w:cs="Times New Roman"/>
              </w:rPr>
              <w:t>Society as a whole to the extent that services are inefficient and under-consumed, leading for instance to higher-cost infrastructure, skills shortages and poor productivity due to ill health, amongst others</w:t>
            </w:r>
          </w:p>
        </w:tc>
        <w:tc>
          <w:tcPr>
            <w:tcW w:w="1414" w:type="pct"/>
          </w:tcPr>
          <w:p w14:paraId="200B58BF" w14:textId="70FBA920" w:rsidR="009048CA" w:rsidRPr="00891686" w:rsidRDefault="009048CA" w:rsidP="00D66738">
            <w:pPr>
              <w:pStyle w:val="source"/>
              <w:jc w:val="both"/>
            </w:pPr>
            <w:r w:rsidRPr="00891686">
              <w:t xml:space="preserve">Fund public services through taxes that ideally reflect ability to pay; entail minimal </w:t>
            </w:r>
            <w:r w:rsidR="00F209B7" w:rsidRPr="00891686">
              <w:t>administrative</w:t>
            </w:r>
            <w:r w:rsidRPr="00891686">
              <w:t xml:space="preserve"> burdens;</w:t>
            </w:r>
            <w:r w:rsidR="00B0777C" w:rsidRPr="00891686">
              <w:t xml:space="preserve"> are not so high that they deter economic activity; and</w:t>
            </w:r>
            <w:r w:rsidRPr="00891686">
              <w:t xml:space="preserve"> support efficient</w:t>
            </w:r>
            <w:r w:rsidR="00891686">
              <w:t xml:space="preserve"> and effective delivery systems.</w:t>
            </w:r>
          </w:p>
        </w:tc>
      </w:tr>
      <w:tr w:rsidR="009048CA" w:rsidRPr="00891686" w14:paraId="0076ADD5" w14:textId="77777777" w:rsidTr="00E41555">
        <w:trPr>
          <w:tblHeader/>
        </w:trPr>
        <w:tc>
          <w:tcPr>
            <w:tcW w:w="1057" w:type="pct"/>
          </w:tcPr>
          <w:p w14:paraId="4EC394DC" w14:textId="77777777" w:rsidR="009048CA" w:rsidRPr="00891686" w:rsidRDefault="00B0777C" w:rsidP="00D66738">
            <w:pPr>
              <w:pStyle w:val="source"/>
              <w:jc w:val="both"/>
            </w:pPr>
            <w:r w:rsidRPr="00891686">
              <w:lastRenderedPageBreak/>
              <w:t>Companies will not pay tax unless the state can identify them and ensure compliance</w:t>
            </w:r>
          </w:p>
        </w:tc>
        <w:tc>
          <w:tcPr>
            <w:tcW w:w="1073" w:type="pct"/>
          </w:tcPr>
          <w:p w14:paraId="40328EDE" w14:textId="2A3C6821" w:rsidR="009048CA" w:rsidRPr="00891686" w:rsidRDefault="00F03436" w:rsidP="00D66738">
            <w:pPr>
              <w:pStyle w:val="source"/>
              <w:jc w:val="both"/>
            </w:pPr>
            <w:r w:rsidRPr="00891686">
              <w:t xml:space="preserve">Companies </w:t>
            </w:r>
            <w:r w:rsidR="00891686">
              <w:t>that</w:t>
            </w:r>
            <w:r w:rsidRPr="00891686">
              <w:t xml:space="preserve"> evade tax.</w:t>
            </w:r>
          </w:p>
        </w:tc>
        <w:tc>
          <w:tcPr>
            <w:tcW w:w="1456" w:type="pct"/>
          </w:tcPr>
          <w:p w14:paraId="6E9FB768" w14:textId="77777777" w:rsidR="009048CA" w:rsidRPr="00891686" w:rsidRDefault="00F03436" w:rsidP="00D66738">
            <w:pPr>
              <w:pStyle w:val="source"/>
              <w:jc w:val="both"/>
            </w:pPr>
            <w:r w:rsidRPr="00891686">
              <w:t xml:space="preserve">People who need public services – ultimately most citizens. </w:t>
            </w:r>
          </w:p>
        </w:tc>
        <w:tc>
          <w:tcPr>
            <w:tcW w:w="1414" w:type="pct"/>
          </w:tcPr>
          <w:p w14:paraId="004C0C0B" w14:textId="77777777" w:rsidR="009048CA" w:rsidRPr="00891686" w:rsidRDefault="00F03436" w:rsidP="00D66738">
            <w:pPr>
              <w:pStyle w:val="source"/>
              <w:jc w:val="both"/>
            </w:pPr>
            <w:r w:rsidRPr="00891686">
              <w:t xml:space="preserve">Establishment of systems to ensure businesses are registered and required to report reasonably reliably on their income and turnover. </w:t>
            </w:r>
          </w:p>
        </w:tc>
      </w:tr>
      <w:tr w:rsidR="008A3930" w:rsidRPr="00891686" w14:paraId="0DE631E3" w14:textId="77777777" w:rsidTr="00E41555">
        <w:trPr>
          <w:tblHeader/>
        </w:trPr>
        <w:tc>
          <w:tcPr>
            <w:tcW w:w="1057" w:type="pct"/>
          </w:tcPr>
          <w:p w14:paraId="63F781D2" w14:textId="77777777" w:rsidR="008A3930" w:rsidRPr="00891686" w:rsidRDefault="008A3930" w:rsidP="00D66738">
            <w:pPr>
              <w:pStyle w:val="source"/>
              <w:jc w:val="both"/>
            </w:pPr>
            <w:r w:rsidRPr="00891686">
              <w:t>SARS cannot easily collect tax from employees and customers</w:t>
            </w:r>
          </w:p>
        </w:tc>
        <w:tc>
          <w:tcPr>
            <w:tcW w:w="1073" w:type="pct"/>
          </w:tcPr>
          <w:p w14:paraId="293C3B68" w14:textId="77777777" w:rsidR="008A3930" w:rsidRPr="00891686" w:rsidRDefault="008A3930" w:rsidP="00D66738">
            <w:pPr>
              <w:pStyle w:val="source"/>
              <w:jc w:val="both"/>
            </w:pPr>
            <w:r w:rsidRPr="00891686">
              <w:t>Employees and customers who can evade tax.</w:t>
            </w:r>
          </w:p>
        </w:tc>
        <w:tc>
          <w:tcPr>
            <w:tcW w:w="1456" w:type="pct"/>
          </w:tcPr>
          <w:p w14:paraId="06BFC2FA" w14:textId="77777777" w:rsidR="008A3930" w:rsidRPr="00891686" w:rsidRDefault="008A3930" w:rsidP="00D66738">
            <w:pPr>
              <w:pStyle w:val="source"/>
              <w:jc w:val="both"/>
            </w:pPr>
            <w:r w:rsidRPr="00891686">
              <w:t>People who need public services – ultimately most citizens.</w:t>
            </w:r>
          </w:p>
          <w:p w14:paraId="05A79B29" w14:textId="77777777" w:rsidR="008A3930" w:rsidRPr="00891686" w:rsidRDefault="008A3930" w:rsidP="00D66738">
            <w:pPr>
              <w:pStyle w:val="source"/>
              <w:jc w:val="both"/>
            </w:pPr>
          </w:p>
        </w:tc>
        <w:tc>
          <w:tcPr>
            <w:tcW w:w="1414" w:type="pct"/>
          </w:tcPr>
          <w:p w14:paraId="09F81910" w14:textId="77777777" w:rsidR="008A3930" w:rsidRPr="00891686" w:rsidRDefault="008A3930" w:rsidP="00D66738">
            <w:pPr>
              <w:pStyle w:val="source"/>
              <w:jc w:val="both"/>
            </w:pPr>
            <w:r w:rsidRPr="00891686">
              <w:t xml:space="preserve">Require businesses to record and pay PAYE and VAT to SARS. </w:t>
            </w:r>
          </w:p>
        </w:tc>
      </w:tr>
    </w:tbl>
    <w:p w14:paraId="53149859" w14:textId="5A4C30EE" w:rsidR="00E41438" w:rsidRPr="00F209B7" w:rsidRDefault="00E41438" w:rsidP="00D66738">
      <w:pPr>
        <w:jc w:val="both"/>
        <w:rPr>
          <w:szCs w:val="24"/>
        </w:rPr>
      </w:pPr>
      <w:r w:rsidRPr="00F209B7">
        <w:t>The core theory of change around taxation and tax compliance is that if companies are registered for taxation, SARS will be able to monitor and enforce taxation</w:t>
      </w:r>
      <w:r w:rsidR="00891686">
        <w:t xml:space="preserve"> both for the companies themselves and, through the companies, for their employees and customers</w:t>
      </w:r>
      <w:r w:rsidRPr="00F209B7">
        <w:t xml:space="preserve">. </w:t>
      </w:r>
      <w:r w:rsidRPr="00F209B7">
        <w:rPr>
          <w:szCs w:val="24"/>
        </w:rPr>
        <w:t>The key steps to achieving this end state are:</w:t>
      </w:r>
    </w:p>
    <w:p w14:paraId="582561BA" w14:textId="77777777" w:rsidR="008A3930" w:rsidRPr="00F209B7" w:rsidRDefault="008A3930" w:rsidP="00D66738">
      <w:pPr>
        <w:pStyle w:val="ListParagraph"/>
        <w:numPr>
          <w:ilvl w:val="0"/>
          <w:numId w:val="36"/>
        </w:numPr>
        <w:jc w:val="both"/>
        <w:rPr>
          <w:szCs w:val="24"/>
        </w:rPr>
      </w:pPr>
      <w:r w:rsidRPr="00F209B7">
        <w:rPr>
          <w:szCs w:val="24"/>
        </w:rPr>
        <w:t>Requiring all businesses to register for tax, whether or not they are liable for any payments, with significant sanctions for failure to register.</w:t>
      </w:r>
    </w:p>
    <w:p w14:paraId="2D22FCC8" w14:textId="77777777" w:rsidR="008A3930" w:rsidRPr="00F209B7" w:rsidRDefault="008A3930" w:rsidP="00D66738">
      <w:pPr>
        <w:pStyle w:val="ListParagraph"/>
        <w:numPr>
          <w:ilvl w:val="0"/>
          <w:numId w:val="36"/>
        </w:numPr>
        <w:jc w:val="both"/>
        <w:rPr>
          <w:szCs w:val="24"/>
        </w:rPr>
      </w:pPr>
      <w:r w:rsidRPr="00F209B7">
        <w:rPr>
          <w:szCs w:val="24"/>
        </w:rPr>
        <w:t xml:space="preserve">Linking registration for tax with other business requirements, including CIPC registration, legal audits and eligibility for government tenders, and communicating the benefits of tax payments to taxpayers. </w:t>
      </w:r>
    </w:p>
    <w:p w14:paraId="324840D3" w14:textId="77777777" w:rsidR="008A3930" w:rsidRPr="00F209B7" w:rsidRDefault="008A3930" w:rsidP="00D66738">
      <w:pPr>
        <w:pStyle w:val="ListParagraph"/>
        <w:numPr>
          <w:ilvl w:val="0"/>
          <w:numId w:val="36"/>
        </w:numPr>
        <w:jc w:val="both"/>
        <w:rPr>
          <w:szCs w:val="24"/>
        </w:rPr>
      </w:pPr>
      <w:r w:rsidRPr="00F209B7">
        <w:rPr>
          <w:szCs w:val="24"/>
        </w:rPr>
        <w:t xml:space="preserve">In response to this combination of carrots and sticks, most companies register for tax. </w:t>
      </w:r>
    </w:p>
    <w:p w14:paraId="18EBB306" w14:textId="77777777" w:rsidR="00E41438" w:rsidRPr="00F209B7" w:rsidRDefault="00E41438" w:rsidP="00D66738">
      <w:pPr>
        <w:jc w:val="both"/>
        <w:rPr>
          <w:szCs w:val="24"/>
        </w:rPr>
      </w:pPr>
      <w:r w:rsidRPr="00F209B7">
        <w:rPr>
          <w:szCs w:val="24"/>
        </w:rPr>
        <w:t>The assumptions underlying the theory of change are:</w:t>
      </w:r>
    </w:p>
    <w:p w14:paraId="253FB4E3" w14:textId="53691B20" w:rsidR="00E41438" w:rsidRPr="00F209B7" w:rsidRDefault="008A3930" w:rsidP="00D66738">
      <w:pPr>
        <w:pStyle w:val="ListParagraph"/>
        <w:numPr>
          <w:ilvl w:val="0"/>
          <w:numId w:val="37"/>
        </w:numPr>
        <w:jc w:val="both"/>
        <w:rPr>
          <w:szCs w:val="24"/>
        </w:rPr>
      </w:pPr>
      <w:r w:rsidRPr="00F209B7">
        <w:rPr>
          <w:szCs w:val="24"/>
        </w:rPr>
        <w:t>C</w:t>
      </w:r>
      <w:r w:rsidR="00E41438" w:rsidRPr="00F209B7">
        <w:rPr>
          <w:szCs w:val="24"/>
        </w:rPr>
        <w:t xml:space="preserve">ompanies comply with tax laws </w:t>
      </w:r>
      <w:r w:rsidR="00A032E2">
        <w:rPr>
          <w:szCs w:val="24"/>
        </w:rPr>
        <w:t xml:space="preserve">in part </w:t>
      </w:r>
      <w:r w:rsidR="00E41438" w:rsidRPr="00F209B7">
        <w:rPr>
          <w:szCs w:val="24"/>
        </w:rPr>
        <w:t xml:space="preserve">because they see the value of state services in terms of both their own needs and the contribution to social cohesion and peace. </w:t>
      </w:r>
    </w:p>
    <w:p w14:paraId="180B3BCA" w14:textId="77777777" w:rsidR="00E41438" w:rsidRPr="00F209B7" w:rsidRDefault="00E41438" w:rsidP="00D66738">
      <w:pPr>
        <w:pStyle w:val="ListParagraph"/>
        <w:numPr>
          <w:ilvl w:val="0"/>
          <w:numId w:val="37"/>
        </w:numPr>
        <w:jc w:val="both"/>
        <w:rPr>
          <w:szCs w:val="24"/>
        </w:rPr>
      </w:pPr>
      <w:r w:rsidRPr="00F209B7">
        <w:rPr>
          <w:szCs w:val="24"/>
        </w:rPr>
        <w:t xml:space="preserve">The paperwork required to register for tax and maintain tax payments is not very onerous, and </w:t>
      </w:r>
      <w:r w:rsidR="008A3930" w:rsidRPr="00F209B7">
        <w:rPr>
          <w:szCs w:val="24"/>
        </w:rPr>
        <w:t xml:space="preserve">it is far </w:t>
      </w:r>
      <w:r w:rsidRPr="00F209B7">
        <w:rPr>
          <w:szCs w:val="24"/>
        </w:rPr>
        <w:t xml:space="preserve">less costly than the penalties for failing to comply.  </w:t>
      </w:r>
    </w:p>
    <w:p w14:paraId="02016743" w14:textId="4B975E19" w:rsidR="00E41438" w:rsidRPr="00F209B7" w:rsidRDefault="00E41438" w:rsidP="00D66738">
      <w:pPr>
        <w:pStyle w:val="ListParagraph"/>
        <w:numPr>
          <w:ilvl w:val="0"/>
          <w:numId w:val="37"/>
        </w:numPr>
        <w:jc w:val="both"/>
        <w:rPr>
          <w:szCs w:val="24"/>
        </w:rPr>
      </w:pPr>
      <w:r w:rsidRPr="00F209B7">
        <w:rPr>
          <w:szCs w:val="24"/>
        </w:rPr>
        <w:t xml:space="preserve">SARS has capacity to monitor tax returns and track down </w:t>
      </w:r>
      <w:r w:rsidR="00A032E2">
        <w:rPr>
          <w:szCs w:val="24"/>
        </w:rPr>
        <w:t xml:space="preserve">at least a substantial share of </w:t>
      </w:r>
      <w:r w:rsidRPr="00F209B7">
        <w:rPr>
          <w:szCs w:val="24"/>
        </w:rPr>
        <w:t xml:space="preserve">enterprises that should register but do not. The </w:t>
      </w:r>
      <w:proofErr w:type="gramStart"/>
      <w:r w:rsidRPr="00F209B7">
        <w:rPr>
          <w:szCs w:val="24"/>
        </w:rPr>
        <w:t>flip side</w:t>
      </w:r>
      <w:proofErr w:type="gramEnd"/>
      <w:r w:rsidRPr="00F209B7">
        <w:rPr>
          <w:szCs w:val="24"/>
        </w:rPr>
        <w:t xml:space="preserve"> of this assumption is that only small, often informal producers do not register for tax. </w:t>
      </w:r>
    </w:p>
    <w:p w14:paraId="0AE335A2" w14:textId="77777777" w:rsidR="00E41438" w:rsidRPr="00F209B7" w:rsidRDefault="00E41438" w:rsidP="00D66738">
      <w:pPr>
        <w:pStyle w:val="Heading3"/>
        <w:numPr>
          <w:ilvl w:val="2"/>
          <w:numId w:val="132"/>
        </w:numPr>
        <w:ind w:left="0" w:firstLine="0"/>
        <w:jc w:val="both"/>
      </w:pPr>
      <w:bookmarkStart w:id="654" w:name="_Toc469410869"/>
      <w:bookmarkStart w:id="655" w:name="_Toc469585746"/>
      <w:bookmarkStart w:id="656" w:name="_Toc479843921"/>
      <w:bookmarkStart w:id="657" w:name="_Toc479844545"/>
      <w:bookmarkStart w:id="658" w:name="_Toc479940872"/>
      <w:r w:rsidRPr="00F209B7">
        <w:t xml:space="preserve">The </w:t>
      </w:r>
      <w:bookmarkEnd w:id="654"/>
      <w:bookmarkEnd w:id="655"/>
      <w:r w:rsidR="008A3930" w:rsidRPr="00F209B7">
        <w:t>costs of registration and reporting</w:t>
      </w:r>
      <w:bookmarkEnd w:id="656"/>
      <w:bookmarkEnd w:id="657"/>
      <w:bookmarkEnd w:id="658"/>
    </w:p>
    <w:p w14:paraId="498D357C" w14:textId="77777777" w:rsidR="00E41438" w:rsidRPr="00F209B7" w:rsidRDefault="00E41438" w:rsidP="00D66738">
      <w:pPr>
        <w:pStyle w:val="ListParagraph"/>
        <w:keepNext/>
        <w:keepLines/>
        <w:numPr>
          <w:ilvl w:val="0"/>
          <w:numId w:val="19"/>
        </w:numPr>
        <w:spacing w:before="480" w:after="240" w:line="259" w:lineRule="auto"/>
        <w:jc w:val="both"/>
        <w:outlineLvl w:val="0"/>
        <w:rPr>
          <w:rFonts w:asciiTheme="majorHAnsi" w:eastAsiaTheme="majorEastAsia" w:hAnsiTheme="majorHAnsi" w:cstheme="majorBidi"/>
          <w:b/>
          <w:bCs/>
          <w:vanish/>
          <w:color w:val="365F91" w:themeColor="accent1" w:themeShade="BF"/>
          <w:sz w:val="28"/>
          <w:szCs w:val="28"/>
        </w:rPr>
      </w:pPr>
      <w:bookmarkStart w:id="659" w:name="_Toc479844797"/>
      <w:bookmarkStart w:id="660" w:name="_Toc479844918"/>
      <w:bookmarkStart w:id="661" w:name="_Toc479845039"/>
      <w:bookmarkStart w:id="662" w:name="_Toc479845160"/>
      <w:bookmarkStart w:id="663" w:name="_Toc479845297"/>
      <w:bookmarkStart w:id="664" w:name="_Toc479845418"/>
      <w:bookmarkStart w:id="665" w:name="_Toc479846058"/>
      <w:bookmarkStart w:id="666" w:name="_Toc479846270"/>
      <w:bookmarkStart w:id="667" w:name="_Toc479846393"/>
      <w:bookmarkStart w:id="668" w:name="_Toc479846516"/>
      <w:bookmarkStart w:id="669" w:name="_Toc479846639"/>
      <w:bookmarkStart w:id="670" w:name="_Toc479846762"/>
      <w:bookmarkStart w:id="671" w:name="_Toc479846885"/>
      <w:bookmarkStart w:id="672" w:name="_Toc479849548"/>
      <w:bookmarkStart w:id="673" w:name="_Toc479850014"/>
      <w:bookmarkStart w:id="674" w:name="_Toc479850158"/>
      <w:bookmarkStart w:id="675" w:name="_Toc479853626"/>
      <w:bookmarkStart w:id="676" w:name="_Toc479853781"/>
      <w:bookmarkStart w:id="677" w:name="_Toc479862500"/>
      <w:bookmarkStart w:id="678" w:name="_Toc479864145"/>
      <w:bookmarkStart w:id="679" w:name="_Toc479939925"/>
      <w:bookmarkStart w:id="680" w:name="_Toc479940250"/>
      <w:bookmarkStart w:id="681" w:name="_Toc479940873"/>
      <w:bookmarkStart w:id="682" w:name="_Toc469410870"/>
      <w:bookmarkStart w:id="683" w:name="_Toc469585747"/>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4949B845" w14:textId="77777777" w:rsidR="00E41438" w:rsidRPr="00F209B7" w:rsidRDefault="00E41438" w:rsidP="00D66738">
      <w:pPr>
        <w:pStyle w:val="ListParagraph"/>
        <w:keepNext/>
        <w:keepLines/>
        <w:numPr>
          <w:ilvl w:val="0"/>
          <w:numId w:val="19"/>
        </w:numPr>
        <w:spacing w:before="480" w:after="240" w:line="259" w:lineRule="auto"/>
        <w:jc w:val="both"/>
        <w:outlineLvl w:val="0"/>
        <w:rPr>
          <w:rFonts w:asciiTheme="majorHAnsi" w:eastAsiaTheme="majorEastAsia" w:hAnsiTheme="majorHAnsi" w:cstheme="majorBidi"/>
          <w:b/>
          <w:bCs/>
          <w:vanish/>
          <w:color w:val="365F91" w:themeColor="accent1" w:themeShade="BF"/>
          <w:sz w:val="28"/>
          <w:szCs w:val="28"/>
        </w:rPr>
      </w:pPr>
      <w:bookmarkStart w:id="684" w:name="_Toc479844798"/>
      <w:bookmarkStart w:id="685" w:name="_Toc479844919"/>
      <w:bookmarkStart w:id="686" w:name="_Toc479845040"/>
      <w:bookmarkStart w:id="687" w:name="_Toc479845161"/>
      <w:bookmarkStart w:id="688" w:name="_Toc479845298"/>
      <w:bookmarkStart w:id="689" w:name="_Toc479845419"/>
      <w:bookmarkStart w:id="690" w:name="_Toc479846059"/>
      <w:bookmarkStart w:id="691" w:name="_Toc479846271"/>
      <w:bookmarkStart w:id="692" w:name="_Toc479846394"/>
      <w:bookmarkStart w:id="693" w:name="_Toc479846517"/>
      <w:bookmarkStart w:id="694" w:name="_Toc479846640"/>
      <w:bookmarkStart w:id="695" w:name="_Toc479846763"/>
      <w:bookmarkStart w:id="696" w:name="_Toc479846886"/>
      <w:bookmarkStart w:id="697" w:name="_Toc479849549"/>
      <w:bookmarkStart w:id="698" w:name="_Toc479850015"/>
      <w:bookmarkStart w:id="699" w:name="_Toc479850159"/>
      <w:bookmarkStart w:id="700" w:name="_Toc479853627"/>
      <w:bookmarkStart w:id="701" w:name="_Toc479853782"/>
      <w:bookmarkStart w:id="702" w:name="_Toc479862501"/>
      <w:bookmarkStart w:id="703" w:name="_Toc479864146"/>
      <w:bookmarkStart w:id="704" w:name="_Toc479939926"/>
      <w:bookmarkStart w:id="705" w:name="_Toc479940251"/>
      <w:bookmarkStart w:id="706" w:name="_Toc479940874"/>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2C2EFEA4" w14:textId="77777777" w:rsidR="00E41438" w:rsidRPr="00F209B7" w:rsidRDefault="00E41438" w:rsidP="00D66738">
      <w:pPr>
        <w:pStyle w:val="ListParagraph"/>
        <w:keepNext/>
        <w:keepLines/>
        <w:numPr>
          <w:ilvl w:val="1"/>
          <w:numId w:val="19"/>
        </w:numPr>
        <w:spacing w:before="200" w:after="240" w:line="259" w:lineRule="auto"/>
        <w:jc w:val="both"/>
        <w:outlineLvl w:val="1"/>
        <w:rPr>
          <w:rFonts w:asciiTheme="majorHAnsi" w:eastAsiaTheme="majorEastAsia" w:hAnsiTheme="majorHAnsi" w:cstheme="majorBidi"/>
          <w:b/>
          <w:bCs/>
          <w:vanish/>
          <w:color w:val="4F81BD" w:themeColor="accent1"/>
          <w:sz w:val="26"/>
          <w:szCs w:val="26"/>
        </w:rPr>
      </w:pPr>
      <w:bookmarkStart w:id="707" w:name="_Toc479844799"/>
      <w:bookmarkStart w:id="708" w:name="_Toc479844920"/>
      <w:bookmarkStart w:id="709" w:name="_Toc479845041"/>
      <w:bookmarkStart w:id="710" w:name="_Toc479845162"/>
      <w:bookmarkStart w:id="711" w:name="_Toc479845299"/>
      <w:bookmarkStart w:id="712" w:name="_Toc479845420"/>
      <w:bookmarkStart w:id="713" w:name="_Toc479846060"/>
      <w:bookmarkStart w:id="714" w:name="_Toc479846272"/>
      <w:bookmarkStart w:id="715" w:name="_Toc479846395"/>
      <w:bookmarkStart w:id="716" w:name="_Toc479846518"/>
      <w:bookmarkStart w:id="717" w:name="_Toc479846641"/>
      <w:bookmarkStart w:id="718" w:name="_Toc479846764"/>
      <w:bookmarkStart w:id="719" w:name="_Toc479846887"/>
      <w:bookmarkStart w:id="720" w:name="_Toc479849550"/>
      <w:bookmarkStart w:id="721" w:name="_Toc479850016"/>
      <w:bookmarkStart w:id="722" w:name="_Toc479850160"/>
      <w:bookmarkStart w:id="723" w:name="_Toc479853628"/>
      <w:bookmarkStart w:id="724" w:name="_Toc479853783"/>
      <w:bookmarkStart w:id="725" w:name="_Toc479862502"/>
      <w:bookmarkStart w:id="726" w:name="_Toc479864147"/>
      <w:bookmarkStart w:id="727" w:name="_Toc479939927"/>
      <w:bookmarkStart w:id="728" w:name="_Toc479940252"/>
      <w:bookmarkStart w:id="729" w:name="_Toc479940875"/>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bookmarkEnd w:id="682"/>
    <w:bookmarkEnd w:id="683"/>
    <w:p w14:paraId="21EBAFAC" w14:textId="77777777" w:rsidR="00E41438" w:rsidRPr="00F209B7" w:rsidRDefault="00E41438" w:rsidP="00D66738">
      <w:pPr>
        <w:jc w:val="both"/>
      </w:pPr>
      <w:r w:rsidRPr="00F209B7">
        <w:t xml:space="preserve">As soon as a company commences a business, </w:t>
      </w:r>
      <w:r w:rsidR="008A3930" w:rsidRPr="00F209B7">
        <w:t xml:space="preserve">it is </w:t>
      </w:r>
      <w:r w:rsidRPr="00F209B7">
        <w:t xml:space="preserve">required to register with the local SARS office in order to obtain an income tax reference number. The company </w:t>
      </w:r>
      <w:r w:rsidR="00816DF4" w:rsidRPr="00F209B7">
        <w:t>must</w:t>
      </w:r>
      <w:r w:rsidRPr="00F209B7">
        <w:t xml:space="preserve"> register within 21 business days after the business has commenced operations. </w:t>
      </w:r>
      <w:r w:rsidR="008A3930" w:rsidRPr="00F209B7">
        <w:t>A</w:t>
      </w:r>
      <w:r w:rsidRPr="00F209B7">
        <w:t xml:space="preserve"> company </w:t>
      </w:r>
      <w:r w:rsidR="008A3930" w:rsidRPr="00F209B7">
        <w:t xml:space="preserve">that </w:t>
      </w:r>
      <w:r w:rsidRPr="00F209B7">
        <w:t xml:space="preserve">registers </w:t>
      </w:r>
      <w:r w:rsidR="008A3930" w:rsidRPr="00F209B7">
        <w:t>with</w:t>
      </w:r>
      <w:r w:rsidRPr="00F209B7">
        <w:t xml:space="preserve"> the CIPC is automatically registered as a taxpayer.</w:t>
      </w:r>
    </w:p>
    <w:p w14:paraId="69BF2802" w14:textId="77777777" w:rsidR="008A3930" w:rsidRPr="00F209B7" w:rsidRDefault="008A3930" w:rsidP="00D66738">
      <w:pPr>
        <w:jc w:val="both"/>
      </w:pPr>
      <w:r w:rsidRPr="00F209B7">
        <w:t>A company must register for VAT if:</w:t>
      </w:r>
    </w:p>
    <w:p w14:paraId="656EBC5A" w14:textId="77777777" w:rsidR="008A3930" w:rsidRPr="00F209B7" w:rsidRDefault="008A3930" w:rsidP="00D66738">
      <w:pPr>
        <w:pStyle w:val="ListParagraph"/>
        <w:numPr>
          <w:ilvl w:val="0"/>
          <w:numId w:val="38"/>
        </w:numPr>
        <w:jc w:val="both"/>
      </w:pPr>
      <w:r w:rsidRPr="00F209B7">
        <w:t xml:space="preserve">Its total turnover exceeds </w:t>
      </w:r>
      <w:r w:rsidR="00E41438" w:rsidRPr="00F209B7">
        <w:t>R1 million in any consecutive 12-month period</w:t>
      </w:r>
      <w:r w:rsidR="006507D4" w:rsidRPr="00F209B7">
        <w:t xml:space="preserve"> (which would make it a “very small” business under the current legal categories) or</w:t>
      </w:r>
    </w:p>
    <w:p w14:paraId="643CAA8D" w14:textId="250E9501" w:rsidR="008A3930" w:rsidRPr="00F209B7" w:rsidRDefault="008A3930" w:rsidP="00D66738">
      <w:pPr>
        <w:pStyle w:val="ListParagraph"/>
        <w:numPr>
          <w:ilvl w:val="0"/>
          <w:numId w:val="38"/>
        </w:numPr>
        <w:jc w:val="both"/>
      </w:pPr>
      <w:r w:rsidRPr="00F209B7">
        <w:t xml:space="preserve">It has entered </w:t>
      </w:r>
      <w:r w:rsidR="00E41438" w:rsidRPr="00F209B7">
        <w:t xml:space="preserve">into a written contractual commitment to </w:t>
      </w:r>
      <w:r w:rsidRPr="00F209B7">
        <w:t xml:space="preserve">provide taxable </w:t>
      </w:r>
      <w:r w:rsidR="00E41438" w:rsidRPr="00F209B7">
        <w:t xml:space="preserve">supplies </w:t>
      </w:r>
      <w:r w:rsidRPr="00F209B7">
        <w:t xml:space="preserve">worth more than </w:t>
      </w:r>
      <w:r w:rsidR="00E41438" w:rsidRPr="00F209B7">
        <w:t xml:space="preserve">R1 million </w:t>
      </w:r>
      <w:r w:rsidRPr="00F209B7">
        <w:t xml:space="preserve">over </w:t>
      </w:r>
      <w:r w:rsidR="00E41438" w:rsidRPr="00F209B7">
        <w:t xml:space="preserve">the </w:t>
      </w:r>
      <w:r w:rsidR="00A032E2">
        <w:t xml:space="preserve">following </w:t>
      </w:r>
      <w:r w:rsidR="00E41438" w:rsidRPr="00F209B7">
        <w:t xml:space="preserve">12-month period. </w:t>
      </w:r>
    </w:p>
    <w:p w14:paraId="0667C59B" w14:textId="2047D3E5" w:rsidR="00816DF4" w:rsidRPr="00F209B7" w:rsidRDefault="00E41438" w:rsidP="00D66738">
      <w:pPr>
        <w:jc w:val="both"/>
      </w:pPr>
      <w:r w:rsidRPr="00F209B7">
        <w:t>To register</w:t>
      </w:r>
      <w:r w:rsidR="00816DF4" w:rsidRPr="00F209B7">
        <w:t xml:space="preserve"> under VAT</w:t>
      </w:r>
      <w:r w:rsidRPr="00F209B7">
        <w:t xml:space="preserve">, </w:t>
      </w:r>
      <w:r w:rsidR="00816DF4" w:rsidRPr="00F209B7">
        <w:t xml:space="preserve">a business </w:t>
      </w:r>
      <w:r w:rsidRPr="00F209B7">
        <w:t>need</w:t>
      </w:r>
      <w:r w:rsidR="00816DF4" w:rsidRPr="00F209B7">
        <w:t>s</w:t>
      </w:r>
      <w:r w:rsidRPr="00F209B7">
        <w:t xml:space="preserve"> to </w:t>
      </w:r>
      <w:r w:rsidR="00816DF4" w:rsidRPr="00F209B7">
        <w:t xml:space="preserve">submit the relevant form </w:t>
      </w:r>
      <w:r w:rsidRPr="00F209B7">
        <w:t>in person at the SARS branch nearest to its place of business.</w:t>
      </w:r>
      <w:r w:rsidR="00816DF4" w:rsidRPr="00F209B7">
        <w:t xml:space="preserve"> Sole proprietors have to come in themselves</w:t>
      </w:r>
      <w:r w:rsidR="00A032E2">
        <w:t xml:space="preserve"> while</w:t>
      </w:r>
      <w:r w:rsidR="00816DF4" w:rsidRPr="00F209B7">
        <w:t xml:space="preserve"> other businesses may send a representative</w:t>
      </w:r>
      <w:r w:rsidR="00A032E2">
        <w:t>. E</w:t>
      </w:r>
      <w:r w:rsidR="00816DF4" w:rsidRPr="00F209B7">
        <w:t xml:space="preserve">ither type of business </w:t>
      </w:r>
      <w:r w:rsidR="00A032E2">
        <w:t xml:space="preserve">may also </w:t>
      </w:r>
      <w:r w:rsidR="00816DF4" w:rsidRPr="00F209B7">
        <w:t>employ a</w:t>
      </w:r>
      <w:r w:rsidRPr="00F209B7">
        <w:t xml:space="preserve"> registered tax practitioner</w:t>
      </w:r>
      <w:r w:rsidR="00816DF4" w:rsidRPr="00F209B7">
        <w:t xml:space="preserve"> to appear in person on their behalf. </w:t>
      </w:r>
    </w:p>
    <w:p w14:paraId="561491BD" w14:textId="77777777" w:rsidR="00E41438" w:rsidRPr="00F209B7" w:rsidRDefault="00816DF4" w:rsidP="00D66738">
      <w:pPr>
        <w:jc w:val="both"/>
      </w:pPr>
      <w:r w:rsidRPr="00F209B7">
        <w:t>When applying for registration, a business needs to provide the following attachments:</w:t>
      </w:r>
    </w:p>
    <w:p w14:paraId="6E27F5F8" w14:textId="77777777" w:rsidR="00E41438" w:rsidRPr="00F209B7" w:rsidRDefault="00E41438" w:rsidP="00D66738">
      <w:pPr>
        <w:pStyle w:val="ListParagraph"/>
        <w:numPr>
          <w:ilvl w:val="0"/>
          <w:numId w:val="40"/>
        </w:numPr>
        <w:jc w:val="both"/>
      </w:pPr>
      <w:r w:rsidRPr="00F209B7">
        <w:lastRenderedPageBreak/>
        <w:t xml:space="preserve">Original letter from the enterprise’s bank or </w:t>
      </w:r>
      <w:r w:rsidR="00816DF4" w:rsidRPr="00F209B7">
        <w:t xml:space="preserve">a </w:t>
      </w:r>
      <w:r w:rsidRPr="00F209B7">
        <w:t xml:space="preserve">recent bank statement with </w:t>
      </w:r>
      <w:r w:rsidR="00816DF4" w:rsidRPr="00F209B7">
        <w:t xml:space="preserve">the </w:t>
      </w:r>
      <w:r w:rsidRPr="00F209B7">
        <w:t xml:space="preserve">original bank stamp. </w:t>
      </w:r>
    </w:p>
    <w:p w14:paraId="0E142408" w14:textId="77777777" w:rsidR="00E41438" w:rsidRPr="00F209B7" w:rsidRDefault="00E41438" w:rsidP="00D66738">
      <w:pPr>
        <w:pStyle w:val="ListParagraph"/>
        <w:numPr>
          <w:ilvl w:val="0"/>
          <w:numId w:val="40"/>
        </w:numPr>
        <w:jc w:val="both"/>
      </w:pPr>
      <w:r w:rsidRPr="00F209B7">
        <w:t>Copy of identity document, driver’s licence or passport of the vendor</w:t>
      </w:r>
      <w:r w:rsidR="00816DF4" w:rsidRPr="00F209B7">
        <w:t>’s representative</w:t>
      </w:r>
      <w:r w:rsidRPr="00F209B7">
        <w:t>.</w:t>
      </w:r>
    </w:p>
    <w:p w14:paraId="35B700FA" w14:textId="77777777" w:rsidR="00E41438" w:rsidRPr="00F209B7" w:rsidRDefault="00816DF4" w:rsidP="00D66738">
      <w:pPr>
        <w:pStyle w:val="ListParagraph"/>
        <w:numPr>
          <w:ilvl w:val="0"/>
          <w:numId w:val="40"/>
        </w:numPr>
        <w:jc w:val="both"/>
      </w:pPr>
      <w:r w:rsidRPr="00F209B7">
        <w:t>A r</w:t>
      </w:r>
      <w:r w:rsidR="00E41438" w:rsidRPr="00F209B7">
        <w:t xml:space="preserve">ecent copy of </w:t>
      </w:r>
      <w:r w:rsidRPr="00F209B7">
        <w:t xml:space="preserve">its </w:t>
      </w:r>
      <w:r w:rsidR="00E41438" w:rsidRPr="00F209B7">
        <w:t>municipal account or utility bill</w:t>
      </w:r>
      <w:r w:rsidRPr="00F209B7">
        <w:t>,</w:t>
      </w:r>
      <w:r w:rsidR="00E41438" w:rsidRPr="00F209B7">
        <w:t xml:space="preserve"> or </w:t>
      </w:r>
      <w:r w:rsidRPr="00F209B7">
        <w:t xml:space="preserve">a </w:t>
      </w:r>
      <w:r w:rsidR="00E41438" w:rsidRPr="00F209B7">
        <w:t>CRA01 form.</w:t>
      </w:r>
    </w:p>
    <w:p w14:paraId="48AD47E4" w14:textId="77777777" w:rsidR="00E41438" w:rsidRPr="00F209B7" w:rsidRDefault="00816DF4" w:rsidP="00D66738">
      <w:pPr>
        <w:pStyle w:val="ListParagraph"/>
        <w:numPr>
          <w:ilvl w:val="0"/>
          <w:numId w:val="40"/>
        </w:numPr>
        <w:jc w:val="both"/>
      </w:pPr>
      <w:r w:rsidRPr="00F209B7">
        <w:t>A r</w:t>
      </w:r>
      <w:r w:rsidR="00E41438" w:rsidRPr="00F209B7">
        <w:t xml:space="preserve">ecent copy of the residential municipal account or utility bill or </w:t>
      </w:r>
      <w:r w:rsidRPr="00F209B7">
        <w:t xml:space="preserve">a </w:t>
      </w:r>
      <w:r w:rsidR="00E41438" w:rsidRPr="00F209B7">
        <w:t xml:space="preserve">CRA01 form for </w:t>
      </w:r>
      <w:r w:rsidRPr="00F209B7">
        <w:t>the owner, a</w:t>
      </w:r>
      <w:r w:rsidR="00E41438" w:rsidRPr="00F209B7">
        <w:t xml:space="preserve"> partner or </w:t>
      </w:r>
      <w:r w:rsidRPr="00F209B7">
        <w:t xml:space="preserve">the vendor’s </w:t>
      </w:r>
      <w:r w:rsidR="00E41438" w:rsidRPr="00F209B7">
        <w:t>representative.</w:t>
      </w:r>
    </w:p>
    <w:p w14:paraId="3AABE433" w14:textId="77777777" w:rsidR="00E41438" w:rsidRPr="00F209B7" w:rsidRDefault="00816DF4" w:rsidP="00D66738">
      <w:pPr>
        <w:pStyle w:val="ListParagraph"/>
        <w:numPr>
          <w:ilvl w:val="0"/>
          <w:numId w:val="40"/>
        </w:numPr>
        <w:jc w:val="both"/>
      </w:pPr>
      <w:r w:rsidRPr="00F209B7">
        <w:t>A c</w:t>
      </w:r>
      <w:r w:rsidR="00E41438" w:rsidRPr="00F209B7">
        <w:t>opy of financial information listed as sources under financial particulars.</w:t>
      </w:r>
    </w:p>
    <w:p w14:paraId="6F5E415B" w14:textId="77777777" w:rsidR="00E41438" w:rsidRPr="00F209B7" w:rsidRDefault="00816DF4" w:rsidP="00D66738">
      <w:pPr>
        <w:jc w:val="both"/>
      </w:pPr>
      <w:r w:rsidRPr="00F209B7">
        <w:t xml:space="preserve">If a business changes its address, it must notify SARS within 21 days. </w:t>
      </w:r>
    </w:p>
    <w:p w14:paraId="6B64B992" w14:textId="77777777" w:rsidR="00E41438" w:rsidRPr="00F209B7" w:rsidRDefault="00E41555" w:rsidP="00D66738">
      <w:pPr>
        <w:jc w:val="both"/>
      </w:pPr>
      <w:r w:rsidRPr="00F209B7">
        <w:t>Employers must deduct PAYE tax from their workers’ remuneration every month, and pay the money to</w:t>
      </w:r>
      <w:r w:rsidR="00E41438" w:rsidRPr="00F209B7">
        <w:t xml:space="preserve"> SARS within seven days </w:t>
      </w:r>
      <w:r w:rsidRPr="00F209B7">
        <w:t xml:space="preserve">of </w:t>
      </w:r>
      <w:r w:rsidR="00E41438" w:rsidRPr="00F209B7">
        <w:t>the end of the month</w:t>
      </w:r>
      <w:r w:rsidRPr="00F209B7">
        <w:t>. They must also issue e</w:t>
      </w:r>
      <w:r w:rsidR="00E41438" w:rsidRPr="00F209B7">
        <w:t xml:space="preserve">mployees’ tax certificates (IRP5s) </w:t>
      </w:r>
      <w:r w:rsidRPr="00F209B7">
        <w:t>when they deduct</w:t>
      </w:r>
      <w:r w:rsidR="00E41438" w:rsidRPr="00F209B7">
        <w:t xml:space="preserve"> PAYE</w:t>
      </w:r>
      <w:r w:rsidRPr="00F209B7">
        <w:t xml:space="preserve">, showing remuneration as well as PAYE and other deductions. </w:t>
      </w:r>
      <w:r w:rsidR="00E41438" w:rsidRPr="00F209B7">
        <w:t xml:space="preserve">An employer </w:t>
      </w:r>
      <w:r w:rsidRPr="00F209B7">
        <w:t xml:space="preserve">who cannot </w:t>
      </w:r>
      <w:r w:rsidR="00E41438" w:rsidRPr="00F209B7">
        <w:t xml:space="preserve">deduct PAYE </w:t>
      </w:r>
      <w:r w:rsidRPr="00F209B7">
        <w:t xml:space="preserve">for a valid reason must provide an </w:t>
      </w:r>
      <w:r w:rsidR="00E41438" w:rsidRPr="00F209B7">
        <w:t>IT3(a) certificate</w:t>
      </w:r>
      <w:r w:rsidRPr="00F209B7">
        <w:t xml:space="preserve"> that indicates taxable benefits and remuneration</w:t>
      </w:r>
      <w:r w:rsidR="00E41438" w:rsidRPr="00F209B7">
        <w:t>.</w:t>
      </w:r>
    </w:p>
    <w:p w14:paraId="12300948" w14:textId="7E98C1B1" w:rsidR="00E41555" w:rsidRPr="00F209B7" w:rsidRDefault="00E41555" w:rsidP="00D66738">
      <w:pPr>
        <w:jc w:val="both"/>
      </w:pPr>
      <w:r w:rsidRPr="00F209B7">
        <w:t xml:space="preserve">SARS introduced </w:t>
      </w:r>
      <w:proofErr w:type="spellStart"/>
      <w:r w:rsidRPr="00F209B7">
        <w:t>eFiling</w:t>
      </w:r>
      <w:proofErr w:type="spellEnd"/>
      <w:r w:rsidRPr="00F209B7">
        <w:t xml:space="preserve"> in 2006 as a free online process for managing taxes. The first year it processed just 40 000 returns, but the figure now is well over ten million. Using </w:t>
      </w:r>
      <w:proofErr w:type="spellStart"/>
      <w:r w:rsidR="00F209B7" w:rsidRPr="00F209B7">
        <w:t>eFiling</w:t>
      </w:r>
      <w:proofErr w:type="spellEnd"/>
      <w:r w:rsidRPr="00F209B7">
        <w:t xml:space="preserve">, businesses can </w:t>
      </w:r>
      <w:r w:rsidR="00B020B8" w:rsidRPr="00F209B7">
        <w:t xml:space="preserve">register, submit tax returns and </w:t>
      </w:r>
      <w:r w:rsidRPr="00F209B7">
        <w:t xml:space="preserve">make payments </w:t>
      </w:r>
      <w:r w:rsidR="00B020B8" w:rsidRPr="00F209B7">
        <w:t xml:space="preserve">securely. </w:t>
      </w:r>
      <w:r w:rsidRPr="00F209B7">
        <w:t xml:space="preserve">As of 2016, payments could be made through the SARS </w:t>
      </w:r>
      <w:proofErr w:type="spellStart"/>
      <w:r w:rsidR="00E41438" w:rsidRPr="00F209B7">
        <w:t>eFiling</w:t>
      </w:r>
      <w:proofErr w:type="spellEnd"/>
      <w:r w:rsidRPr="00F209B7">
        <w:t xml:space="preserve"> system; electronic transfers; and in most major banks. </w:t>
      </w:r>
      <w:r w:rsidR="001B336C" w:rsidRPr="00F209B7">
        <w:t xml:space="preserve">In 2016, the system was extended to make it possible for businesses to share their tax clearance status with government agencies. </w:t>
      </w:r>
      <w:r w:rsidRPr="00F209B7">
        <w:t xml:space="preserve">SARS </w:t>
      </w:r>
      <w:r w:rsidR="001B336C" w:rsidRPr="00F209B7">
        <w:t xml:space="preserve">also announced it </w:t>
      </w:r>
      <w:r w:rsidRPr="00F209B7">
        <w:t xml:space="preserve">would no longer accept manual payments. </w:t>
      </w:r>
    </w:p>
    <w:p w14:paraId="57E0D0B8" w14:textId="77777777" w:rsidR="00816DF4" w:rsidRPr="00F209B7" w:rsidRDefault="00816DF4" w:rsidP="00D66738">
      <w:pPr>
        <w:jc w:val="both"/>
      </w:pPr>
      <w:r w:rsidRPr="00F209B7">
        <w:t xml:space="preserve">SARS has </w:t>
      </w:r>
      <w:r w:rsidR="00B020B8" w:rsidRPr="00F209B7">
        <w:t>also established</w:t>
      </w:r>
      <w:r w:rsidRPr="00F209B7">
        <w:t xml:space="preserve"> a simplified tax system for very small businesses as well as a special dispensation for Small Business Corporations (SBC). </w:t>
      </w:r>
    </w:p>
    <w:p w14:paraId="66B3FA35" w14:textId="6BA176E3" w:rsidR="00816DF4" w:rsidRPr="00F209B7" w:rsidRDefault="00A032E2" w:rsidP="00D66738">
      <w:pPr>
        <w:jc w:val="both"/>
      </w:pPr>
      <w:r>
        <w:t>For very small businesses, t</w:t>
      </w:r>
      <w:r w:rsidR="00816DF4" w:rsidRPr="00F209B7">
        <w:t xml:space="preserve">he turnover tax </w:t>
      </w:r>
      <w:r>
        <w:t xml:space="preserve">provides for a </w:t>
      </w:r>
      <w:r w:rsidR="00816DF4" w:rsidRPr="00F209B7">
        <w:t>single tax</w:t>
      </w:r>
      <w:r>
        <w:t xml:space="preserve"> on turnover</w:t>
      </w:r>
      <w:r w:rsidR="00E41555" w:rsidRPr="00F209B7">
        <w:t>, with three payment dates in the year,</w:t>
      </w:r>
      <w:r w:rsidR="00816DF4" w:rsidRPr="00F209B7">
        <w:t xml:space="preserve"> </w:t>
      </w:r>
      <w:r w:rsidR="00E41555" w:rsidRPr="00F209B7">
        <w:t xml:space="preserve">in place of </w:t>
      </w:r>
      <w:r w:rsidR="00816DF4" w:rsidRPr="00F209B7">
        <w:t xml:space="preserve">VAT, income, capital gains, dividend and secondary tax. The aim is primarily to reduce the administrative burden, not the amount of tax paid. </w:t>
      </w:r>
    </w:p>
    <w:p w14:paraId="2192BB84" w14:textId="77777777" w:rsidR="00816DF4" w:rsidRPr="00F209B7" w:rsidRDefault="00816DF4" w:rsidP="00D66738">
      <w:pPr>
        <w:jc w:val="both"/>
      </w:pPr>
      <w:r w:rsidRPr="00F209B7">
        <w:t xml:space="preserve">The turnover tax is provided for in Schedule 6 of the Income Tax Act. It enables what it terms “micro-businesses,” which have a qualifying turnover of no more than R1 million a year, to opt </w:t>
      </w:r>
      <w:proofErr w:type="gramStart"/>
      <w:r w:rsidRPr="00F209B7">
        <w:t>in to</w:t>
      </w:r>
      <w:proofErr w:type="gramEnd"/>
      <w:r w:rsidRPr="00F209B7">
        <w:t xml:space="preserve"> the system. If a qualifying enterprise opts out of the system, however, they may not be permitted to re-enter it. </w:t>
      </w:r>
    </w:p>
    <w:p w14:paraId="15307EE3" w14:textId="7F98DB6B" w:rsidR="009E1C2F" w:rsidRPr="00F209B7" w:rsidRDefault="009E1C2F" w:rsidP="00D66738">
      <w:pPr>
        <w:shd w:val="clear" w:color="auto" w:fill="FFFFFF"/>
        <w:jc w:val="both"/>
        <w:rPr>
          <w:rFonts w:ascii="Calibri" w:eastAsia="Calibri" w:hAnsi="Calibri" w:cs="Times New Roman"/>
          <w:szCs w:val="24"/>
        </w:rPr>
      </w:pPr>
      <w:r w:rsidRPr="00F209B7">
        <w:rPr>
          <w:rFonts w:ascii="Calibri" w:eastAsia="Calibri" w:hAnsi="Calibri" w:cs="Times New Roman"/>
          <w:szCs w:val="24"/>
        </w:rPr>
        <w:t xml:space="preserve">The turnover tax rates that are applicable for the year of assessment ending on 28 February 2017 are detailed below. </w:t>
      </w:r>
      <w:r w:rsidR="00A032E2">
        <w:rPr>
          <w:rFonts w:ascii="Calibri" w:eastAsia="Calibri" w:hAnsi="Calibri" w:cs="Times New Roman"/>
          <w:szCs w:val="24"/>
        </w:rPr>
        <w:t xml:space="preserve">Until 2015, the maximum rate was 6%, which meant that some businesses would end up paying more in tax than they would under the normal dispensation. They would still, however, save on the paperwork involved in the normal tax regime. </w:t>
      </w:r>
    </w:p>
    <w:p w14:paraId="00808C55" w14:textId="231C6E84" w:rsidR="009E1C2F" w:rsidRPr="000468A4" w:rsidRDefault="009E1C2F" w:rsidP="00D66738">
      <w:pPr>
        <w:pStyle w:val="Caption"/>
        <w:jc w:val="both"/>
      </w:pPr>
      <w:bookmarkStart w:id="730" w:name="_Toc469410596"/>
      <w:bookmarkStart w:id="731" w:name="_Toc469411189"/>
      <w:bookmarkStart w:id="732" w:name="_Toc469411507"/>
      <w:bookmarkStart w:id="733" w:name="_Toc469485015"/>
      <w:bookmarkStart w:id="734" w:name="_Toc479940968"/>
      <w:r w:rsidRPr="00F209B7">
        <w:t xml:space="preserve">Table </w:t>
      </w:r>
      <w:fldSimple w:instr=" SEQ Table \* ARABIC ">
        <w:r w:rsidR="005062E7">
          <w:rPr>
            <w:noProof/>
          </w:rPr>
          <w:t>11</w:t>
        </w:r>
      </w:fldSimple>
      <w:r w:rsidR="00A032E2">
        <w:rPr>
          <w:noProof/>
        </w:rPr>
        <w:t>.</w:t>
      </w:r>
      <w:r w:rsidRPr="00F209B7">
        <w:t xml:space="preserve"> </w:t>
      </w:r>
      <w:r w:rsidRPr="000468A4">
        <w:t xml:space="preserve">Turnover Tax Rates </w:t>
      </w:r>
      <w:bookmarkEnd w:id="730"/>
      <w:bookmarkEnd w:id="731"/>
      <w:bookmarkEnd w:id="732"/>
      <w:bookmarkEnd w:id="733"/>
      <w:r w:rsidRPr="000468A4">
        <w:t>in 2016/7</w:t>
      </w:r>
      <w:bookmarkEnd w:id="734"/>
    </w:p>
    <w:tbl>
      <w:tblPr>
        <w:tblStyle w:val="TableGrid1"/>
        <w:tblW w:w="5000" w:type="pct"/>
        <w:tblLook w:val="04A0" w:firstRow="1" w:lastRow="0" w:firstColumn="1" w:lastColumn="0" w:noHBand="0" w:noVBand="1"/>
      </w:tblPr>
      <w:tblGrid>
        <w:gridCol w:w="3078"/>
        <w:gridCol w:w="6164"/>
      </w:tblGrid>
      <w:tr w:rsidR="009E1C2F" w:rsidRPr="00F209B7" w14:paraId="4DF32BB4" w14:textId="77777777" w:rsidTr="009E1C2F">
        <w:trPr>
          <w:trHeight w:val="243"/>
          <w:tblHeader/>
        </w:trPr>
        <w:tc>
          <w:tcPr>
            <w:tcW w:w="1665" w:type="pct"/>
            <w:hideMark/>
          </w:tcPr>
          <w:p w14:paraId="5E943F64" w14:textId="7BA5010A" w:rsidR="009E1C2F" w:rsidRPr="00F209B7" w:rsidRDefault="00A032E2" w:rsidP="00D66738">
            <w:pPr>
              <w:pStyle w:val="charts"/>
              <w:jc w:val="both"/>
              <w:rPr>
                <w:b/>
                <w:sz w:val="20"/>
                <w:lang w:eastAsia="en-ZA"/>
              </w:rPr>
            </w:pPr>
            <w:r>
              <w:rPr>
                <w:b/>
                <w:sz w:val="20"/>
                <w:lang w:eastAsia="en-ZA"/>
              </w:rPr>
              <w:t>Turnover​</w:t>
            </w:r>
          </w:p>
        </w:tc>
        <w:tc>
          <w:tcPr>
            <w:tcW w:w="3335" w:type="pct"/>
            <w:hideMark/>
          </w:tcPr>
          <w:p w14:paraId="7850C71A" w14:textId="04446646" w:rsidR="009E1C2F" w:rsidRPr="00F209B7" w:rsidRDefault="00A032E2" w:rsidP="00D66738">
            <w:pPr>
              <w:pStyle w:val="charts"/>
              <w:jc w:val="both"/>
              <w:rPr>
                <w:b/>
                <w:sz w:val="20"/>
                <w:lang w:eastAsia="en-ZA"/>
              </w:rPr>
            </w:pPr>
            <w:r>
              <w:rPr>
                <w:b/>
                <w:sz w:val="20"/>
                <w:lang w:eastAsia="en-ZA"/>
              </w:rPr>
              <w:t>Rate of tax</w:t>
            </w:r>
          </w:p>
        </w:tc>
      </w:tr>
      <w:tr w:rsidR="009E1C2F" w:rsidRPr="00F209B7" w14:paraId="4F5A9B5A" w14:textId="77777777" w:rsidTr="009E1C2F">
        <w:tc>
          <w:tcPr>
            <w:tcW w:w="1665" w:type="pct"/>
            <w:hideMark/>
          </w:tcPr>
          <w:p w14:paraId="04E06A97" w14:textId="0425D1AD" w:rsidR="009E1C2F" w:rsidRPr="00F209B7" w:rsidRDefault="009E1C2F" w:rsidP="00D66738">
            <w:pPr>
              <w:pStyle w:val="charts"/>
              <w:jc w:val="both"/>
              <w:rPr>
                <w:color w:val="000000"/>
                <w:sz w:val="20"/>
                <w:lang w:eastAsia="en-ZA"/>
              </w:rPr>
            </w:pPr>
            <w:r w:rsidRPr="00F209B7">
              <w:rPr>
                <w:color w:val="000000"/>
                <w:sz w:val="20"/>
                <w:lang w:eastAsia="en-ZA"/>
              </w:rPr>
              <w:t xml:space="preserve">0 - </w:t>
            </w:r>
            <w:r w:rsidR="00A032E2">
              <w:rPr>
                <w:color w:val="000000"/>
                <w:sz w:val="20"/>
                <w:lang w:eastAsia="en-ZA"/>
              </w:rPr>
              <w:t>R</w:t>
            </w:r>
            <w:r w:rsidRPr="00F209B7">
              <w:rPr>
                <w:color w:val="000000"/>
                <w:sz w:val="20"/>
                <w:lang w:eastAsia="en-ZA"/>
              </w:rPr>
              <w:t>335 000</w:t>
            </w:r>
          </w:p>
        </w:tc>
        <w:tc>
          <w:tcPr>
            <w:tcW w:w="3335" w:type="pct"/>
            <w:hideMark/>
          </w:tcPr>
          <w:p w14:paraId="3065E04C" w14:textId="77777777" w:rsidR="009E1C2F" w:rsidRPr="00F209B7" w:rsidRDefault="009E1C2F" w:rsidP="00D66738">
            <w:pPr>
              <w:pStyle w:val="charts"/>
              <w:jc w:val="both"/>
              <w:rPr>
                <w:color w:val="000000"/>
                <w:sz w:val="20"/>
                <w:lang w:eastAsia="en-ZA"/>
              </w:rPr>
            </w:pPr>
            <w:r w:rsidRPr="00F209B7">
              <w:rPr>
                <w:color w:val="000000"/>
                <w:sz w:val="20"/>
                <w:lang w:eastAsia="en-ZA"/>
              </w:rPr>
              <w:t>0%​</w:t>
            </w:r>
          </w:p>
        </w:tc>
      </w:tr>
      <w:tr w:rsidR="009E1C2F" w:rsidRPr="00F209B7" w14:paraId="7B64612A" w14:textId="77777777" w:rsidTr="009E1C2F">
        <w:tc>
          <w:tcPr>
            <w:tcW w:w="1665" w:type="pct"/>
            <w:hideMark/>
          </w:tcPr>
          <w:p w14:paraId="62069A12" w14:textId="4E474D30" w:rsidR="009E1C2F" w:rsidRPr="00F209B7" w:rsidRDefault="00A032E2" w:rsidP="00D66738">
            <w:pPr>
              <w:pStyle w:val="charts"/>
              <w:jc w:val="both"/>
              <w:rPr>
                <w:color w:val="000000"/>
                <w:sz w:val="20"/>
                <w:lang w:eastAsia="en-ZA"/>
              </w:rPr>
            </w:pPr>
            <w:r>
              <w:rPr>
                <w:color w:val="000000"/>
                <w:sz w:val="20"/>
                <w:lang w:eastAsia="en-ZA"/>
              </w:rPr>
              <w:t>R</w:t>
            </w:r>
            <w:r w:rsidR="009E1C2F" w:rsidRPr="00F209B7">
              <w:rPr>
                <w:color w:val="000000"/>
                <w:sz w:val="20"/>
                <w:lang w:eastAsia="en-ZA"/>
              </w:rPr>
              <w:t xml:space="preserve">335 001 - </w:t>
            </w:r>
            <w:r>
              <w:rPr>
                <w:color w:val="000000"/>
                <w:sz w:val="20"/>
                <w:lang w:eastAsia="en-ZA"/>
              </w:rPr>
              <w:t>R</w:t>
            </w:r>
            <w:r w:rsidR="009E1C2F" w:rsidRPr="00F209B7">
              <w:rPr>
                <w:color w:val="000000"/>
                <w:sz w:val="20"/>
                <w:lang w:eastAsia="en-ZA"/>
              </w:rPr>
              <w:t>500 000</w:t>
            </w:r>
          </w:p>
        </w:tc>
        <w:tc>
          <w:tcPr>
            <w:tcW w:w="3335" w:type="pct"/>
            <w:hideMark/>
          </w:tcPr>
          <w:p w14:paraId="32517E3B" w14:textId="2B80597B" w:rsidR="009E1C2F" w:rsidRPr="00F209B7" w:rsidRDefault="009E1C2F" w:rsidP="00D66738">
            <w:pPr>
              <w:pStyle w:val="charts"/>
              <w:jc w:val="both"/>
              <w:rPr>
                <w:color w:val="000000"/>
                <w:sz w:val="20"/>
                <w:lang w:eastAsia="en-ZA"/>
              </w:rPr>
            </w:pPr>
            <w:r w:rsidRPr="00F209B7">
              <w:rPr>
                <w:color w:val="000000"/>
                <w:sz w:val="20"/>
                <w:lang w:eastAsia="en-ZA"/>
              </w:rPr>
              <w:t xml:space="preserve">1% of each R1 above </w:t>
            </w:r>
            <w:r w:rsidR="00A032E2">
              <w:rPr>
                <w:color w:val="000000"/>
                <w:sz w:val="20"/>
                <w:lang w:eastAsia="en-ZA"/>
              </w:rPr>
              <w:t>R</w:t>
            </w:r>
            <w:r w:rsidRPr="00F209B7">
              <w:rPr>
                <w:color w:val="000000"/>
                <w:sz w:val="20"/>
                <w:lang w:eastAsia="en-ZA"/>
              </w:rPr>
              <w:t>335 000</w:t>
            </w:r>
          </w:p>
        </w:tc>
      </w:tr>
      <w:tr w:rsidR="009E1C2F" w:rsidRPr="00F209B7" w14:paraId="0616B407" w14:textId="77777777" w:rsidTr="009E1C2F">
        <w:tc>
          <w:tcPr>
            <w:tcW w:w="1665" w:type="pct"/>
            <w:hideMark/>
          </w:tcPr>
          <w:p w14:paraId="54F09040" w14:textId="793A596D" w:rsidR="009E1C2F" w:rsidRPr="00F209B7" w:rsidRDefault="00A032E2" w:rsidP="00D66738">
            <w:pPr>
              <w:pStyle w:val="charts"/>
              <w:jc w:val="both"/>
              <w:rPr>
                <w:color w:val="000000"/>
                <w:sz w:val="20"/>
                <w:lang w:eastAsia="en-ZA"/>
              </w:rPr>
            </w:pPr>
            <w:r>
              <w:rPr>
                <w:color w:val="000000"/>
                <w:sz w:val="20"/>
                <w:lang w:eastAsia="en-ZA"/>
              </w:rPr>
              <w:t>R</w:t>
            </w:r>
            <w:r w:rsidR="009E1C2F" w:rsidRPr="00F209B7">
              <w:rPr>
                <w:color w:val="000000"/>
                <w:sz w:val="20"/>
                <w:lang w:eastAsia="en-ZA"/>
              </w:rPr>
              <w:t xml:space="preserve">500 001 - </w:t>
            </w:r>
            <w:r>
              <w:rPr>
                <w:color w:val="000000"/>
                <w:sz w:val="20"/>
                <w:lang w:eastAsia="en-ZA"/>
              </w:rPr>
              <w:t>R</w:t>
            </w:r>
            <w:r w:rsidR="009E1C2F" w:rsidRPr="00F209B7">
              <w:rPr>
                <w:color w:val="000000"/>
                <w:sz w:val="20"/>
                <w:lang w:eastAsia="en-ZA"/>
              </w:rPr>
              <w:t>750 000</w:t>
            </w:r>
          </w:p>
        </w:tc>
        <w:tc>
          <w:tcPr>
            <w:tcW w:w="3335" w:type="pct"/>
            <w:hideMark/>
          </w:tcPr>
          <w:p w14:paraId="2BDADB2A" w14:textId="3C0D1872" w:rsidR="009E1C2F" w:rsidRPr="00F209B7" w:rsidRDefault="00A032E2" w:rsidP="00D66738">
            <w:pPr>
              <w:pStyle w:val="charts"/>
              <w:jc w:val="both"/>
              <w:rPr>
                <w:color w:val="000000"/>
                <w:sz w:val="20"/>
                <w:lang w:eastAsia="en-ZA"/>
              </w:rPr>
            </w:pPr>
            <w:r>
              <w:rPr>
                <w:color w:val="000000"/>
                <w:sz w:val="20"/>
                <w:lang w:eastAsia="en-ZA"/>
              </w:rPr>
              <w:t>R</w:t>
            </w:r>
            <w:r w:rsidR="009E1C2F" w:rsidRPr="00F209B7">
              <w:rPr>
                <w:color w:val="000000"/>
                <w:sz w:val="20"/>
                <w:lang w:eastAsia="en-ZA"/>
              </w:rPr>
              <w:t xml:space="preserve">1 650 + 2% of the amount above </w:t>
            </w:r>
            <w:r>
              <w:rPr>
                <w:color w:val="000000"/>
                <w:sz w:val="20"/>
                <w:lang w:eastAsia="en-ZA"/>
              </w:rPr>
              <w:t>R</w:t>
            </w:r>
            <w:r w:rsidR="009E1C2F" w:rsidRPr="00F209B7">
              <w:rPr>
                <w:color w:val="000000"/>
                <w:sz w:val="20"/>
                <w:lang w:eastAsia="en-ZA"/>
              </w:rPr>
              <w:t>500 000</w:t>
            </w:r>
          </w:p>
        </w:tc>
      </w:tr>
      <w:tr w:rsidR="009E1C2F" w:rsidRPr="00F209B7" w14:paraId="4AA0F7E3" w14:textId="77777777" w:rsidTr="009E1C2F">
        <w:tc>
          <w:tcPr>
            <w:tcW w:w="1665" w:type="pct"/>
            <w:hideMark/>
          </w:tcPr>
          <w:p w14:paraId="300514E2" w14:textId="4E859E10" w:rsidR="009E1C2F" w:rsidRPr="00F209B7" w:rsidRDefault="00A032E2" w:rsidP="00D66738">
            <w:pPr>
              <w:pStyle w:val="charts"/>
              <w:jc w:val="both"/>
              <w:rPr>
                <w:color w:val="000000"/>
                <w:sz w:val="20"/>
                <w:lang w:eastAsia="en-ZA"/>
              </w:rPr>
            </w:pPr>
            <w:r>
              <w:rPr>
                <w:color w:val="000000"/>
                <w:sz w:val="20"/>
                <w:lang w:eastAsia="en-ZA"/>
              </w:rPr>
              <w:t>R</w:t>
            </w:r>
            <w:r w:rsidR="009E1C2F" w:rsidRPr="00F209B7">
              <w:rPr>
                <w:color w:val="000000"/>
                <w:sz w:val="20"/>
                <w:lang w:eastAsia="en-ZA"/>
              </w:rPr>
              <w:t>750 001 and above</w:t>
            </w:r>
          </w:p>
        </w:tc>
        <w:tc>
          <w:tcPr>
            <w:tcW w:w="3335" w:type="pct"/>
            <w:hideMark/>
          </w:tcPr>
          <w:p w14:paraId="4DFEFF9D" w14:textId="5D6FA83A" w:rsidR="009E1C2F" w:rsidRPr="00F209B7" w:rsidRDefault="00A032E2" w:rsidP="00D66738">
            <w:pPr>
              <w:pStyle w:val="charts"/>
              <w:jc w:val="both"/>
              <w:rPr>
                <w:color w:val="000000"/>
                <w:sz w:val="20"/>
                <w:lang w:eastAsia="en-ZA"/>
              </w:rPr>
            </w:pPr>
            <w:r>
              <w:rPr>
                <w:color w:val="000000"/>
                <w:sz w:val="20"/>
                <w:lang w:eastAsia="en-ZA"/>
              </w:rPr>
              <w:t>R</w:t>
            </w:r>
            <w:r w:rsidR="009E1C2F" w:rsidRPr="00F209B7">
              <w:rPr>
                <w:color w:val="000000"/>
                <w:sz w:val="20"/>
                <w:lang w:eastAsia="en-ZA"/>
              </w:rPr>
              <w:t xml:space="preserve">6 650 + 3% of the amount above </w:t>
            </w:r>
            <w:r>
              <w:rPr>
                <w:color w:val="000000"/>
                <w:sz w:val="20"/>
                <w:lang w:eastAsia="en-ZA"/>
              </w:rPr>
              <w:t>R</w:t>
            </w:r>
            <w:r w:rsidR="009E1C2F" w:rsidRPr="00F209B7">
              <w:rPr>
                <w:color w:val="000000"/>
                <w:sz w:val="20"/>
                <w:lang w:eastAsia="en-ZA"/>
              </w:rPr>
              <w:t>750 000</w:t>
            </w:r>
          </w:p>
        </w:tc>
      </w:tr>
    </w:tbl>
    <w:p w14:paraId="1C528EBE" w14:textId="77777777" w:rsidR="009E1C2F" w:rsidRPr="00F209B7" w:rsidRDefault="009E1C2F" w:rsidP="00D66738">
      <w:pPr>
        <w:pStyle w:val="source"/>
        <w:jc w:val="both"/>
      </w:pPr>
      <w:r w:rsidRPr="00F209B7">
        <w:rPr>
          <w:rFonts w:ascii="Arial" w:eastAsia="Times New Roman" w:hAnsi="Arial" w:cs="Arial"/>
          <w:color w:val="000000"/>
          <w:sz w:val="17"/>
          <w:szCs w:val="17"/>
          <w:lang w:eastAsia="en-ZA"/>
        </w:rPr>
        <w:t> </w:t>
      </w:r>
      <w:r w:rsidRPr="00F209B7">
        <w:rPr>
          <w:i/>
        </w:rPr>
        <w:t>Source:</w:t>
      </w:r>
      <w:r w:rsidRPr="00F209B7">
        <w:t xml:space="preserve"> SARS (2016)</w:t>
      </w:r>
    </w:p>
    <w:p w14:paraId="263AC93F" w14:textId="77777777" w:rsidR="00BE6813" w:rsidRPr="00F209B7" w:rsidRDefault="00E41555" w:rsidP="00D66738">
      <w:pPr>
        <w:jc w:val="both"/>
      </w:pPr>
      <w:r w:rsidRPr="00F209B7">
        <w:t xml:space="preserve">The following </w:t>
      </w:r>
      <w:r w:rsidR="00BE6813" w:rsidRPr="00F209B7">
        <w:t>records must be kept</w:t>
      </w:r>
      <w:r w:rsidRPr="00F209B7">
        <w:t xml:space="preserve"> for the turnover tax</w:t>
      </w:r>
      <w:r w:rsidR="00BE6813" w:rsidRPr="00F209B7">
        <w:t>:</w:t>
      </w:r>
    </w:p>
    <w:p w14:paraId="38472E89" w14:textId="77777777" w:rsidR="00BE6813" w:rsidRPr="00F209B7" w:rsidRDefault="00BE6813" w:rsidP="00D66738">
      <w:pPr>
        <w:pStyle w:val="ListParagraph"/>
        <w:numPr>
          <w:ilvl w:val="0"/>
          <w:numId w:val="41"/>
        </w:numPr>
        <w:jc w:val="both"/>
      </w:pPr>
      <w:r w:rsidRPr="00F209B7">
        <w:lastRenderedPageBreak/>
        <w:t>Records of all amounts received;</w:t>
      </w:r>
    </w:p>
    <w:p w14:paraId="1DD0FD89" w14:textId="77777777" w:rsidR="00BE6813" w:rsidRPr="00F209B7" w:rsidRDefault="00BE6813" w:rsidP="00D66738">
      <w:pPr>
        <w:pStyle w:val="ListParagraph"/>
        <w:numPr>
          <w:ilvl w:val="0"/>
          <w:numId w:val="41"/>
        </w:numPr>
        <w:jc w:val="both"/>
      </w:pPr>
      <w:r w:rsidRPr="00F209B7">
        <w:t>Records of dividends declared;</w:t>
      </w:r>
    </w:p>
    <w:p w14:paraId="759B3A59" w14:textId="77777777" w:rsidR="00BE6813" w:rsidRPr="00F209B7" w:rsidRDefault="00BE6813" w:rsidP="00D66738">
      <w:pPr>
        <w:pStyle w:val="ListParagraph"/>
        <w:numPr>
          <w:ilvl w:val="0"/>
          <w:numId w:val="41"/>
        </w:numPr>
        <w:jc w:val="both"/>
      </w:pPr>
      <w:r w:rsidRPr="00F209B7">
        <w:t>A list of each asset with a cost price of more than R10 000 at the end of the year of assessment as well as of liabilities exceeding R10 000.</w:t>
      </w:r>
    </w:p>
    <w:p w14:paraId="5F1A5068" w14:textId="770DA234" w:rsidR="00816DF4" w:rsidRPr="00F209B7" w:rsidRDefault="00816DF4" w:rsidP="00D66738">
      <w:pPr>
        <w:jc w:val="both"/>
      </w:pPr>
      <w:r w:rsidRPr="00F209B7">
        <w:t>A small business may register as an SBC for tax purposes under schedule 12E of the Income Tax Act. An SBC is taxed on the basis of a progressive rate, and can write-off and depreciate assets at a faster rate than other businesses. To qualify as an SBC, private companies, close corporations and co-operatives need to comply with all of the following requirements:</w:t>
      </w:r>
    </w:p>
    <w:p w14:paraId="0F8B8B2A" w14:textId="77777777" w:rsidR="00816DF4" w:rsidRPr="00F209B7" w:rsidRDefault="00816DF4" w:rsidP="00D66738">
      <w:pPr>
        <w:pStyle w:val="ListParagraph"/>
        <w:numPr>
          <w:ilvl w:val="0"/>
          <w:numId w:val="39"/>
        </w:numPr>
        <w:jc w:val="both"/>
      </w:pPr>
      <w:r w:rsidRPr="00F209B7">
        <w:t xml:space="preserve">The owners (or members, for co-ops) must be actual people, not other companies, and they may not have equity </w:t>
      </w:r>
      <w:r w:rsidR="00F209B7" w:rsidRPr="00F209B7">
        <w:t>investments</w:t>
      </w:r>
      <w:r w:rsidRPr="00F209B7">
        <w:t xml:space="preserve"> in any larger company;</w:t>
      </w:r>
    </w:p>
    <w:p w14:paraId="77667484" w14:textId="77777777" w:rsidR="00816DF4" w:rsidRPr="00F209B7" w:rsidRDefault="00816DF4" w:rsidP="00D66738">
      <w:pPr>
        <w:pStyle w:val="ListParagraph"/>
        <w:numPr>
          <w:ilvl w:val="0"/>
          <w:numId w:val="39"/>
        </w:numPr>
        <w:jc w:val="both"/>
      </w:pPr>
      <w:r w:rsidRPr="00F209B7">
        <w:t xml:space="preserve">The business’s gross income may not exceed R20 million a year. </w:t>
      </w:r>
    </w:p>
    <w:p w14:paraId="3090D6E1" w14:textId="77777777" w:rsidR="00816DF4" w:rsidRPr="00F209B7" w:rsidRDefault="00816DF4" w:rsidP="00D66738">
      <w:pPr>
        <w:pStyle w:val="ListParagraph"/>
        <w:numPr>
          <w:ilvl w:val="0"/>
          <w:numId w:val="39"/>
        </w:numPr>
        <w:jc w:val="both"/>
      </w:pPr>
      <w:r w:rsidRPr="00F209B7">
        <w:t>No more than 20% of its receipts and accruals, and no capital gains, may derive from investment income or providing “personal services” as defined in the tax laws, and the business may not be a “personal service provider” as defined in the tax laws.</w:t>
      </w:r>
    </w:p>
    <w:p w14:paraId="3F903102" w14:textId="77777777" w:rsidR="00816DF4" w:rsidRPr="00F209B7" w:rsidRDefault="00816DF4" w:rsidP="00D66738">
      <w:pPr>
        <w:jc w:val="both"/>
      </w:pPr>
      <w:r w:rsidRPr="00F209B7">
        <w:t xml:space="preserve">An SBC registers as a company and for income tax like other business. It can then register for VAT and PAYE, if necessary, through SARS </w:t>
      </w:r>
      <w:proofErr w:type="spellStart"/>
      <w:r w:rsidRPr="00F209B7">
        <w:t>eFiling</w:t>
      </w:r>
      <w:proofErr w:type="spellEnd"/>
      <w:r w:rsidRPr="00F209B7">
        <w:t xml:space="preserve"> or through a fast process at a SARS office, rather than completing the normal lengthier process. Registration for income tax, PAYE and VAT are completed in real time, with VAT possibly requiring an additional review step.</w:t>
      </w:r>
    </w:p>
    <w:p w14:paraId="19B4E735" w14:textId="77777777" w:rsidR="00E41438" w:rsidRPr="00F209B7" w:rsidRDefault="00E41438" w:rsidP="00D66738">
      <w:pPr>
        <w:shd w:val="clear" w:color="auto" w:fill="FFFFFF"/>
        <w:jc w:val="both"/>
        <w:rPr>
          <w:rFonts w:ascii="Calibri" w:eastAsia="Calibri" w:hAnsi="Calibri" w:cs="Times New Roman"/>
          <w:szCs w:val="24"/>
        </w:rPr>
      </w:pPr>
      <w:r w:rsidRPr="00F209B7">
        <w:rPr>
          <w:rFonts w:ascii="Calibri" w:eastAsia="Calibri" w:hAnsi="Calibri" w:cs="Times New Roman"/>
          <w:szCs w:val="24"/>
        </w:rPr>
        <w:t xml:space="preserve">The SBC rates that are applicable for the year of assessment ending on 28 February 2017 are detailed below. </w:t>
      </w:r>
    </w:p>
    <w:p w14:paraId="4C1688B0" w14:textId="38FD7637" w:rsidR="00E41438" w:rsidRPr="000468A4" w:rsidRDefault="009E1C2F" w:rsidP="00D66738">
      <w:pPr>
        <w:pStyle w:val="Caption"/>
        <w:jc w:val="both"/>
      </w:pPr>
      <w:bookmarkStart w:id="735" w:name="_Toc469410597"/>
      <w:bookmarkStart w:id="736" w:name="_Toc469411190"/>
      <w:bookmarkStart w:id="737" w:name="_Toc469411508"/>
      <w:bookmarkStart w:id="738" w:name="_Toc469485016"/>
      <w:bookmarkStart w:id="739" w:name="_Toc479940969"/>
      <w:r w:rsidRPr="00F209B7">
        <w:t xml:space="preserve">Table </w:t>
      </w:r>
      <w:fldSimple w:instr=" SEQ Table \* ARABIC ">
        <w:r w:rsidR="005062E7">
          <w:rPr>
            <w:noProof/>
          </w:rPr>
          <w:t>12</w:t>
        </w:r>
      </w:fldSimple>
      <w:r w:rsidR="00A032E2">
        <w:rPr>
          <w:noProof/>
        </w:rPr>
        <w:t>.</w:t>
      </w:r>
      <w:r w:rsidRPr="00F209B7">
        <w:t xml:space="preserve"> </w:t>
      </w:r>
      <w:r w:rsidR="00E41438" w:rsidRPr="000468A4">
        <w:t xml:space="preserve">SBC tax rates </w:t>
      </w:r>
      <w:bookmarkEnd w:id="735"/>
      <w:bookmarkEnd w:id="736"/>
      <w:bookmarkEnd w:id="737"/>
      <w:bookmarkEnd w:id="738"/>
      <w:r w:rsidRPr="000468A4">
        <w:t>as of 2016</w:t>
      </w:r>
      <w:bookmarkEnd w:id="739"/>
    </w:p>
    <w:tbl>
      <w:tblPr>
        <w:tblStyle w:val="TableGrid"/>
        <w:tblW w:w="5000" w:type="pct"/>
        <w:tblLook w:val="04A0" w:firstRow="1" w:lastRow="0" w:firstColumn="1" w:lastColumn="0" w:noHBand="0" w:noVBand="1"/>
      </w:tblPr>
      <w:tblGrid>
        <w:gridCol w:w="2883"/>
        <w:gridCol w:w="6359"/>
      </w:tblGrid>
      <w:tr w:rsidR="00E41438" w:rsidRPr="00F209B7" w14:paraId="7803AF30" w14:textId="77777777" w:rsidTr="009E1C2F">
        <w:trPr>
          <w:tblHeader/>
        </w:trPr>
        <w:tc>
          <w:tcPr>
            <w:tcW w:w="0" w:type="auto"/>
            <w:hideMark/>
          </w:tcPr>
          <w:p w14:paraId="178696C4" w14:textId="717BCBC3" w:rsidR="00E41438" w:rsidRPr="00F209B7" w:rsidRDefault="00A032E2" w:rsidP="00D66738">
            <w:pPr>
              <w:pStyle w:val="charts"/>
              <w:jc w:val="both"/>
              <w:rPr>
                <w:b/>
                <w:sz w:val="20"/>
                <w:lang w:eastAsia="en-ZA"/>
              </w:rPr>
            </w:pPr>
            <w:r>
              <w:rPr>
                <w:b/>
                <w:sz w:val="20"/>
                <w:lang w:eastAsia="en-ZA"/>
              </w:rPr>
              <w:t>Taxable income</w:t>
            </w:r>
          </w:p>
        </w:tc>
        <w:tc>
          <w:tcPr>
            <w:tcW w:w="0" w:type="auto"/>
            <w:hideMark/>
          </w:tcPr>
          <w:p w14:paraId="215293FA" w14:textId="01656FD8" w:rsidR="00E41438" w:rsidRPr="00F209B7" w:rsidRDefault="00A032E2" w:rsidP="00D66738">
            <w:pPr>
              <w:pStyle w:val="charts"/>
              <w:jc w:val="both"/>
              <w:rPr>
                <w:b/>
                <w:sz w:val="20"/>
                <w:lang w:eastAsia="en-ZA"/>
              </w:rPr>
            </w:pPr>
            <w:r>
              <w:rPr>
                <w:b/>
                <w:sz w:val="20"/>
                <w:lang w:eastAsia="en-ZA"/>
              </w:rPr>
              <w:t>Rate of Tax</w:t>
            </w:r>
          </w:p>
        </w:tc>
      </w:tr>
      <w:tr w:rsidR="00E41438" w:rsidRPr="00F209B7" w14:paraId="6D5A52DB" w14:textId="77777777" w:rsidTr="009E1C2F">
        <w:tc>
          <w:tcPr>
            <w:tcW w:w="0" w:type="auto"/>
            <w:hideMark/>
          </w:tcPr>
          <w:p w14:paraId="4064CEAE" w14:textId="3544E5E9" w:rsidR="00E41438" w:rsidRPr="00F209B7" w:rsidRDefault="00E41438" w:rsidP="00D66738">
            <w:pPr>
              <w:pStyle w:val="charts"/>
              <w:jc w:val="both"/>
              <w:rPr>
                <w:color w:val="000000"/>
                <w:sz w:val="20"/>
                <w:lang w:eastAsia="en-ZA"/>
              </w:rPr>
            </w:pPr>
            <w:r w:rsidRPr="00F209B7">
              <w:rPr>
                <w:color w:val="000000"/>
                <w:sz w:val="20"/>
                <w:lang w:eastAsia="en-ZA"/>
              </w:rPr>
              <w:t xml:space="preserve">0 – </w:t>
            </w:r>
            <w:r w:rsidR="00A032E2">
              <w:rPr>
                <w:color w:val="000000"/>
                <w:sz w:val="20"/>
                <w:lang w:eastAsia="en-ZA"/>
              </w:rPr>
              <w:t>R</w:t>
            </w:r>
            <w:r w:rsidRPr="00F209B7">
              <w:rPr>
                <w:color w:val="000000"/>
                <w:sz w:val="20"/>
                <w:lang w:eastAsia="en-ZA"/>
              </w:rPr>
              <w:t>75 000</w:t>
            </w:r>
          </w:p>
        </w:tc>
        <w:tc>
          <w:tcPr>
            <w:tcW w:w="0" w:type="auto"/>
            <w:hideMark/>
          </w:tcPr>
          <w:p w14:paraId="7659C7FE" w14:textId="77777777" w:rsidR="00E41438" w:rsidRPr="00F209B7" w:rsidRDefault="00E41438" w:rsidP="00D66738">
            <w:pPr>
              <w:pStyle w:val="charts"/>
              <w:jc w:val="both"/>
              <w:rPr>
                <w:color w:val="000000"/>
                <w:sz w:val="20"/>
                <w:lang w:eastAsia="en-ZA"/>
              </w:rPr>
            </w:pPr>
            <w:r w:rsidRPr="00F209B7">
              <w:rPr>
                <w:color w:val="000000"/>
                <w:sz w:val="20"/>
                <w:lang w:eastAsia="en-ZA"/>
              </w:rPr>
              <w:t>0% of taxable income</w:t>
            </w:r>
          </w:p>
        </w:tc>
      </w:tr>
      <w:tr w:rsidR="00E41438" w:rsidRPr="00F209B7" w14:paraId="32B12D89" w14:textId="77777777" w:rsidTr="009E1C2F">
        <w:tc>
          <w:tcPr>
            <w:tcW w:w="0" w:type="auto"/>
            <w:hideMark/>
          </w:tcPr>
          <w:p w14:paraId="3D2997DD" w14:textId="1CC332D8" w:rsidR="00E41438" w:rsidRPr="00F209B7" w:rsidRDefault="00A032E2" w:rsidP="00D66738">
            <w:pPr>
              <w:pStyle w:val="charts"/>
              <w:jc w:val="both"/>
              <w:rPr>
                <w:color w:val="000000"/>
                <w:sz w:val="20"/>
                <w:lang w:eastAsia="en-ZA"/>
              </w:rPr>
            </w:pPr>
            <w:r>
              <w:rPr>
                <w:color w:val="000000"/>
                <w:sz w:val="20"/>
                <w:lang w:eastAsia="en-ZA"/>
              </w:rPr>
              <w:t>R</w:t>
            </w:r>
            <w:r w:rsidR="00E41438" w:rsidRPr="00F209B7">
              <w:rPr>
                <w:color w:val="000000"/>
                <w:sz w:val="20"/>
                <w:lang w:eastAsia="en-ZA"/>
              </w:rPr>
              <w:t xml:space="preserve">75 001 – </w:t>
            </w:r>
            <w:r>
              <w:rPr>
                <w:color w:val="000000"/>
                <w:sz w:val="20"/>
                <w:lang w:eastAsia="en-ZA"/>
              </w:rPr>
              <w:t>R</w:t>
            </w:r>
            <w:r w:rsidR="00E41438" w:rsidRPr="00F209B7">
              <w:rPr>
                <w:color w:val="000000"/>
                <w:sz w:val="20"/>
                <w:lang w:eastAsia="en-ZA"/>
              </w:rPr>
              <w:t>365 000</w:t>
            </w:r>
          </w:p>
        </w:tc>
        <w:tc>
          <w:tcPr>
            <w:tcW w:w="0" w:type="auto"/>
            <w:hideMark/>
          </w:tcPr>
          <w:p w14:paraId="7FB3E04F" w14:textId="7997CED8" w:rsidR="00E41438" w:rsidRPr="00F209B7" w:rsidRDefault="00E41438" w:rsidP="00D66738">
            <w:pPr>
              <w:pStyle w:val="charts"/>
              <w:jc w:val="both"/>
              <w:rPr>
                <w:color w:val="000000"/>
                <w:sz w:val="20"/>
                <w:lang w:eastAsia="en-ZA"/>
              </w:rPr>
            </w:pPr>
            <w:r w:rsidRPr="00F209B7">
              <w:rPr>
                <w:color w:val="000000"/>
                <w:sz w:val="20"/>
                <w:lang w:eastAsia="en-ZA"/>
              </w:rPr>
              <w:t xml:space="preserve">7% of taxable income above </w:t>
            </w:r>
            <w:r w:rsidR="00A032E2">
              <w:rPr>
                <w:color w:val="000000"/>
                <w:sz w:val="20"/>
                <w:lang w:eastAsia="en-ZA"/>
              </w:rPr>
              <w:t>R</w:t>
            </w:r>
            <w:r w:rsidRPr="00F209B7">
              <w:rPr>
                <w:color w:val="000000"/>
                <w:sz w:val="20"/>
                <w:lang w:eastAsia="en-ZA"/>
              </w:rPr>
              <w:t>75 000</w:t>
            </w:r>
          </w:p>
        </w:tc>
      </w:tr>
      <w:tr w:rsidR="00E41438" w:rsidRPr="00F209B7" w14:paraId="1B36708D" w14:textId="77777777" w:rsidTr="009E1C2F">
        <w:tc>
          <w:tcPr>
            <w:tcW w:w="0" w:type="auto"/>
            <w:hideMark/>
          </w:tcPr>
          <w:p w14:paraId="522CBDE8" w14:textId="2B8FF596" w:rsidR="00E41438" w:rsidRPr="00F209B7" w:rsidRDefault="00A032E2" w:rsidP="00D66738">
            <w:pPr>
              <w:pStyle w:val="charts"/>
              <w:jc w:val="both"/>
              <w:rPr>
                <w:color w:val="000000"/>
                <w:sz w:val="20"/>
                <w:lang w:eastAsia="en-ZA"/>
              </w:rPr>
            </w:pPr>
            <w:r>
              <w:rPr>
                <w:color w:val="000000"/>
                <w:sz w:val="20"/>
                <w:lang w:eastAsia="en-ZA"/>
              </w:rPr>
              <w:t>R</w:t>
            </w:r>
            <w:r w:rsidR="00E41438" w:rsidRPr="00F209B7">
              <w:rPr>
                <w:color w:val="000000"/>
                <w:sz w:val="20"/>
                <w:lang w:eastAsia="en-ZA"/>
              </w:rPr>
              <w:t xml:space="preserve">365 001 – </w:t>
            </w:r>
            <w:r>
              <w:rPr>
                <w:color w:val="000000"/>
                <w:sz w:val="20"/>
                <w:lang w:eastAsia="en-ZA"/>
              </w:rPr>
              <w:t>R</w:t>
            </w:r>
            <w:r w:rsidR="00E41438" w:rsidRPr="00F209B7">
              <w:rPr>
                <w:color w:val="000000"/>
                <w:sz w:val="20"/>
                <w:lang w:eastAsia="en-ZA"/>
              </w:rPr>
              <w:t>550 000</w:t>
            </w:r>
          </w:p>
        </w:tc>
        <w:tc>
          <w:tcPr>
            <w:tcW w:w="0" w:type="auto"/>
            <w:hideMark/>
          </w:tcPr>
          <w:p w14:paraId="197E3EA8" w14:textId="7A6374AA" w:rsidR="00E41438" w:rsidRPr="00F209B7" w:rsidRDefault="00A032E2" w:rsidP="00D66738">
            <w:pPr>
              <w:pStyle w:val="charts"/>
              <w:jc w:val="both"/>
              <w:rPr>
                <w:color w:val="000000"/>
                <w:sz w:val="20"/>
                <w:lang w:eastAsia="en-ZA"/>
              </w:rPr>
            </w:pPr>
            <w:r>
              <w:rPr>
                <w:color w:val="000000"/>
                <w:sz w:val="20"/>
                <w:lang w:eastAsia="en-ZA"/>
              </w:rPr>
              <w:t>R</w:t>
            </w:r>
            <w:r w:rsidR="00E41438" w:rsidRPr="00F209B7">
              <w:rPr>
                <w:color w:val="000000"/>
                <w:sz w:val="20"/>
                <w:lang w:eastAsia="en-ZA"/>
              </w:rPr>
              <w:t xml:space="preserve">20 300 + 21% of taxable income above </w:t>
            </w:r>
            <w:r>
              <w:rPr>
                <w:color w:val="000000"/>
                <w:sz w:val="20"/>
                <w:lang w:eastAsia="en-ZA"/>
              </w:rPr>
              <w:t>R</w:t>
            </w:r>
            <w:r w:rsidR="00E41438" w:rsidRPr="00F209B7">
              <w:rPr>
                <w:color w:val="000000"/>
                <w:sz w:val="20"/>
                <w:lang w:eastAsia="en-ZA"/>
              </w:rPr>
              <w:t>365 000</w:t>
            </w:r>
          </w:p>
        </w:tc>
      </w:tr>
      <w:tr w:rsidR="00E41438" w:rsidRPr="00F209B7" w14:paraId="2D6AC750" w14:textId="77777777" w:rsidTr="009E1C2F">
        <w:tc>
          <w:tcPr>
            <w:tcW w:w="0" w:type="auto"/>
            <w:hideMark/>
          </w:tcPr>
          <w:p w14:paraId="12888992" w14:textId="4CCD4333" w:rsidR="00E41438" w:rsidRPr="00F209B7" w:rsidRDefault="00A032E2" w:rsidP="00D66738">
            <w:pPr>
              <w:pStyle w:val="charts"/>
              <w:jc w:val="both"/>
              <w:rPr>
                <w:color w:val="000000"/>
                <w:sz w:val="20"/>
                <w:lang w:eastAsia="en-ZA"/>
              </w:rPr>
            </w:pPr>
            <w:r>
              <w:rPr>
                <w:color w:val="000000"/>
                <w:sz w:val="20"/>
                <w:lang w:eastAsia="en-ZA"/>
              </w:rPr>
              <w:t>R</w:t>
            </w:r>
            <w:r w:rsidR="00E41438" w:rsidRPr="00F209B7">
              <w:rPr>
                <w:color w:val="000000"/>
                <w:sz w:val="20"/>
                <w:lang w:eastAsia="en-ZA"/>
              </w:rPr>
              <w:t>550 001 and above</w:t>
            </w:r>
          </w:p>
        </w:tc>
        <w:tc>
          <w:tcPr>
            <w:tcW w:w="0" w:type="auto"/>
            <w:hideMark/>
          </w:tcPr>
          <w:p w14:paraId="1B12704C" w14:textId="547F8B3A" w:rsidR="00E41438" w:rsidRPr="00F209B7" w:rsidRDefault="00A032E2" w:rsidP="00D66738">
            <w:pPr>
              <w:pStyle w:val="charts"/>
              <w:jc w:val="both"/>
              <w:rPr>
                <w:color w:val="000000"/>
                <w:sz w:val="20"/>
                <w:lang w:eastAsia="en-ZA"/>
              </w:rPr>
            </w:pPr>
            <w:r>
              <w:rPr>
                <w:color w:val="000000"/>
                <w:sz w:val="20"/>
                <w:lang w:eastAsia="en-ZA"/>
              </w:rPr>
              <w:t>R</w:t>
            </w:r>
            <w:r w:rsidR="00E41438" w:rsidRPr="00F209B7">
              <w:rPr>
                <w:color w:val="000000"/>
                <w:sz w:val="20"/>
                <w:lang w:eastAsia="en-ZA"/>
              </w:rPr>
              <w:t xml:space="preserve">59 150 + 28% of taxable income above </w:t>
            </w:r>
            <w:r>
              <w:rPr>
                <w:color w:val="000000"/>
                <w:sz w:val="20"/>
                <w:lang w:eastAsia="en-ZA"/>
              </w:rPr>
              <w:t>R</w:t>
            </w:r>
            <w:r w:rsidR="00E41438" w:rsidRPr="00F209B7">
              <w:rPr>
                <w:color w:val="000000"/>
                <w:sz w:val="20"/>
                <w:lang w:eastAsia="en-ZA"/>
              </w:rPr>
              <w:t>550 000</w:t>
            </w:r>
          </w:p>
        </w:tc>
      </w:tr>
    </w:tbl>
    <w:p w14:paraId="746D0846" w14:textId="77777777" w:rsidR="00E41438" w:rsidRPr="00F209B7" w:rsidRDefault="00E41438" w:rsidP="00D66738">
      <w:pPr>
        <w:pStyle w:val="source"/>
        <w:jc w:val="both"/>
      </w:pPr>
      <w:r w:rsidRPr="00F209B7">
        <w:rPr>
          <w:i/>
        </w:rPr>
        <w:t>Source:</w:t>
      </w:r>
      <w:r w:rsidRPr="00F209B7">
        <w:t xml:space="preserve"> SARS (2016)</w:t>
      </w:r>
    </w:p>
    <w:p w14:paraId="15E358D2" w14:textId="77777777" w:rsidR="00E41438" w:rsidRPr="00F209B7" w:rsidRDefault="00E41438" w:rsidP="00D66738">
      <w:pPr>
        <w:pStyle w:val="Heading3"/>
        <w:numPr>
          <w:ilvl w:val="2"/>
          <w:numId w:val="132"/>
        </w:numPr>
        <w:ind w:left="0" w:firstLine="0"/>
        <w:jc w:val="both"/>
      </w:pPr>
      <w:bookmarkStart w:id="740" w:name="_Toc479843922"/>
      <w:bookmarkStart w:id="741" w:name="_Toc479844546"/>
      <w:bookmarkStart w:id="742" w:name="_Toc479940876"/>
      <w:r w:rsidRPr="00F209B7">
        <w:t xml:space="preserve">Assessment of costs </w:t>
      </w:r>
      <w:r w:rsidR="009E1C2F" w:rsidRPr="00F209B7">
        <w:t>and benefits for</w:t>
      </w:r>
      <w:r w:rsidRPr="00F209B7">
        <w:t xml:space="preserve"> small enterprises</w:t>
      </w:r>
      <w:bookmarkEnd w:id="740"/>
      <w:bookmarkEnd w:id="741"/>
      <w:bookmarkEnd w:id="742"/>
    </w:p>
    <w:p w14:paraId="4DD33FA3" w14:textId="77777777" w:rsidR="009E1C2F" w:rsidRPr="00F209B7" w:rsidRDefault="009E1C2F" w:rsidP="00D66738">
      <w:pPr>
        <w:jc w:val="both"/>
      </w:pPr>
      <w:r w:rsidRPr="00F209B7">
        <w:t xml:space="preserve">SARS has done a lot to reduce the administrative burden of taxation over the past ten years, including </w:t>
      </w:r>
      <w:proofErr w:type="spellStart"/>
      <w:r w:rsidRPr="00F209B7">
        <w:t>eFiling</w:t>
      </w:r>
      <w:proofErr w:type="spellEnd"/>
      <w:r w:rsidRPr="00F209B7">
        <w:t xml:space="preserve"> and improved coordination with the CIPC around </w:t>
      </w:r>
      <w:r w:rsidR="00E41438" w:rsidRPr="00F209B7">
        <w:t xml:space="preserve">company registration. </w:t>
      </w:r>
      <w:r w:rsidRPr="00F209B7">
        <w:t xml:space="preserve">The main concerns now arise around delays and a lack of transparency around VAT refunds and audits. </w:t>
      </w:r>
    </w:p>
    <w:p w14:paraId="3C3D37C4" w14:textId="4843AAA1" w:rsidR="003751A5" w:rsidRPr="00F209B7" w:rsidRDefault="003751A5" w:rsidP="00D66738">
      <w:pPr>
        <w:jc w:val="both"/>
      </w:pPr>
      <w:r w:rsidRPr="00F209B7">
        <w:t xml:space="preserve">In 2012, a survey </w:t>
      </w:r>
      <w:r w:rsidR="003D48CF" w:rsidRPr="00F209B7">
        <w:t xml:space="preserve">of small businesses (with turnover under R14 million) </w:t>
      </w:r>
      <w:r w:rsidRPr="00F209B7">
        <w:t xml:space="preserve">found that </w:t>
      </w:r>
      <w:r w:rsidR="003D48CF" w:rsidRPr="00F209B7">
        <w:t xml:space="preserve">the median time </w:t>
      </w:r>
      <w:r w:rsidR="00A032E2">
        <w:t xml:space="preserve">reported for tax compliance </w:t>
      </w:r>
      <w:r w:rsidR="003D48CF" w:rsidRPr="00F209B7">
        <w:t xml:space="preserve">was around 100 hours a year, or about one day a month. The average figure was substantially higher, at 255 hours a year, suggesting very large discrepancies within the sample.  The study did not attempt to evaluate the accuracy of the businesses’ reports. </w:t>
      </w:r>
      <w:r w:rsidR="00447BF0" w:rsidRPr="00F209B7">
        <w:t xml:space="preserve">As </w:t>
      </w:r>
      <w:r w:rsidR="00447BF0" w:rsidRPr="00F209B7">
        <w:fldChar w:fldCharType="begin"/>
      </w:r>
      <w:r w:rsidR="00447BF0" w:rsidRPr="00F209B7">
        <w:instrText xml:space="preserve"> REF _Ref477893839 \h </w:instrText>
      </w:r>
      <w:r w:rsidR="00493691" w:rsidRPr="00F209B7">
        <w:instrText xml:space="preserve"> \* MERGEFORMAT </w:instrText>
      </w:r>
      <w:r w:rsidR="00447BF0" w:rsidRPr="00F209B7">
        <w:fldChar w:fldCharType="separate"/>
      </w:r>
      <w:r w:rsidR="005062E7" w:rsidRPr="00F209B7">
        <w:t xml:space="preserve">Table </w:t>
      </w:r>
      <w:r w:rsidR="005062E7">
        <w:rPr>
          <w:noProof/>
        </w:rPr>
        <w:t>13</w:t>
      </w:r>
      <w:r w:rsidR="00447BF0" w:rsidRPr="00F209B7">
        <w:fldChar w:fldCharType="end"/>
      </w:r>
      <w:r w:rsidR="00447BF0" w:rsidRPr="00F209B7">
        <w:t xml:space="preserve"> shows, PAYE and VAT required the largest amount of time, in part because they required more frequent submission of returns. </w:t>
      </w:r>
    </w:p>
    <w:p w14:paraId="13913518" w14:textId="644905DD" w:rsidR="00447BF0" w:rsidRPr="00F209B7" w:rsidRDefault="00447BF0" w:rsidP="00D66738">
      <w:pPr>
        <w:pStyle w:val="Caption"/>
        <w:jc w:val="both"/>
      </w:pPr>
      <w:bookmarkStart w:id="743" w:name="_Ref477893839"/>
      <w:bookmarkStart w:id="744" w:name="_Toc479940970"/>
      <w:r w:rsidRPr="00F209B7">
        <w:lastRenderedPageBreak/>
        <w:t xml:space="preserve">Table </w:t>
      </w:r>
      <w:fldSimple w:instr=" SEQ Table \* ARABIC ">
        <w:r w:rsidR="005062E7">
          <w:rPr>
            <w:noProof/>
          </w:rPr>
          <w:t>13</w:t>
        </w:r>
      </w:fldSimple>
      <w:bookmarkEnd w:id="743"/>
      <w:r w:rsidR="00A032E2">
        <w:rPr>
          <w:noProof/>
        </w:rPr>
        <w:t>.</w:t>
      </w:r>
      <w:r w:rsidRPr="00F209B7">
        <w:t xml:space="preserve"> Hours reportedly spent on tax compliance by small businesses in 2012</w:t>
      </w:r>
      <w:bookmarkEnd w:id="744"/>
    </w:p>
    <w:tbl>
      <w:tblPr>
        <w:tblStyle w:val="TableGrid"/>
        <w:tblW w:w="5000" w:type="pct"/>
        <w:tblLook w:val="04A0" w:firstRow="1" w:lastRow="0" w:firstColumn="1" w:lastColumn="0" w:noHBand="0" w:noVBand="1"/>
      </w:tblPr>
      <w:tblGrid>
        <w:gridCol w:w="3902"/>
        <w:gridCol w:w="1780"/>
        <w:gridCol w:w="1780"/>
        <w:gridCol w:w="1780"/>
      </w:tblGrid>
      <w:tr w:rsidR="00447BF0" w:rsidRPr="00F209B7" w14:paraId="3D189F9F" w14:textId="77777777" w:rsidTr="00447BF0">
        <w:trPr>
          <w:cantSplit/>
          <w:tblHeader/>
        </w:trPr>
        <w:tc>
          <w:tcPr>
            <w:tcW w:w="2111" w:type="pct"/>
            <w:noWrap/>
            <w:hideMark/>
          </w:tcPr>
          <w:p w14:paraId="44AE99DB" w14:textId="77777777" w:rsidR="00447BF0" w:rsidRPr="00F209B7" w:rsidRDefault="00447BF0" w:rsidP="00D66738">
            <w:pPr>
              <w:pStyle w:val="charts"/>
              <w:jc w:val="both"/>
              <w:rPr>
                <w:b/>
                <w:sz w:val="20"/>
                <w:lang w:eastAsia="en-ZA"/>
              </w:rPr>
            </w:pPr>
            <w:r w:rsidRPr="00F209B7">
              <w:rPr>
                <w:b/>
                <w:sz w:val="20"/>
                <w:lang w:eastAsia="en-ZA"/>
              </w:rPr>
              <w:t>Tax</w:t>
            </w:r>
          </w:p>
        </w:tc>
        <w:tc>
          <w:tcPr>
            <w:tcW w:w="963" w:type="pct"/>
            <w:noWrap/>
            <w:hideMark/>
          </w:tcPr>
          <w:p w14:paraId="795152FA" w14:textId="77777777" w:rsidR="00447BF0" w:rsidRPr="00F209B7" w:rsidRDefault="00447BF0" w:rsidP="00D66738">
            <w:pPr>
              <w:pStyle w:val="charts"/>
              <w:jc w:val="both"/>
              <w:rPr>
                <w:b/>
                <w:sz w:val="20"/>
                <w:lang w:eastAsia="en-ZA"/>
              </w:rPr>
            </w:pPr>
            <w:r w:rsidRPr="00F209B7">
              <w:rPr>
                <w:b/>
                <w:sz w:val="20"/>
                <w:lang w:eastAsia="en-ZA"/>
              </w:rPr>
              <w:t xml:space="preserve"> Median  </w:t>
            </w:r>
          </w:p>
        </w:tc>
        <w:tc>
          <w:tcPr>
            <w:tcW w:w="963" w:type="pct"/>
            <w:noWrap/>
            <w:hideMark/>
          </w:tcPr>
          <w:p w14:paraId="3FE93AA7" w14:textId="46F205F5" w:rsidR="00447BF0" w:rsidRPr="00F209B7" w:rsidRDefault="00447BF0" w:rsidP="00D66738">
            <w:pPr>
              <w:pStyle w:val="charts"/>
              <w:jc w:val="both"/>
              <w:rPr>
                <w:b/>
                <w:sz w:val="20"/>
                <w:lang w:eastAsia="en-ZA"/>
              </w:rPr>
            </w:pPr>
            <w:r w:rsidRPr="00F209B7">
              <w:rPr>
                <w:b/>
                <w:sz w:val="20"/>
                <w:lang w:eastAsia="en-ZA"/>
              </w:rPr>
              <w:t xml:space="preserve"> Cleaned mean</w:t>
            </w:r>
            <w:r w:rsidR="00A90B69">
              <w:rPr>
                <w:b/>
                <w:sz w:val="20"/>
                <w:lang w:eastAsia="en-ZA"/>
              </w:rPr>
              <w:t xml:space="preserve"> (a)</w:t>
            </w:r>
            <w:r w:rsidRPr="00F209B7">
              <w:rPr>
                <w:b/>
                <w:sz w:val="20"/>
                <w:lang w:eastAsia="en-ZA"/>
              </w:rPr>
              <w:t xml:space="preserve"> </w:t>
            </w:r>
          </w:p>
        </w:tc>
        <w:tc>
          <w:tcPr>
            <w:tcW w:w="963" w:type="pct"/>
            <w:noWrap/>
            <w:hideMark/>
          </w:tcPr>
          <w:p w14:paraId="717BFFFE" w14:textId="77777777" w:rsidR="00447BF0" w:rsidRPr="00F209B7" w:rsidRDefault="00447BF0" w:rsidP="00D66738">
            <w:pPr>
              <w:pStyle w:val="charts"/>
              <w:jc w:val="both"/>
              <w:rPr>
                <w:b/>
                <w:sz w:val="20"/>
                <w:lang w:eastAsia="en-ZA"/>
              </w:rPr>
            </w:pPr>
            <w:r w:rsidRPr="00F209B7">
              <w:rPr>
                <w:b/>
                <w:sz w:val="20"/>
                <w:lang w:eastAsia="en-ZA"/>
              </w:rPr>
              <w:t xml:space="preserve"> Actual mean </w:t>
            </w:r>
          </w:p>
        </w:tc>
      </w:tr>
      <w:tr w:rsidR="00447BF0" w:rsidRPr="00F209B7" w14:paraId="7FE6F569" w14:textId="77777777" w:rsidTr="00447BF0">
        <w:trPr>
          <w:cantSplit/>
        </w:trPr>
        <w:tc>
          <w:tcPr>
            <w:tcW w:w="2111" w:type="pct"/>
            <w:noWrap/>
            <w:hideMark/>
          </w:tcPr>
          <w:p w14:paraId="74B06369" w14:textId="02AC2677" w:rsidR="00447BF0" w:rsidRPr="00F209B7" w:rsidRDefault="00447BF0" w:rsidP="00D66738">
            <w:pPr>
              <w:pStyle w:val="charts"/>
              <w:jc w:val="both"/>
              <w:rPr>
                <w:sz w:val="20"/>
                <w:lang w:eastAsia="en-ZA"/>
              </w:rPr>
            </w:pPr>
            <w:r w:rsidRPr="00F209B7">
              <w:rPr>
                <w:sz w:val="20"/>
                <w:lang w:eastAsia="en-ZA"/>
              </w:rPr>
              <w:t xml:space="preserve"> P</w:t>
            </w:r>
            <w:r w:rsidR="00031BD3">
              <w:rPr>
                <w:sz w:val="20"/>
                <w:lang w:eastAsia="en-ZA"/>
              </w:rPr>
              <w:t>ay-</w:t>
            </w:r>
            <w:r w:rsidRPr="00F209B7">
              <w:rPr>
                <w:sz w:val="20"/>
                <w:lang w:eastAsia="en-ZA"/>
              </w:rPr>
              <w:t>A</w:t>
            </w:r>
            <w:r w:rsidR="00031BD3">
              <w:rPr>
                <w:sz w:val="20"/>
                <w:lang w:eastAsia="en-ZA"/>
              </w:rPr>
              <w:t>a-</w:t>
            </w:r>
            <w:r w:rsidRPr="00F209B7">
              <w:rPr>
                <w:sz w:val="20"/>
                <w:lang w:eastAsia="en-ZA"/>
              </w:rPr>
              <w:t>Y</w:t>
            </w:r>
            <w:r w:rsidR="00031BD3">
              <w:rPr>
                <w:sz w:val="20"/>
                <w:lang w:eastAsia="en-ZA"/>
              </w:rPr>
              <w:t>ou-</w:t>
            </w:r>
            <w:r w:rsidRPr="00F209B7">
              <w:rPr>
                <w:sz w:val="20"/>
                <w:lang w:eastAsia="en-ZA"/>
              </w:rPr>
              <w:t>E</w:t>
            </w:r>
            <w:r w:rsidR="00031BD3">
              <w:rPr>
                <w:sz w:val="20"/>
                <w:lang w:eastAsia="en-ZA"/>
              </w:rPr>
              <w:t>arn</w:t>
            </w:r>
            <w:r w:rsidRPr="00F209B7">
              <w:rPr>
                <w:sz w:val="20"/>
                <w:lang w:eastAsia="en-ZA"/>
              </w:rPr>
              <w:t xml:space="preserve">  </w:t>
            </w:r>
          </w:p>
        </w:tc>
        <w:tc>
          <w:tcPr>
            <w:tcW w:w="963" w:type="pct"/>
            <w:noWrap/>
            <w:hideMark/>
          </w:tcPr>
          <w:p w14:paraId="2DE2AC61" w14:textId="77777777" w:rsidR="00447BF0" w:rsidRPr="00F209B7" w:rsidRDefault="00447BF0" w:rsidP="00D66738">
            <w:pPr>
              <w:pStyle w:val="charts"/>
              <w:jc w:val="both"/>
              <w:rPr>
                <w:sz w:val="20"/>
                <w:lang w:eastAsia="en-ZA"/>
              </w:rPr>
            </w:pPr>
            <w:r w:rsidRPr="00F209B7">
              <w:rPr>
                <w:sz w:val="20"/>
                <w:lang w:eastAsia="en-ZA"/>
              </w:rPr>
              <w:t xml:space="preserve">              38 </w:t>
            </w:r>
          </w:p>
        </w:tc>
        <w:tc>
          <w:tcPr>
            <w:tcW w:w="963" w:type="pct"/>
            <w:noWrap/>
            <w:hideMark/>
          </w:tcPr>
          <w:p w14:paraId="6BFBDB2E" w14:textId="77777777" w:rsidR="00447BF0" w:rsidRPr="00F209B7" w:rsidRDefault="00447BF0" w:rsidP="00D66738">
            <w:pPr>
              <w:pStyle w:val="charts"/>
              <w:jc w:val="both"/>
              <w:rPr>
                <w:sz w:val="20"/>
                <w:lang w:eastAsia="en-ZA"/>
              </w:rPr>
            </w:pPr>
            <w:r w:rsidRPr="00F209B7">
              <w:rPr>
                <w:sz w:val="20"/>
                <w:lang w:eastAsia="en-ZA"/>
              </w:rPr>
              <w:t xml:space="preserve">              83 </w:t>
            </w:r>
          </w:p>
        </w:tc>
        <w:tc>
          <w:tcPr>
            <w:tcW w:w="963" w:type="pct"/>
            <w:noWrap/>
            <w:hideMark/>
          </w:tcPr>
          <w:p w14:paraId="38145AAA" w14:textId="77777777" w:rsidR="00447BF0" w:rsidRPr="00F209B7" w:rsidRDefault="00447BF0" w:rsidP="00D66738">
            <w:pPr>
              <w:pStyle w:val="charts"/>
              <w:jc w:val="both"/>
              <w:rPr>
                <w:sz w:val="20"/>
                <w:lang w:eastAsia="en-ZA"/>
              </w:rPr>
            </w:pPr>
            <w:r w:rsidRPr="00F209B7">
              <w:rPr>
                <w:sz w:val="20"/>
                <w:lang w:eastAsia="en-ZA"/>
              </w:rPr>
              <w:t xml:space="preserve">           155 </w:t>
            </w:r>
          </w:p>
        </w:tc>
      </w:tr>
      <w:tr w:rsidR="00447BF0" w:rsidRPr="00F209B7" w14:paraId="05AC6C02" w14:textId="77777777" w:rsidTr="00447BF0">
        <w:trPr>
          <w:cantSplit/>
        </w:trPr>
        <w:tc>
          <w:tcPr>
            <w:tcW w:w="2111" w:type="pct"/>
            <w:noWrap/>
            <w:hideMark/>
          </w:tcPr>
          <w:p w14:paraId="5A61AC30" w14:textId="2878372A" w:rsidR="00447BF0" w:rsidRPr="00F209B7" w:rsidRDefault="00447BF0" w:rsidP="00D66738">
            <w:pPr>
              <w:pStyle w:val="charts"/>
              <w:jc w:val="both"/>
              <w:rPr>
                <w:sz w:val="20"/>
                <w:lang w:eastAsia="en-ZA"/>
              </w:rPr>
            </w:pPr>
            <w:r w:rsidRPr="00F209B7">
              <w:rPr>
                <w:sz w:val="20"/>
                <w:lang w:eastAsia="en-ZA"/>
              </w:rPr>
              <w:t xml:space="preserve"> V</w:t>
            </w:r>
            <w:r w:rsidR="00031BD3">
              <w:rPr>
                <w:sz w:val="20"/>
                <w:lang w:eastAsia="en-ZA"/>
              </w:rPr>
              <w:t xml:space="preserve">alue –Added </w:t>
            </w:r>
            <w:r w:rsidRPr="00F209B7">
              <w:rPr>
                <w:sz w:val="20"/>
                <w:lang w:eastAsia="en-ZA"/>
              </w:rPr>
              <w:t>T</w:t>
            </w:r>
            <w:r w:rsidR="00031BD3">
              <w:rPr>
                <w:sz w:val="20"/>
                <w:lang w:eastAsia="en-ZA"/>
              </w:rPr>
              <w:t>ax</w:t>
            </w:r>
            <w:r w:rsidRPr="00F209B7">
              <w:rPr>
                <w:sz w:val="20"/>
                <w:lang w:eastAsia="en-ZA"/>
              </w:rPr>
              <w:t xml:space="preserve">  </w:t>
            </w:r>
          </w:p>
        </w:tc>
        <w:tc>
          <w:tcPr>
            <w:tcW w:w="963" w:type="pct"/>
            <w:noWrap/>
            <w:hideMark/>
          </w:tcPr>
          <w:p w14:paraId="70178EC4" w14:textId="77777777" w:rsidR="00447BF0" w:rsidRPr="00F209B7" w:rsidRDefault="00447BF0" w:rsidP="00D66738">
            <w:pPr>
              <w:pStyle w:val="charts"/>
              <w:jc w:val="both"/>
              <w:rPr>
                <w:sz w:val="20"/>
                <w:lang w:eastAsia="en-ZA"/>
              </w:rPr>
            </w:pPr>
            <w:r w:rsidRPr="00F209B7">
              <w:rPr>
                <w:sz w:val="20"/>
                <w:lang w:eastAsia="en-ZA"/>
              </w:rPr>
              <w:t xml:space="preserve">              31 </w:t>
            </w:r>
          </w:p>
        </w:tc>
        <w:tc>
          <w:tcPr>
            <w:tcW w:w="963" w:type="pct"/>
            <w:noWrap/>
            <w:hideMark/>
          </w:tcPr>
          <w:p w14:paraId="52CCF388" w14:textId="77777777" w:rsidR="00447BF0" w:rsidRPr="00F209B7" w:rsidRDefault="00447BF0" w:rsidP="00D66738">
            <w:pPr>
              <w:pStyle w:val="charts"/>
              <w:jc w:val="both"/>
              <w:rPr>
                <w:sz w:val="20"/>
                <w:lang w:eastAsia="en-ZA"/>
              </w:rPr>
            </w:pPr>
            <w:r w:rsidRPr="00F209B7">
              <w:rPr>
                <w:sz w:val="20"/>
                <w:lang w:eastAsia="en-ZA"/>
              </w:rPr>
              <w:t xml:space="preserve">              99 </w:t>
            </w:r>
          </w:p>
        </w:tc>
        <w:tc>
          <w:tcPr>
            <w:tcW w:w="963" w:type="pct"/>
            <w:noWrap/>
            <w:hideMark/>
          </w:tcPr>
          <w:p w14:paraId="1BA78BD7" w14:textId="77777777" w:rsidR="00447BF0" w:rsidRPr="00F209B7" w:rsidRDefault="00447BF0" w:rsidP="00D66738">
            <w:pPr>
              <w:pStyle w:val="charts"/>
              <w:jc w:val="both"/>
              <w:rPr>
                <w:sz w:val="20"/>
                <w:lang w:eastAsia="en-ZA"/>
              </w:rPr>
            </w:pPr>
            <w:r w:rsidRPr="00F209B7">
              <w:rPr>
                <w:sz w:val="20"/>
                <w:lang w:eastAsia="en-ZA"/>
              </w:rPr>
              <w:t xml:space="preserve">           284 </w:t>
            </w:r>
          </w:p>
        </w:tc>
      </w:tr>
      <w:tr w:rsidR="00447BF0" w:rsidRPr="00F209B7" w14:paraId="621D042B" w14:textId="77777777" w:rsidTr="00447BF0">
        <w:trPr>
          <w:cantSplit/>
        </w:trPr>
        <w:tc>
          <w:tcPr>
            <w:tcW w:w="2111" w:type="pct"/>
            <w:noWrap/>
            <w:hideMark/>
          </w:tcPr>
          <w:p w14:paraId="42B84558" w14:textId="76BBDFC4" w:rsidR="00447BF0" w:rsidRPr="00F209B7" w:rsidRDefault="00447BF0" w:rsidP="00D66738">
            <w:pPr>
              <w:pStyle w:val="charts"/>
              <w:jc w:val="both"/>
              <w:rPr>
                <w:sz w:val="20"/>
                <w:lang w:eastAsia="en-ZA"/>
              </w:rPr>
            </w:pPr>
            <w:r w:rsidRPr="00F209B7">
              <w:rPr>
                <w:sz w:val="20"/>
                <w:lang w:eastAsia="en-ZA"/>
              </w:rPr>
              <w:t xml:space="preserve"> I</w:t>
            </w:r>
            <w:r w:rsidR="00031BD3">
              <w:rPr>
                <w:sz w:val="20"/>
                <w:lang w:eastAsia="en-ZA"/>
              </w:rPr>
              <w:t xml:space="preserve">ncome </w:t>
            </w:r>
            <w:r w:rsidRPr="00F209B7">
              <w:rPr>
                <w:sz w:val="20"/>
                <w:lang w:eastAsia="en-ZA"/>
              </w:rPr>
              <w:t>T</w:t>
            </w:r>
            <w:r w:rsidR="00031BD3">
              <w:rPr>
                <w:sz w:val="20"/>
                <w:lang w:eastAsia="en-ZA"/>
              </w:rPr>
              <w:t>ax</w:t>
            </w:r>
            <w:r w:rsidRPr="00F209B7">
              <w:rPr>
                <w:sz w:val="20"/>
                <w:lang w:eastAsia="en-ZA"/>
              </w:rPr>
              <w:t xml:space="preserve">  </w:t>
            </w:r>
          </w:p>
        </w:tc>
        <w:tc>
          <w:tcPr>
            <w:tcW w:w="963" w:type="pct"/>
            <w:noWrap/>
            <w:hideMark/>
          </w:tcPr>
          <w:p w14:paraId="324918C9" w14:textId="77777777" w:rsidR="00447BF0" w:rsidRPr="00F209B7" w:rsidRDefault="00447BF0" w:rsidP="00D66738">
            <w:pPr>
              <w:pStyle w:val="charts"/>
              <w:jc w:val="both"/>
              <w:rPr>
                <w:sz w:val="20"/>
                <w:lang w:eastAsia="en-ZA"/>
              </w:rPr>
            </w:pPr>
            <w:r w:rsidRPr="00F209B7">
              <w:rPr>
                <w:sz w:val="20"/>
                <w:lang w:eastAsia="en-ZA"/>
              </w:rPr>
              <w:t xml:space="preserve">              29 </w:t>
            </w:r>
          </w:p>
        </w:tc>
        <w:tc>
          <w:tcPr>
            <w:tcW w:w="963" w:type="pct"/>
            <w:noWrap/>
            <w:hideMark/>
          </w:tcPr>
          <w:p w14:paraId="3948AC5D" w14:textId="77777777" w:rsidR="00447BF0" w:rsidRPr="00F209B7" w:rsidRDefault="00447BF0" w:rsidP="00D66738">
            <w:pPr>
              <w:pStyle w:val="charts"/>
              <w:jc w:val="both"/>
              <w:rPr>
                <w:sz w:val="20"/>
                <w:lang w:eastAsia="en-ZA"/>
              </w:rPr>
            </w:pPr>
            <w:r w:rsidRPr="00F209B7">
              <w:rPr>
                <w:sz w:val="20"/>
                <w:lang w:eastAsia="en-ZA"/>
              </w:rPr>
              <w:t xml:space="preserve">              70 </w:t>
            </w:r>
          </w:p>
        </w:tc>
        <w:tc>
          <w:tcPr>
            <w:tcW w:w="963" w:type="pct"/>
            <w:noWrap/>
            <w:hideMark/>
          </w:tcPr>
          <w:p w14:paraId="3409415B" w14:textId="77777777" w:rsidR="00447BF0" w:rsidRPr="00F209B7" w:rsidRDefault="00447BF0" w:rsidP="00D66738">
            <w:pPr>
              <w:pStyle w:val="charts"/>
              <w:jc w:val="both"/>
              <w:rPr>
                <w:sz w:val="20"/>
                <w:lang w:eastAsia="en-ZA"/>
              </w:rPr>
            </w:pPr>
            <w:r w:rsidRPr="00F209B7">
              <w:rPr>
                <w:sz w:val="20"/>
                <w:lang w:eastAsia="en-ZA"/>
              </w:rPr>
              <w:t xml:space="preserve">           209 </w:t>
            </w:r>
          </w:p>
        </w:tc>
      </w:tr>
      <w:tr w:rsidR="00447BF0" w:rsidRPr="00F209B7" w14:paraId="0DCE0C12" w14:textId="77777777" w:rsidTr="00447BF0">
        <w:trPr>
          <w:cantSplit/>
        </w:trPr>
        <w:tc>
          <w:tcPr>
            <w:tcW w:w="2111" w:type="pct"/>
            <w:noWrap/>
            <w:hideMark/>
          </w:tcPr>
          <w:p w14:paraId="0E35C3BC" w14:textId="3DC5910F" w:rsidR="00447BF0" w:rsidRPr="00F209B7" w:rsidRDefault="00447BF0" w:rsidP="00D66738">
            <w:pPr>
              <w:pStyle w:val="charts"/>
              <w:jc w:val="both"/>
              <w:rPr>
                <w:sz w:val="20"/>
                <w:lang w:eastAsia="en-ZA"/>
              </w:rPr>
            </w:pPr>
            <w:r w:rsidRPr="00F209B7">
              <w:rPr>
                <w:sz w:val="20"/>
                <w:lang w:eastAsia="en-ZA"/>
              </w:rPr>
              <w:t xml:space="preserve"> C</w:t>
            </w:r>
            <w:r w:rsidR="00031BD3">
              <w:rPr>
                <w:sz w:val="20"/>
                <w:lang w:eastAsia="en-ZA"/>
              </w:rPr>
              <w:t xml:space="preserve">apital </w:t>
            </w:r>
            <w:r w:rsidRPr="00F209B7">
              <w:rPr>
                <w:sz w:val="20"/>
                <w:lang w:eastAsia="en-ZA"/>
              </w:rPr>
              <w:t>G</w:t>
            </w:r>
            <w:r w:rsidR="00031BD3">
              <w:rPr>
                <w:sz w:val="20"/>
                <w:lang w:eastAsia="en-ZA"/>
              </w:rPr>
              <w:t xml:space="preserve">ains </w:t>
            </w:r>
            <w:r w:rsidRPr="00F209B7">
              <w:rPr>
                <w:sz w:val="20"/>
                <w:lang w:eastAsia="en-ZA"/>
              </w:rPr>
              <w:t>T</w:t>
            </w:r>
            <w:r w:rsidR="00031BD3">
              <w:rPr>
                <w:sz w:val="20"/>
                <w:lang w:eastAsia="en-ZA"/>
              </w:rPr>
              <w:t>ax</w:t>
            </w:r>
            <w:r w:rsidRPr="00F209B7">
              <w:rPr>
                <w:sz w:val="20"/>
                <w:lang w:eastAsia="en-ZA"/>
              </w:rPr>
              <w:t xml:space="preserve">  </w:t>
            </w:r>
          </w:p>
        </w:tc>
        <w:tc>
          <w:tcPr>
            <w:tcW w:w="963" w:type="pct"/>
            <w:noWrap/>
            <w:hideMark/>
          </w:tcPr>
          <w:p w14:paraId="3FA2BC2B" w14:textId="77777777" w:rsidR="00447BF0" w:rsidRPr="00F209B7" w:rsidRDefault="00447BF0" w:rsidP="00D66738">
            <w:pPr>
              <w:pStyle w:val="charts"/>
              <w:jc w:val="both"/>
              <w:rPr>
                <w:sz w:val="20"/>
                <w:lang w:eastAsia="en-ZA"/>
              </w:rPr>
            </w:pPr>
            <w:r w:rsidRPr="00F209B7">
              <w:rPr>
                <w:sz w:val="20"/>
                <w:lang w:eastAsia="en-ZA"/>
              </w:rPr>
              <w:t xml:space="preserve">               -   </w:t>
            </w:r>
          </w:p>
        </w:tc>
        <w:tc>
          <w:tcPr>
            <w:tcW w:w="963" w:type="pct"/>
            <w:noWrap/>
            <w:hideMark/>
          </w:tcPr>
          <w:p w14:paraId="6119924A" w14:textId="77777777" w:rsidR="00447BF0" w:rsidRPr="00F209B7" w:rsidRDefault="00447BF0" w:rsidP="00D66738">
            <w:pPr>
              <w:pStyle w:val="charts"/>
              <w:jc w:val="both"/>
              <w:rPr>
                <w:sz w:val="20"/>
                <w:lang w:eastAsia="en-ZA"/>
              </w:rPr>
            </w:pPr>
            <w:r w:rsidRPr="00F209B7">
              <w:rPr>
                <w:sz w:val="20"/>
                <w:lang w:eastAsia="en-ZA"/>
              </w:rPr>
              <w:t xml:space="preserve">                3 </w:t>
            </w:r>
          </w:p>
        </w:tc>
        <w:tc>
          <w:tcPr>
            <w:tcW w:w="963" w:type="pct"/>
            <w:noWrap/>
            <w:hideMark/>
          </w:tcPr>
          <w:p w14:paraId="2D0E0477" w14:textId="77777777" w:rsidR="00447BF0" w:rsidRPr="00F209B7" w:rsidRDefault="00447BF0" w:rsidP="00D66738">
            <w:pPr>
              <w:pStyle w:val="charts"/>
              <w:jc w:val="both"/>
              <w:rPr>
                <w:sz w:val="20"/>
                <w:lang w:eastAsia="en-ZA"/>
              </w:rPr>
            </w:pPr>
            <w:r w:rsidRPr="00F209B7">
              <w:rPr>
                <w:sz w:val="20"/>
                <w:lang w:eastAsia="en-ZA"/>
              </w:rPr>
              <w:t xml:space="preserve">              18 </w:t>
            </w:r>
          </w:p>
        </w:tc>
      </w:tr>
      <w:tr w:rsidR="00447BF0" w:rsidRPr="00F209B7" w14:paraId="1C8D6865" w14:textId="77777777" w:rsidTr="00447BF0">
        <w:trPr>
          <w:cantSplit/>
        </w:trPr>
        <w:tc>
          <w:tcPr>
            <w:tcW w:w="2111" w:type="pct"/>
            <w:noWrap/>
            <w:hideMark/>
          </w:tcPr>
          <w:p w14:paraId="34B1C2EA" w14:textId="77777777" w:rsidR="00447BF0" w:rsidRPr="00F209B7" w:rsidRDefault="00447BF0" w:rsidP="00D66738">
            <w:pPr>
              <w:pStyle w:val="charts"/>
              <w:jc w:val="both"/>
              <w:rPr>
                <w:sz w:val="20"/>
                <w:lang w:eastAsia="en-ZA"/>
              </w:rPr>
            </w:pPr>
            <w:r w:rsidRPr="00F209B7">
              <w:rPr>
                <w:sz w:val="20"/>
                <w:lang w:eastAsia="en-ZA"/>
              </w:rPr>
              <w:t xml:space="preserve"> Customs </w:t>
            </w:r>
          </w:p>
        </w:tc>
        <w:tc>
          <w:tcPr>
            <w:tcW w:w="963" w:type="pct"/>
            <w:noWrap/>
            <w:hideMark/>
          </w:tcPr>
          <w:p w14:paraId="228F6393" w14:textId="77777777" w:rsidR="00447BF0" w:rsidRPr="00F209B7" w:rsidRDefault="00447BF0" w:rsidP="00D66738">
            <w:pPr>
              <w:pStyle w:val="charts"/>
              <w:jc w:val="both"/>
              <w:rPr>
                <w:sz w:val="20"/>
                <w:lang w:eastAsia="en-ZA"/>
              </w:rPr>
            </w:pPr>
            <w:r w:rsidRPr="00F209B7">
              <w:rPr>
                <w:sz w:val="20"/>
                <w:lang w:eastAsia="en-ZA"/>
              </w:rPr>
              <w:t xml:space="preserve">               -   </w:t>
            </w:r>
          </w:p>
        </w:tc>
        <w:tc>
          <w:tcPr>
            <w:tcW w:w="963" w:type="pct"/>
            <w:noWrap/>
            <w:hideMark/>
          </w:tcPr>
          <w:p w14:paraId="71EBCCB3" w14:textId="77777777" w:rsidR="00447BF0" w:rsidRPr="00F209B7" w:rsidRDefault="00447BF0" w:rsidP="00D66738">
            <w:pPr>
              <w:pStyle w:val="charts"/>
              <w:jc w:val="both"/>
              <w:rPr>
                <w:sz w:val="20"/>
                <w:lang w:eastAsia="en-ZA"/>
              </w:rPr>
            </w:pPr>
            <w:r w:rsidRPr="00F209B7">
              <w:rPr>
                <w:sz w:val="20"/>
                <w:lang w:eastAsia="en-ZA"/>
              </w:rPr>
              <w:t xml:space="preserve">                1 </w:t>
            </w:r>
          </w:p>
        </w:tc>
        <w:tc>
          <w:tcPr>
            <w:tcW w:w="963" w:type="pct"/>
            <w:noWrap/>
            <w:hideMark/>
          </w:tcPr>
          <w:p w14:paraId="7E18E81C" w14:textId="77777777" w:rsidR="00447BF0" w:rsidRPr="00F209B7" w:rsidRDefault="00447BF0" w:rsidP="00D66738">
            <w:pPr>
              <w:pStyle w:val="charts"/>
              <w:jc w:val="both"/>
              <w:rPr>
                <w:sz w:val="20"/>
                <w:lang w:eastAsia="en-ZA"/>
              </w:rPr>
            </w:pPr>
            <w:r w:rsidRPr="00F209B7">
              <w:rPr>
                <w:sz w:val="20"/>
                <w:lang w:eastAsia="en-ZA"/>
              </w:rPr>
              <w:t xml:space="preserve">              14 </w:t>
            </w:r>
          </w:p>
        </w:tc>
      </w:tr>
      <w:tr w:rsidR="00447BF0" w:rsidRPr="00F209B7" w14:paraId="42C6915B" w14:textId="77777777" w:rsidTr="00447BF0">
        <w:trPr>
          <w:cantSplit/>
        </w:trPr>
        <w:tc>
          <w:tcPr>
            <w:tcW w:w="2111" w:type="pct"/>
            <w:noWrap/>
            <w:hideMark/>
          </w:tcPr>
          <w:p w14:paraId="77EAA5A8" w14:textId="77777777" w:rsidR="00447BF0" w:rsidRPr="00F209B7" w:rsidRDefault="00447BF0" w:rsidP="00D66738">
            <w:pPr>
              <w:pStyle w:val="charts"/>
              <w:jc w:val="both"/>
              <w:rPr>
                <w:sz w:val="20"/>
                <w:lang w:eastAsia="en-ZA"/>
              </w:rPr>
            </w:pPr>
            <w:r w:rsidRPr="00F209B7">
              <w:rPr>
                <w:sz w:val="20"/>
                <w:lang w:eastAsia="en-ZA"/>
              </w:rPr>
              <w:t xml:space="preserve">  Excise duties </w:t>
            </w:r>
          </w:p>
        </w:tc>
        <w:tc>
          <w:tcPr>
            <w:tcW w:w="963" w:type="pct"/>
            <w:noWrap/>
            <w:hideMark/>
          </w:tcPr>
          <w:p w14:paraId="7FE21C5B" w14:textId="77777777" w:rsidR="00447BF0" w:rsidRPr="00F209B7" w:rsidRDefault="00447BF0" w:rsidP="00D66738">
            <w:pPr>
              <w:pStyle w:val="charts"/>
              <w:jc w:val="both"/>
              <w:rPr>
                <w:sz w:val="20"/>
                <w:lang w:eastAsia="en-ZA"/>
              </w:rPr>
            </w:pPr>
            <w:r w:rsidRPr="00F209B7">
              <w:rPr>
                <w:sz w:val="20"/>
                <w:lang w:eastAsia="en-ZA"/>
              </w:rPr>
              <w:t xml:space="preserve">               -   </w:t>
            </w:r>
          </w:p>
        </w:tc>
        <w:tc>
          <w:tcPr>
            <w:tcW w:w="963" w:type="pct"/>
            <w:noWrap/>
            <w:hideMark/>
          </w:tcPr>
          <w:p w14:paraId="2066D8DB" w14:textId="77777777" w:rsidR="00447BF0" w:rsidRPr="00F209B7" w:rsidRDefault="00447BF0" w:rsidP="00D66738">
            <w:pPr>
              <w:pStyle w:val="charts"/>
              <w:jc w:val="both"/>
              <w:rPr>
                <w:sz w:val="20"/>
                <w:lang w:eastAsia="en-ZA"/>
              </w:rPr>
            </w:pPr>
            <w:r w:rsidRPr="00F209B7">
              <w:rPr>
                <w:sz w:val="20"/>
                <w:lang w:eastAsia="en-ZA"/>
              </w:rPr>
              <w:t xml:space="preserve">                0 </w:t>
            </w:r>
          </w:p>
        </w:tc>
        <w:tc>
          <w:tcPr>
            <w:tcW w:w="963" w:type="pct"/>
            <w:noWrap/>
            <w:hideMark/>
          </w:tcPr>
          <w:p w14:paraId="2499FE89" w14:textId="77777777" w:rsidR="00447BF0" w:rsidRPr="00F209B7" w:rsidRDefault="00447BF0" w:rsidP="00D66738">
            <w:pPr>
              <w:pStyle w:val="charts"/>
              <w:jc w:val="both"/>
              <w:rPr>
                <w:sz w:val="20"/>
                <w:lang w:eastAsia="en-ZA"/>
              </w:rPr>
            </w:pPr>
            <w:r w:rsidRPr="00F209B7">
              <w:rPr>
                <w:sz w:val="20"/>
                <w:lang w:eastAsia="en-ZA"/>
              </w:rPr>
              <w:t xml:space="preserve">                6 </w:t>
            </w:r>
          </w:p>
        </w:tc>
      </w:tr>
      <w:tr w:rsidR="00447BF0" w:rsidRPr="00F209B7" w14:paraId="1BC0115E" w14:textId="77777777" w:rsidTr="00447BF0">
        <w:trPr>
          <w:cantSplit/>
        </w:trPr>
        <w:tc>
          <w:tcPr>
            <w:tcW w:w="2111" w:type="pct"/>
            <w:noWrap/>
            <w:hideMark/>
          </w:tcPr>
          <w:p w14:paraId="56C323C1" w14:textId="77777777" w:rsidR="00447BF0" w:rsidRPr="00F209B7" w:rsidRDefault="00447BF0" w:rsidP="00D66738">
            <w:pPr>
              <w:pStyle w:val="charts"/>
              <w:jc w:val="both"/>
              <w:rPr>
                <w:sz w:val="20"/>
                <w:lang w:eastAsia="en-ZA"/>
              </w:rPr>
            </w:pPr>
            <w:r w:rsidRPr="00F209B7">
              <w:rPr>
                <w:sz w:val="20"/>
                <w:lang w:eastAsia="en-ZA"/>
              </w:rPr>
              <w:t xml:space="preserve"> Total </w:t>
            </w:r>
          </w:p>
        </w:tc>
        <w:tc>
          <w:tcPr>
            <w:tcW w:w="963" w:type="pct"/>
            <w:noWrap/>
            <w:hideMark/>
          </w:tcPr>
          <w:p w14:paraId="173F78D6" w14:textId="77777777" w:rsidR="00447BF0" w:rsidRPr="00F209B7" w:rsidRDefault="00447BF0" w:rsidP="00D66738">
            <w:pPr>
              <w:pStyle w:val="charts"/>
              <w:jc w:val="both"/>
              <w:rPr>
                <w:sz w:val="20"/>
                <w:lang w:eastAsia="en-ZA"/>
              </w:rPr>
            </w:pPr>
            <w:r w:rsidRPr="00F209B7">
              <w:rPr>
                <w:sz w:val="20"/>
                <w:lang w:eastAsia="en-ZA"/>
              </w:rPr>
              <w:t xml:space="preserve">              98 </w:t>
            </w:r>
          </w:p>
        </w:tc>
        <w:tc>
          <w:tcPr>
            <w:tcW w:w="963" w:type="pct"/>
            <w:noWrap/>
            <w:hideMark/>
          </w:tcPr>
          <w:p w14:paraId="790B556C" w14:textId="77777777" w:rsidR="00447BF0" w:rsidRPr="00F209B7" w:rsidRDefault="00447BF0" w:rsidP="00D66738">
            <w:pPr>
              <w:pStyle w:val="charts"/>
              <w:jc w:val="both"/>
              <w:rPr>
                <w:sz w:val="20"/>
                <w:lang w:eastAsia="en-ZA"/>
              </w:rPr>
            </w:pPr>
            <w:r w:rsidRPr="00F209B7">
              <w:rPr>
                <w:sz w:val="20"/>
                <w:lang w:eastAsia="en-ZA"/>
              </w:rPr>
              <w:t xml:space="preserve">           255 </w:t>
            </w:r>
          </w:p>
        </w:tc>
        <w:tc>
          <w:tcPr>
            <w:tcW w:w="963" w:type="pct"/>
            <w:noWrap/>
            <w:hideMark/>
          </w:tcPr>
          <w:p w14:paraId="42D90C77" w14:textId="77777777" w:rsidR="00447BF0" w:rsidRPr="00F209B7" w:rsidRDefault="00447BF0" w:rsidP="00D66738">
            <w:pPr>
              <w:pStyle w:val="charts"/>
              <w:jc w:val="both"/>
              <w:rPr>
                <w:sz w:val="20"/>
                <w:lang w:eastAsia="en-ZA"/>
              </w:rPr>
            </w:pPr>
            <w:r w:rsidRPr="00F209B7">
              <w:rPr>
                <w:sz w:val="20"/>
                <w:lang w:eastAsia="en-ZA"/>
              </w:rPr>
              <w:t xml:space="preserve">           686 </w:t>
            </w:r>
          </w:p>
        </w:tc>
      </w:tr>
    </w:tbl>
    <w:p w14:paraId="3266F859" w14:textId="77777777" w:rsidR="00447BF0" w:rsidRPr="00F209B7" w:rsidRDefault="00447BF0" w:rsidP="00D66738">
      <w:pPr>
        <w:pStyle w:val="source"/>
        <w:jc w:val="both"/>
      </w:pPr>
      <w:r w:rsidRPr="00F209B7">
        <w:rPr>
          <w:i/>
        </w:rPr>
        <w:t xml:space="preserve">Notes: </w:t>
      </w:r>
      <w:r w:rsidRPr="00F209B7">
        <w:t xml:space="preserve">(a) The mean trimmed of 5% considered to be outliers. </w:t>
      </w:r>
      <w:r w:rsidRPr="00F209B7">
        <w:rPr>
          <w:i/>
        </w:rPr>
        <w:t>Source:</w:t>
      </w:r>
      <w:r w:rsidRPr="00F209B7">
        <w:t xml:space="preserve"> Smulders </w:t>
      </w:r>
      <w:r w:rsidRPr="00F209B7">
        <w:rPr>
          <w:i/>
        </w:rPr>
        <w:t xml:space="preserve">et al. </w:t>
      </w:r>
      <w:r w:rsidRPr="00F209B7">
        <w:t xml:space="preserve">“Tax compliance costs for the small business sector in South Africa — establishing a baseline,” in </w:t>
      </w:r>
      <w:proofErr w:type="spellStart"/>
      <w:r w:rsidRPr="00F209B7">
        <w:rPr>
          <w:i/>
        </w:rPr>
        <w:t>eJournal</w:t>
      </w:r>
      <w:proofErr w:type="spellEnd"/>
      <w:r w:rsidRPr="00F209B7">
        <w:rPr>
          <w:i/>
        </w:rPr>
        <w:t xml:space="preserve"> of Tax Research</w:t>
      </w:r>
      <w:r w:rsidRPr="00F209B7">
        <w:t>. October. (X.2) p. 193</w:t>
      </w:r>
    </w:p>
    <w:p w14:paraId="335246D3" w14:textId="77777777" w:rsidR="00447BF0" w:rsidRPr="00F209B7" w:rsidRDefault="009E1C2F" w:rsidP="00D66738">
      <w:pPr>
        <w:spacing w:after="160"/>
        <w:jc w:val="both"/>
      </w:pPr>
      <w:r w:rsidRPr="00F209B7">
        <w:t xml:space="preserve">The finding that VAT </w:t>
      </w:r>
      <w:r w:rsidR="00447BF0" w:rsidRPr="00F209B7">
        <w:t>imposes significant</w:t>
      </w:r>
      <w:r w:rsidRPr="00F209B7">
        <w:t xml:space="preserve"> compliance cost was confirmed through the focus group discussions with small business</w:t>
      </w:r>
      <w:r w:rsidR="00447BF0" w:rsidRPr="00F209B7">
        <w:t>es</w:t>
      </w:r>
      <w:r w:rsidRPr="00F209B7">
        <w:t xml:space="preserve">. </w:t>
      </w:r>
      <w:r w:rsidR="00447BF0" w:rsidRPr="00F209B7">
        <w:t xml:space="preserve">They argued in particular </w:t>
      </w:r>
      <w:r w:rsidRPr="00F209B7">
        <w:t>that late or delayed payment of VAT refunds is a significant challenge for the</w:t>
      </w:r>
      <w:r w:rsidR="00447BF0" w:rsidRPr="00F209B7">
        <w:t>ir</w:t>
      </w:r>
      <w:r w:rsidRPr="00F209B7">
        <w:t xml:space="preserve"> cash flow. </w:t>
      </w:r>
    </w:p>
    <w:p w14:paraId="7673D3FB" w14:textId="7C43711C" w:rsidR="00447BF0" w:rsidRPr="00F209B7" w:rsidRDefault="00C65C76" w:rsidP="00D66738">
      <w:pPr>
        <w:spacing w:after="160"/>
        <w:jc w:val="both"/>
        <w:rPr>
          <w:rFonts w:ascii="Calibri" w:eastAsia="Calibri" w:hAnsi="Calibri" w:cs="Times New Roman"/>
          <w:szCs w:val="24"/>
        </w:rPr>
      </w:pPr>
      <w:r w:rsidRPr="00F209B7">
        <w:t xml:space="preserve">SARS targeted a turnaround time for </w:t>
      </w:r>
      <w:r w:rsidR="009E1C2F" w:rsidRPr="00F209B7">
        <w:t xml:space="preserve">VAT refunds </w:t>
      </w:r>
      <w:r w:rsidRPr="00F209B7">
        <w:t xml:space="preserve">of </w:t>
      </w:r>
      <w:r w:rsidR="00447BF0" w:rsidRPr="00F209B7">
        <w:t>21 working days</w:t>
      </w:r>
      <w:r w:rsidRPr="00F209B7">
        <w:t xml:space="preserve"> in 2015/6, but actually required 33 days. Although two thirds of refunds were processed within 14 days, if</w:t>
      </w:r>
      <w:r w:rsidR="00447BF0" w:rsidRPr="00F209B7">
        <w:t xml:space="preserve"> </w:t>
      </w:r>
      <w:r w:rsidRPr="00F209B7">
        <w:t xml:space="preserve">a </w:t>
      </w:r>
      <w:r w:rsidR="009E1C2F" w:rsidRPr="00F209B7">
        <w:t>refund is audit</w:t>
      </w:r>
      <w:r w:rsidR="00447BF0" w:rsidRPr="00F209B7">
        <w:t xml:space="preserve">ed the time </w:t>
      </w:r>
      <w:r w:rsidR="009E1C2F" w:rsidRPr="00F209B7">
        <w:t xml:space="preserve">can be lengthened to anywhere between </w:t>
      </w:r>
      <w:r w:rsidR="00447BF0" w:rsidRPr="00F209B7">
        <w:t xml:space="preserve">three </w:t>
      </w:r>
      <w:r w:rsidR="009E1C2F" w:rsidRPr="00F209B7">
        <w:t>and 12 months. The problem is compounded by the lack of communication by SARS to small business about the progress of audits.</w:t>
      </w:r>
      <w:r w:rsidR="00447BF0" w:rsidRPr="00F209B7">
        <w:t xml:space="preserve"> As a result, businesses cannot plan for when they will receive their refunds.  </w:t>
      </w:r>
      <w:r w:rsidR="00447BF0" w:rsidRPr="00F209B7">
        <w:rPr>
          <w:rFonts w:ascii="Calibri" w:eastAsia="Calibri" w:hAnsi="Calibri" w:cs="Times New Roman"/>
          <w:szCs w:val="24"/>
        </w:rPr>
        <w:t>R</w:t>
      </w:r>
      <w:r w:rsidR="00447BF0" w:rsidRPr="00F209B7">
        <w:t xml:space="preserve">ecent evidence suggests that there has been an increase in complaints regarding delays of VAT refund payments and the </w:t>
      </w:r>
      <w:r w:rsidR="00A032E2">
        <w:t xml:space="preserve">tax </w:t>
      </w:r>
      <w:proofErr w:type="spellStart"/>
      <w:r w:rsidR="00447BF0" w:rsidRPr="00F209B7">
        <w:t>ombuds</w:t>
      </w:r>
      <w:proofErr w:type="spellEnd"/>
      <w:r w:rsidR="00447BF0" w:rsidRPr="00F209B7">
        <w:t xml:space="preserve"> has lodged an investigation.</w:t>
      </w:r>
      <w:r w:rsidR="00447BF0" w:rsidRPr="00F209B7">
        <w:rPr>
          <w:rStyle w:val="FootnoteReference"/>
        </w:rPr>
        <w:footnoteReference w:id="11"/>
      </w:r>
      <w:r w:rsidR="00447BF0" w:rsidRPr="00F209B7">
        <w:t xml:space="preserve"> </w:t>
      </w:r>
    </w:p>
    <w:p w14:paraId="54984163" w14:textId="42572812" w:rsidR="00056980" w:rsidRPr="00F209B7" w:rsidRDefault="00ED000B" w:rsidP="00D66738">
      <w:pPr>
        <w:jc w:val="both"/>
      </w:pPr>
      <w:r w:rsidRPr="00F209B7">
        <w:t xml:space="preserve">To understand the impact of delayed VAT refunds, the following table indicates the share of VAT refunds in turnover by size. </w:t>
      </w:r>
      <w:r w:rsidR="00056980" w:rsidRPr="00F209B7">
        <w:t xml:space="preserve">For formal micro and very small enterprise as a group, VAT refunds more or less equalled their </w:t>
      </w:r>
      <w:r w:rsidRPr="00F209B7">
        <w:t>entire payments, or 5% of turnover</w:t>
      </w:r>
      <w:r w:rsidR="00056980" w:rsidRPr="00F209B7">
        <w:t>. The figure dropped to 25% for small enterprises, with turnover up to R20 million</w:t>
      </w:r>
      <w:r w:rsidRPr="00F209B7">
        <w:t>, equal to around 1,5% of turnover</w:t>
      </w:r>
      <w:r w:rsidR="00056980" w:rsidRPr="00F209B7">
        <w:t xml:space="preserve">. </w:t>
      </w:r>
      <w:r w:rsidRPr="00F209B7">
        <w:t xml:space="preserve">Delays and unpredictability in resources of this magnitude could obviously prove devastating for businesses. </w:t>
      </w:r>
    </w:p>
    <w:p w14:paraId="701160E2" w14:textId="4FF696F9" w:rsidR="00ED000B" w:rsidRPr="00F209B7" w:rsidRDefault="00ED000B" w:rsidP="00D66738">
      <w:pPr>
        <w:pStyle w:val="Caption"/>
        <w:jc w:val="both"/>
      </w:pPr>
      <w:bookmarkStart w:id="745" w:name="_Toc479940971"/>
      <w:r w:rsidRPr="00F209B7">
        <w:t xml:space="preserve">Table </w:t>
      </w:r>
      <w:fldSimple w:instr=" SEQ Table \* ARABIC ">
        <w:r w:rsidR="005062E7">
          <w:rPr>
            <w:noProof/>
          </w:rPr>
          <w:t>14</w:t>
        </w:r>
      </w:fldSimple>
      <w:r w:rsidRPr="00F209B7">
        <w:t>. VAT refunds compared to payments and turnover by size of business, 2014/5</w:t>
      </w:r>
      <w:bookmarkEnd w:id="745"/>
    </w:p>
    <w:tbl>
      <w:tblPr>
        <w:tblStyle w:val="TableGrid"/>
        <w:tblW w:w="5000" w:type="pct"/>
        <w:tblLayout w:type="fixed"/>
        <w:tblLook w:val="04A0" w:firstRow="1" w:lastRow="0" w:firstColumn="1" w:lastColumn="0" w:noHBand="0" w:noVBand="1"/>
      </w:tblPr>
      <w:tblGrid>
        <w:gridCol w:w="1739"/>
        <w:gridCol w:w="1344"/>
        <w:gridCol w:w="1632"/>
        <w:gridCol w:w="1063"/>
        <w:gridCol w:w="876"/>
        <w:gridCol w:w="1534"/>
        <w:gridCol w:w="1054"/>
      </w:tblGrid>
      <w:tr w:rsidR="00C51727" w:rsidRPr="00F209B7" w14:paraId="25720320" w14:textId="77777777" w:rsidTr="00A032E2">
        <w:trPr>
          <w:cantSplit/>
          <w:tblHeader/>
        </w:trPr>
        <w:tc>
          <w:tcPr>
            <w:tcW w:w="941" w:type="pct"/>
            <w:vMerge w:val="restart"/>
            <w:noWrap/>
            <w:vAlign w:val="bottom"/>
            <w:hideMark/>
          </w:tcPr>
          <w:p w14:paraId="65BEA9D9" w14:textId="77777777" w:rsidR="00C51727" w:rsidRPr="00F209B7" w:rsidRDefault="00C51727" w:rsidP="00D66738">
            <w:pPr>
              <w:pStyle w:val="charts"/>
              <w:jc w:val="both"/>
              <w:rPr>
                <w:b/>
                <w:sz w:val="20"/>
                <w:lang w:eastAsia="en-ZA"/>
              </w:rPr>
            </w:pPr>
            <w:r w:rsidRPr="00F209B7">
              <w:rPr>
                <w:b/>
                <w:sz w:val="20"/>
                <w:lang w:eastAsia="en-ZA"/>
              </w:rPr>
              <w:t>Turnover category</w:t>
            </w:r>
          </w:p>
        </w:tc>
        <w:tc>
          <w:tcPr>
            <w:tcW w:w="727" w:type="pct"/>
            <w:vMerge w:val="restart"/>
            <w:noWrap/>
            <w:vAlign w:val="bottom"/>
            <w:hideMark/>
          </w:tcPr>
          <w:p w14:paraId="5E86CB76" w14:textId="77777777" w:rsidR="00C51727" w:rsidRPr="00F209B7" w:rsidRDefault="00C51727" w:rsidP="00D66738">
            <w:pPr>
              <w:pStyle w:val="charts"/>
              <w:jc w:val="both"/>
              <w:rPr>
                <w:b/>
                <w:sz w:val="20"/>
                <w:lang w:eastAsia="en-ZA"/>
              </w:rPr>
            </w:pPr>
            <w:r w:rsidRPr="00F209B7">
              <w:rPr>
                <w:b/>
                <w:sz w:val="20"/>
                <w:lang w:eastAsia="en-ZA"/>
              </w:rPr>
              <w:t>number of companies</w:t>
            </w:r>
          </w:p>
        </w:tc>
        <w:tc>
          <w:tcPr>
            <w:tcW w:w="1931" w:type="pct"/>
            <w:gridSpan w:val="3"/>
            <w:noWrap/>
            <w:vAlign w:val="bottom"/>
            <w:hideMark/>
          </w:tcPr>
          <w:p w14:paraId="743861B4" w14:textId="179ECD12" w:rsidR="00C51727" w:rsidRPr="00F209B7" w:rsidRDefault="00D70E17" w:rsidP="00D66738">
            <w:pPr>
              <w:pStyle w:val="charts"/>
              <w:jc w:val="both"/>
              <w:rPr>
                <w:b/>
                <w:sz w:val="20"/>
                <w:lang w:eastAsia="en-ZA"/>
              </w:rPr>
            </w:pPr>
            <w:r>
              <w:rPr>
                <w:b/>
                <w:sz w:val="20"/>
                <w:lang w:eastAsia="en-ZA"/>
              </w:rPr>
              <w:t xml:space="preserve">R </w:t>
            </w:r>
            <w:proofErr w:type="spellStart"/>
            <w:r w:rsidR="00C51727" w:rsidRPr="00F209B7">
              <w:rPr>
                <w:b/>
                <w:sz w:val="20"/>
                <w:lang w:eastAsia="en-ZA"/>
              </w:rPr>
              <w:t>bns</w:t>
            </w:r>
            <w:proofErr w:type="spellEnd"/>
            <w:r w:rsidR="00C51727" w:rsidRPr="00F209B7">
              <w:rPr>
                <w:b/>
                <w:sz w:val="20"/>
                <w:lang w:eastAsia="en-ZA"/>
              </w:rPr>
              <w:t>.</w:t>
            </w:r>
          </w:p>
        </w:tc>
        <w:tc>
          <w:tcPr>
            <w:tcW w:w="1400" w:type="pct"/>
            <w:gridSpan w:val="2"/>
            <w:noWrap/>
            <w:vAlign w:val="bottom"/>
            <w:hideMark/>
          </w:tcPr>
          <w:p w14:paraId="32092F8D" w14:textId="57FE1B41" w:rsidR="00C51727" w:rsidRPr="00F209B7" w:rsidRDefault="00C51727" w:rsidP="00D66738">
            <w:pPr>
              <w:pStyle w:val="charts"/>
              <w:jc w:val="both"/>
              <w:rPr>
                <w:b/>
                <w:sz w:val="20"/>
                <w:lang w:eastAsia="en-ZA"/>
              </w:rPr>
            </w:pPr>
            <w:r w:rsidRPr="00F209B7">
              <w:rPr>
                <w:b/>
                <w:sz w:val="20"/>
                <w:lang w:eastAsia="en-ZA"/>
              </w:rPr>
              <w:t>Refunds as % of</w:t>
            </w:r>
            <w:r w:rsidR="00D70E17">
              <w:rPr>
                <w:b/>
                <w:sz w:val="20"/>
                <w:lang w:eastAsia="en-ZA"/>
              </w:rPr>
              <w:t xml:space="preserve"> </w:t>
            </w:r>
          </w:p>
        </w:tc>
      </w:tr>
      <w:tr w:rsidR="00C51727" w:rsidRPr="00F209B7" w14:paraId="25380E01" w14:textId="77777777" w:rsidTr="00A032E2">
        <w:trPr>
          <w:cantSplit/>
          <w:tblHeader/>
        </w:trPr>
        <w:tc>
          <w:tcPr>
            <w:tcW w:w="941" w:type="pct"/>
            <w:vMerge/>
            <w:noWrap/>
            <w:hideMark/>
          </w:tcPr>
          <w:p w14:paraId="21EEA05E" w14:textId="77777777" w:rsidR="00C51727" w:rsidRPr="00F209B7" w:rsidRDefault="00C51727" w:rsidP="00D66738">
            <w:pPr>
              <w:pStyle w:val="charts"/>
              <w:jc w:val="both"/>
              <w:rPr>
                <w:b/>
                <w:sz w:val="20"/>
                <w:lang w:eastAsia="en-ZA"/>
              </w:rPr>
            </w:pPr>
          </w:p>
        </w:tc>
        <w:tc>
          <w:tcPr>
            <w:tcW w:w="727" w:type="pct"/>
            <w:vMerge/>
            <w:noWrap/>
            <w:hideMark/>
          </w:tcPr>
          <w:p w14:paraId="5A8B0366" w14:textId="77777777" w:rsidR="00C51727" w:rsidRPr="00F209B7" w:rsidRDefault="00C51727" w:rsidP="00D66738">
            <w:pPr>
              <w:pStyle w:val="charts"/>
              <w:jc w:val="both"/>
              <w:rPr>
                <w:b/>
                <w:sz w:val="20"/>
                <w:lang w:eastAsia="en-ZA"/>
              </w:rPr>
            </w:pPr>
          </w:p>
        </w:tc>
        <w:tc>
          <w:tcPr>
            <w:tcW w:w="883" w:type="pct"/>
            <w:noWrap/>
            <w:vAlign w:val="bottom"/>
            <w:hideMark/>
          </w:tcPr>
          <w:p w14:paraId="220E4450" w14:textId="77777777" w:rsidR="00C51727" w:rsidRPr="00F209B7" w:rsidRDefault="00C51727" w:rsidP="00D66738">
            <w:pPr>
              <w:pStyle w:val="charts"/>
              <w:jc w:val="both"/>
              <w:rPr>
                <w:b/>
                <w:sz w:val="20"/>
                <w:lang w:eastAsia="en-ZA"/>
              </w:rPr>
            </w:pPr>
            <w:r w:rsidRPr="00F209B7">
              <w:rPr>
                <w:b/>
                <w:sz w:val="20"/>
                <w:lang w:eastAsia="en-ZA"/>
              </w:rPr>
              <w:t>turnover</w:t>
            </w:r>
          </w:p>
        </w:tc>
        <w:tc>
          <w:tcPr>
            <w:tcW w:w="575" w:type="pct"/>
            <w:noWrap/>
            <w:vAlign w:val="bottom"/>
            <w:hideMark/>
          </w:tcPr>
          <w:p w14:paraId="185F65E4" w14:textId="77777777" w:rsidR="00C51727" w:rsidRPr="00F209B7" w:rsidRDefault="00C51727" w:rsidP="00D66738">
            <w:pPr>
              <w:pStyle w:val="charts"/>
              <w:jc w:val="both"/>
              <w:rPr>
                <w:b/>
                <w:sz w:val="20"/>
                <w:lang w:eastAsia="en-ZA"/>
              </w:rPr>
            </w:pPr>
            <w:r w:rsidRPr="00F209B7">
              <w:rPr>
                <w:b/>
                <w:sz w:val="20"/>
                <w:lang w:eastAsia="en-ZA"/>
              </w:rPr>
              <w:t>payments</w:t>
            </w:r>
          </w:p>
        </w:tc>
        <w:tc>
          <w:tcPr>
            <w:tcW w:w="474" w:type="pct"/>
            <w:noWrap/>
            <w:vAlign w:val="bottom"/>
            <w:hideMark/>
          </w:tcPr>
          <w:p w14:paraId="1ED4917B" w14:textId="2D7BDAE5" w:rsidR="00C51727" w:rsidRPr="00F209B7" w:rsidRDefault="00C51727" w:rsidP="00D66738">
            <w:pPr>
              <w:pStyle w:val="charts"/>
              <w:jc w:val="both"/>
              <w:rPr>
                <w:b/>
                <w:sz w:val="20"/>
                <w:lang w:eastAsia="en-ZA"/>
              </w:rPr>
            </w:pPr>
            <w:r w:rsidRPr="00F209B7">
              <w:rPr>
                <w:b/>
                <w:sz w:val="20"/>
                <w:lang w:eastAsia="en-ZA"/>
              </w:rPr>
              <w:t xml:space="preserve">refunds </w:t>
            </w:r>
          </w:p>
        </w:tc>
        <w:tc>
          <w:tcPr>
            <w:tcW w:w="830" w:type="pct"/>
            <w:noWrap/>
            <w:vAlign w:val="bottom"/>
            <w:hideMark/>
          </w:tcPr>
          <w:p w14:paraId="5BDDD142" w14:textId="77777777" w:rsidR="00C51727" w:rsidRPr="00F209B7" w:rsidRDefault="00C51727" w:rsidP="00D66738">
            <w:pPr>
              <w:pStyle w:val="charts"/>
              <w:jc w:val="both"/>
              <w:rPr>
                <w:b/>
                <w:sz w:val="20"/>
                <w:lang w:eastAsia="en-ZA"/>
              </w:rPr>
            </w:pPr>
            <w:r w:rsidRPr="00F209B7">
              <w:rPr>
                <w:b/>
                <w:sz w:val="20"/>
                <w:lang w:eastAsia="en-ZA"/>
              </w:rPr>
              <w:t>VAT payments</w:t>
            </w:r>
          </w:p>
        </w:tc>
        <w:tc>
          <w:tcPr>
            <w:tcW w:w="570" w:type="pct"/>
            <w:noWrap/>
            <w:vAlign w:val="bottom"/>
            <w:hideMark/>
          </w:tcPr>
          <w:p w14:paraId="67B1A5F1" w14:textId="77777777" w:rsidR="00C51727" w:rsidRPr="00F209B7" w:rsidRDefault="00C51727" w:rsidP="00D66738">
            <w:pPr>
              <w:pStyle w:val="charts"/>
              <w:jc w:val="both"/>
              <w:rPr>
                <w:b/>
                <w:sz w:val="20"/>
                <w:lang w:eastAsia="en-ZA"/>
              </w:rPr>
            </w:pPr>
            <w:r w:rsidRPr="00F209B7">
              <w:rPr>
                <w:b/>
                <w:sz w:val="20"/>
                <w:lang w:eastAsia="en-ZA"/>
              </w:rPr>
              <w:t xml:space="preserve">Turnover </w:t>
            </w:r>
          </w:p>
        </w:tc>
      </w:tr>
      <w:tr w:rsidR="00C51727" w:rsidRPr="00F209B7" w14:paraId="7E35CD22" w14:textId="77777777" w:rsidTr="00A032E2">
        <w:trPr>
          <w:cantSplit/>
        </w:trPr>
        <w:tc>
          <w:tcPr>
            <w:tcW w:w="941" w:type="pct"/>
            <w:noWrap/>
            <w:hideMark/>
          </w:tcPr>
          <w:p w14:paraId="727E1513" w14:textId="422DDE91" w:rsidR="00C51727" w:rsidRPr="00F209B7" w:rsidRDefault="00D70E17" w:rsidP="00D66738">
            <w:pPr>
              <w:pStyle w:val="charts"/>
              <w:jc w:val="both"/>
              <w:rPr>
                <w:sz w:val="20"/>
                <w:lang w:eastAsia="en-ZA"/>
              </w:rPr>
            </w:pPr>
            <w:r>
              <w:rPr>
                <w:sz w:val="20"/>
                <w:lang w:eastAsia="en-ZA"/>
              </w:rPr>
              <w:t xml:space="preserve">over R20 </w:t>
            </w:r>
            <w:proofErr w:type="spellStart"/>
            <w:r w:rsidR="00C51727" w:rsidRPr="00F209B7">
              <w:rPr>
                <w:sz w:val="20"/>
                <w:lang w:eastAsia="en-ZA"/>
              </w:rPr>
              <w:t>mn</w:t>
            </w:r>
            <w:proofErr w:type="spellEnd"/>
          </w:p>
        </w:tc>
        <w:tc>
          <w:tcPr>
            <w:tcW w:w="727" w:type="pct"/>
            <w:noWrap/>
            <w:hideMark/>
          </w:tcPr>
          <w:p w14:paraId="69FB7C80" w14:textId="77777777" w:rsidR="00C51727" w:rsidRPr="00F209B7" w:rsidRDefault="00C51727" w:rsidP="00D66738">
            <w:pPr>
              <w:pStyle w:val="charts"/>
              <w:jc w:val="both"/>
              <w:rPr>
                <w:sz w:val="20"/>
                <w:lang w:eastAsia="en-ZA"/>
              </w:rPr>
            </w:pPr>
            <w:r w:rsidRPr="00F209B7">
              <w:rPr>
                <w:sz w:val="20"/>
                <w:lang w:eastAsia="en-ZA"/>
              </w:rPr>
              <w:t xml:space="preserve">43 500 </w:t>
            </w:r>
          </w:p>
        </w:tc>
        <w:tc>
          <w:tcPr>
            <w:tcW w:w="883" w:type="pct"/>
            <w:noWrap/>
            <w:hideMark/>
          </w:tcPr>
          <w:p w14:paraId="6FE42B6A" w14:textId="77777777" w:rsidR="00C51727" w:rsidRPr="00F209B7" w:rsidRDefault="00C51727" w:rsidP="00D66738">
            <w:pPr>
              <w:pStyle w:val="charts"/>
              <w:jc w:val="both"/>
              <w:rPr>
                <w:sz w:val="20"/>
                <w:lang w:eastAsia="en-ZA"/>
              </w:rPr>
            </w:pPr>
            <w:r w:rsidRPr="00F209B7">
              <w:rPr>
                <w:sz w:val="20"/>
                <w:lang w:eastAsia="en-ZA"/>
              </w:rPr>
              <w:t xml:space="preserve"> 10 089 </w:t>
            </w:r>
          </w:p>
        </w:tc>
        <w:tc>
          <w:tcPr>
            <w:tcW w:w="575" w:type="pct"/>
            <w:noWrap/>
            <w:hideMark/>
          </w:tcPr>
          <w:p w14:paraId="1F627773" w14:textId="77777777" w:rsidR="00C51727" w:rsidRPr="00F209B7" w:rsidRDefault="00C51727" w:rsidP="00D66738">
            <w:pPr>
              <w:pStyle w:val="charts"/>
              <w:jc w:val="both"/>
              <w:rPr>
                <w:sz w:val="20"/>
                <w:lang w:eastAsia="en-ZA"/>
              </w:rPr>
            </w:pPr>
            <w:r w:rsidRPr="00F209B7">
              <w:rPr>
                <w:sz w:val="20"/>
                <w:lang w:eastAsia="en-ZA"/>
              </w:rPr>
              <w:t xml:space="preserve">227.1 </w:t>
            </w:r>
          </w:p>
        </w:tc>
        <w:tc>
          <w:tcPr>
            <w:tcW w:w="474" w:type="pct"/>
            <w:noWrap/>
            <w:hideMark/>
          </w:tcPr>
          <w:p w14:paraId="1F8D26A9" w14:textId="77777777" w:rsidR="00C51727" w:rsidRPr="00F209B7" w:rsidRDefault="00C51727" w:rsidP="00D66738">
            <w:pPr>
              <w:pStyle w:val="charts"/>
              <w:jc w:val="both"/>
              <w:rPr>
                <w:sz w:val="20"/>
                <w:lang w:eastAsia="en-ZA"/>
              </w:rPr>
            </w:pPr>
            <w:r w:rsidRPr="00F209B7">
              <w:rPr>
                <w:sz w:val="20"/>
                <w:lang w:eastAsia="en-ZA"/>
              </w:rPr>
              <w:t xml:space="preserve">-140.4 </w:t>
            </w:r>
          </w:p>
        </w:tc>
        <w:tc>
          <w:tcPr>
            <w:tcW w:w="830" w:type="pct"/>
            <w:noWrap/>
            <w:hideMark/>
          </w:tcPr>
          <w:p w14:paraId="0510D77F" w14:textId="77777777" w:rsidR="00C51727" w:rsidRPr="00F209B7" w:rsidRDefault="00C51727" w:rsidP="00D66738">
            <w:pPr>
              <w:pStyle w:val="charts"/>
              <w:jc w:val="both"/>
              <w:rPr>
                <w:sz w:val="20"/>
                <w:lang w:eastAsia="en-ZA"/>
              </w:rPr>
            </w:pPr>
            <w:r w:rsidRPr="00F209B7">
              <w:rPr>
                <w:sz w:val="20"/>
                <w:lang w:eastAsia="en-ZA"/>
              </w:rPr>
              <w:t>-62%</w:t>
            </w:r>
          </w:p>
        </w:tc>
        <w:tc>
          <w:tcPr>
            <w:tcW w:w="570" w:type="pct"/>
            <w:noWrap/>
            <w:hideMark/>
          </w:tcPr>
          <w:p w14:paraId="7227DC28" w14:textId="77777777" w:rsidR="00C51727" w:rsidRPr="00F209B7" w:rsidRDefault="00C51727" w:rsidP="00D66738">
            <w:pPr>
              <w:pStyle w:val="charts"/>
              <w:jc w:val="both"/>
              <w:rPr>
                <w:sz w:val="20"/>
                <w:lang w:eastAsia="en-ZA"/>
              </w:rPr>
            </w:pPr>
            <w:r w:rsidRPr="00F209B7">
              <w:rPr>
                <w:sz w:val="20"/>
                <w:lang w:eastAsia="en-ZA"/>
              </w:rPr>
              <w:t>-1.4%</w:t>
            </w:r>
          </w:p>
        </w:tc>
      </w:tr>
      <w:tr w:rsidR="00C51727" w:rsidRPr="00F209B7" w14:paraId="57827593" w14:textId="77777777" w:rsidTr="00A032E2">
        <w:trPr>
          <w:cantSplit/>
        </w:trPr>
        <w:tc>
          <w:tcPr>
            <w:tcW w:w="941" w:type="pct"/>
            <w:noWrap/>
            <w:hideMark/>
          </w:tcPr>
          <w:p w14:paraId="710B930D" w14:textId="0BD41FAD" w:rsidR="00C51727" w:rsidRPr="00F209B7" w:rsidRDefault="00D70E17" w:rsidP="00D66738">
            <w:pPr>
              <w:pStyle w:val="charts"/>
              <w:jc w:val="both"/>
              <w:rPr>
                <w:sz w:val="20"/>
                <w:lang w:eastAsia="en-ZA"/>
              </w:rPr>
            </w:pPr>
            <w:r>
              <w:rPr>
                <w:sz w:val="20"/>
                <w:lang w:eastAsia="en-ZA"/>
              </w:rPr>
              <w:t xml:space="preserve">10 </w:t>
            </w:r>
            <w:proofErr w:type="spellStart"/>
            <w:r w:rsidR="00C51727" w:rsidRPr="00F209B7">
              <w:rPr>
                <w:sz w:val="20"/>
                <w:lang w:eastAsia="en-ZA"/>
              </w:rPr>
              <w:t>mn</w:t>
            </w:r>
            <w:proofErr w:type="spellEnd"/>
            <w:r>
              <w:rPr>
                <w:sz w:val="20"/>
                <w:lang w:eastAsia="en-ZA"/>
              </w:rPr>
              <w:t xml:space="preserve"> to 20 </w:t>
            </w:r>
            <w:proofErr w:type="spellStart"/>
            <w:r w:rsidR="00C51727" w:rsidRPr="00F209B7">
              <w:rPr>
                <w:sz w:val="20"/>
                <w:lang w:eastAsia="en-ZA"/>
              </w:rPr>
              <w:t>mn</w:t>
            </w:r>
            <w:proofErr w:type="spellEnd"/>
          </w:p>
        </w:tc>
        <w:tc>
          <w:tcPr>
            <w:tcW w:w="727" w:type="pct"/>
            <w:noWrap/>
            <w:hideMark/>
          </w:tcPr>
          <w:p w14:paraId="641543BF" w14:textId="77777777" w:rsidR="00C51727" w:rsidRPr="00F209B7" w:rsidRDefault="00C51727" w:rsidP="00D66738">
            <w:pPr>
              <w:pStyle w:val="charts"/>
              <w:jc w:val="both"/>
              <w:rPr>
                <w:sz w:val="20"/>
                <w:lang w:eastAsia="en-ZA"/>
              </w:rPr>
            </w:pPr>
            <w:r w:rsidRPr="00F209B7">
              <w:rPr>
                <w:sz w:val="20"/>
                <w:lang w:eastAsia="en-ZA"/>
              </w:rPr>
              <w:t xml:space="preserve">29 000 </w:t>
            </w:r>
          </w:p>
        </w:tc>
        <w:tc>
          <w:tcPr>
            <w:tcW w:w="883" w:type="pct"/>
            <w:noWrap/>
            <w:hideMark/>
          </w:tcPr>
          <w:p w14:paraId="1ED4D121" w14:textId="77777777" w:rsidR="00C51727" w:rsidRPr="00F209B7" w:rsidRDefault="00C51727" w:rsidP="00D66738">
            <w:pPr>
              <w:pStyle w:val="charts"/>
              <w:jc w:val="both"/>
              <w:rPr>
                <w:sz w:val="20"/>
                <w:lang w:eastAsia="en-ZA"/>
              </w:rPr>
            </w:pPr>
            <w:r w:rsidRPr="00F209B7">
              <w:rPr>
                <w:sz w:val="20"/>
                <w:lang w:eastAsia="en-ZA"/>
              </w:rPr>
              <w:t xml:space="preserve"> 408 </w:t>
            </w:r>
          </w:p>
        </w:tc>
        <w:tc>
          <w:tcPr>
            <w:tcW w:w="575" w:type="pct"/>
            <w:noWrap/>
            <w:hideMark/>
          </w:tcPr>
          <w:p w14:paraId="65679130" w14:textId="77777777" w:rsidR="00C51727" w:rsidRPr="00F209B7" w:rsidRDefault="00C51727" w:rsidP="00D66738">
            <w:pPr>
              <w:pStyle w:val="charts"/>
              <w:jc w:val="both"/>
              <w:rPr>
                <w:sz w:val="20"/>
                <w:lang w:eastAsia="en-ZA"/>
              </w:rPr>
            </w:pPr>
            <w:r w:rsidRPr="00F209B7">
              <w:rPr>
                <w:sz w:val="20"/>
                <w:lang w:eastAsia="en-ZA"/>
              </w:rPr>
              <w:t xml:space="preserve">17.6 </w:t>
            </w:r>
          </w:p>
        </w:tc>
        <w:tc>
          <w:tcPr>
            <w:tcW w:w="474" w:type="pct"/>
            <w:noWrap/>
            <w:hideMark/>
          </w:tcPr>
          <w:p w14:paraId="5139D31A" w14:textId="77777777" w:rsidR="00C51727" w:rsidRPr="00F209B7" w:rsidRDefault="00C51727" w:rsidP="00D66738">
            <w:pPr>
              <w:pStyle w:val="charts"/>
              <w:jc w:val="both"/>
              <w:rPr>
                <w:sz w:val="20"/>
                <w:lang w:eastAsia="en-ZA"/>
              </w:rPr>
            </w:pPr>
            <w:r w:rsidRPr="00F209B7">
              <w:rPr>
                <w:sz w:val="20"/>
                <w:lang w:eastAsia="en-ZA"/>
              </w:rPr>
              <w:t xml:space="preserve"> -4.7 </w:t>
            </w:r>
          </w:p>
        </w:tc>
        <w:tc>
          <w:tcPr>
            <w:tcW w:w="830" w:type="pct"/>
            <w:noWrap/>
            <w:hideMark/>
          </w:tcPr>
          <w:p w14:paraId="32645F2B" w14:textId="77777777" w:rsidR="00C51727" w:rsidRPr="00F209B7" w:rsidRDefault="00C51727" w:rsidP="00D66738">
            <w:pPr>
              <w:pStyle w:val="charts"/>
              <w:jc w:val="both"/>
              <w:rPr>
                <w:sz w:val="20"/>
                <w:lang w:eastAsia="en-ZA"/>
              </w:rPr>
            </w:pPr>
            <w:r w:rsidRPr="00F209B7">
              <w:rPr>
                <w:sz w:val="20"/>
                <w:lang w:eastAsia="en-ZA"/>
              </w:rPr>
              <w:t>-27%</w:t>
            </w:r>
          </w:p>
        </w:tc>
        <w:tc>
          <w:tcPr>
            <w:tcW w:w="570" w:type="pct"/>
            <w:noWrap/>
            <w:hideMark/>
          </w:tcPr>
          <w:p w14:paraId="4FA3BC7A" w14:textId="77777777" w:rsidR="00C51727" w:rsidRPr="00F209B7" w:rsidRDefault="00C51727" w:rsidP="00D66738">
            <w:pPr>
              <w:pStyle w:val="charts"/>
              <w:jc w:val="both"/>
              <w:rPr>
                <w:sz w:val="20"/>
                <w:lang w:eastAsia="en-ZA"/>
              </w:rPr>
            </w:pPr>
            <w:r w:rsidRPr="00F209B7">
              <w:rPr>
                <w:sz w:val="20"/>
                <w:lang w:eastAsia="en-ZA"/>
              </w:rPr>
              <w:t>-1.1%</w:t>
            </w:r>
          </w:p>
        </w:tc>
      </w:tr>
      <w:tr w:rsidR="00C51727" w:rsidRPr="00F209B7" w14:paraId="3D256982" w14:textId="77777777" w:rsidTr="00A032E2">
        <w:trPr>
          <w:cantSplit/>
        </w:trPr>
        <w:tc>
          <w:tcPr>
            <w:tcW w:w="941" w:type="pct"/>
            <w:noWrap/>
            <w:hideMark/>
          </w:tcPr>
          <w:p w14:paraId="42E57FC3" w14:textId="373FD09F" w:rsidR="00C51727" w:rsidRPr="00F209B7" w:rsidRDefault="00D70E17" w:rsidP="00D66738">
            <w:pPr>
              <w:pStyle w:val="charts"/>
              <w:jc w:val="both"/>
              <w:rPr>
                <w:sz w:val="20"/>
                <w:lang w:eastAsia="en-ZA"/>
              </w:rPr>
            </w:pPr>
            <w:r>
              <w:rPr>
                <w:sz w:val="20"/>
                <w:lang w:eastAsia="en-ZA"/>
              </w:rPr>
              <w:t xml:space="preserve">5 </w:t>
            </w:r>
            <w:proofErr w:type="spellStart"/>
            <w:r w:rsidR="00C51727" w:rsidRPr="00F209B7">
              <w:rPr>
                <w:sz w:val="20"/>
                <w:lang w:eastAsia="en-ZA"/>
              </w:rPr>
              <w:t>mn</w:t>
            </w:r>
            <w:proofErr w:type="spellEnd"/>
            <w:r>
              <w:rPr>
                <w:sz w:val="20"/>
                <w:lang w:eastAsia="en-ZA"/>
              </w:rPr>
              <w:t xml:space="preserve"> to 10 </w:t>
            </w:r>
            <w:proofErr w:type="spellStart"/>
            <w:r w:rsidR="00C51727" w:rsidRPr="00F209B7">
              <w:rPr>
                <w:sz w:val="20"/>
                <w:lang w:eastAsia="en-ZA"/>
              </w:rPr>
              <w:t>mn</w:t>
            </w:r>
            <w:proofErr w:type="spellEnd"/>
          </w:p>
        </w:tc>
        <w:tc>
          <w:tcPr>
            <w:tcW w:w="727" w:type="pct"/>
            <w:noWrap/>
            <w:hideMark/>
          </w:tcPr>
          <w:p w14:paraId="7963433D" w14:textId="77777777" w:rsidR="00C51727" w:rsidRPr="00F209B7" w:rsidRDefault="00C51727" w:rsidP="00D66738">
            <w:pPr>
              <w:pStyle w:val="charts"/>
              <w:jc w:val="both"/>
              <w:rPr>
                <w:sz w:val="20"/>
                <w:lang w:eastAsia="en-ZA"/>
              </w:rPr>
            </w:pPr>
            <w:r w:rsidRPr="00F209B7">
              <w:rPr>
                <w:sz w:val="20"/>
                <w:lang w:eastAsia="en-ZA"/>
              </w:rPr>
              <w:t xml:space="preserve">43 000 </w:t>
            </w:r>
          </w:p>
        </w:tc>
        <w:tc>
          <w:tcPr>
            <w:tcW w:w="883" w:type="pct"/>
            <w:noWrap/>
            <w:hideMark/>
          </w:tcPr>
          <w:p w14:paraId="70176E79" w14:textId="77777777" w:rsidR="00C51727" w:rsidRPr="00F209B7" w:rsidRDefault="00C51727" w:rsidP="00D66738">
            <w:pPr>
              <w:pStyle w:val="charts"/>
              <w:jc w:val="both"/>
              <w:rPr>
                <w:sz w:val="20"/>
                <w:lang w:eastAsia="en-ZA"/>
              </w:rPr>
            </w:pPr>
            <w:r w:rsidRPr="00F209B7">
              <w:rPr>
                <w:sz w:val="20"/>
                <w:lang w:eastAsia="en-ZA"/>
              </w:rPr>
              <w:t xml:space="preserve"> 303 </w:t>
            </w:r>
          </w:p>
        </w:tc>
        <w:tc>
          <w:tcPr>
            <w:tcW w:w="575" w:type="pct"/>
            <w:noWrap/>
            <w:hideMark/>
          </w:tcPr>
          <w:p w14:paraId="4DF606C7" w14:textId="77777777" w:rsidR="00C51727" w:rsidRPr="00F209B7" w:rsidRDefault="00C51727" w:rsidP="00D66738">
            <w:pPr>
              <w:pStyle w:val="charts"/>
              <w:jc w:val="both"/>
              <w:rPr>
                <w:sz w:val="20"/>
                <w:lang w:eastAsia="en-ZA"/>
              </w:rPr>
            </w:pPr>
            <w:r w:rsidRPr="00F209B7">
              <w:rPr>
                <w:sz w:val="20"/>
                <w:lang w:eastAsia="en-ZA"/>
              </w:rPr>
              <w:t xml:space="preserve">14.9 </w:t>
            </w:r>
          </w:p>
        </w:tc>
        <w:tc>
          <w:tcPr>
            <w:tcW w:w="474" w:type="pct"/>
            <w:noWrap/>
            <w:hideMark/>
          </w:tcPr>
          <w:p w14:paraId="726ECCA4" w14:textId="77777777" w:rsidR="00C51727" w:rsidRPr="00F209B7" w:rsidRDefault="00C51727" w:rsidP="00D66738">
            <w:pPr>
              <w:pStyle w:val="charts"/>
              <w:jc w:val="both"/>
              <w:rPr>
                <w:sz w:val="20"/>
                <w:lang w:eastAsia="en-ZA"/>
              </w:rPr>
            </w:pPr>
            <w:r w:rsidRPr="00F209B7">
              <w:rPr>
                <w:sz w:val="20"/>
                <w:lang w:eastAsia="en-ZA"/>
              </w:rPr>
              <w:t xml:space="preserve"> -3.7 </w:t>
            </w:r>
          </w:p>
        </w:tc>
        <w:tc>
          <w:tcPr>
            <w:tcW w:w="830" w:type="pct"/>
            <w:noWrap/>
            <w:hideMark/>
          </w:tcPr>
          <w:p w14:paraId="1FADB34E" w14:textId="77777777" w:rsidR="00C51727" w:rsidRPr="00F209B7" w:rsidRDefault="00C51727" w:rsidP="00D66738">
            <w:pPr>
              <w:pStyle w:val="charts"/>
              <w:jc w:val="both"/>
              <w:rPr>
                <w:sz w:val="20"/>
                <w:lang w:eastAsia="en-ZA"/>
              </w:rPr>
            </w:pPr>
            <w:r w:rsidRPr="00F209B7">
              <w:rPr>
                <w:sz w:val="20"/>
                <w:lang w:eastAsia="en-ZA"/>
              </w:rPr>
              <w:t>-25%</w:t>
            </w:r>
          </w:p>
        </w:tc>
        <w:tc>
          <w:tcPr>
            <w:tcW w:w="570" w:type="pct"/>
            <w:noWrap/>
            <w:hideMark/>
          </w:tcPr>
          <w:p w14:paraId="65C47766" w14:textId="77777777" w:rsidR="00C51727" w:rsidRPr="00F209B7" w:rsidRDefault="00C51727" w:rsidP="00D66738">
            <w:pPr>
              <w:pStyle w:val="charts"/>
              <w:jc w:val="both"/>
              <w:rPr>
                <w:sz w:val="20"/>
                <w:lang w:eastAsia="en-ZA"/>
              </w:rPr>
            </w:pPr>
            <w:r w:rsidRPr="00F209B7">
              <w:rPr>
                <w:sz w:val="20"/>
                <w:lang w:eastAsia="en-ZA"/>
              </w:rPr>
              <w:t>-1.2%</w:t>
            </w:r>
          </w:p>
        </w:tc>
      </w:tr>
      <w:tr w:rsidR="00C51727" w:rsidRPr="00F209B7" w14:paraId="09A02C1C" w14:textId="77777777" w:rsidTr="00A032E2">
        <w:trPr>
          <w:cantSplit/>
        </w:trPr>
        <w:tc>
          <w:tcPr>
            <w:tcW w:w="941" w:type="pct"/>
            <w:noWrap/>
            <w:hideMark/>
          </w:tcPr>
          <w:p w14:paraId="5F4D77D1" w14:textId="1564DEEA" w:rsidR="00C51727" w:rsidRPr="00F209B7" w:rsidRDefault="00D70E17" w:rsidP="00D66738">
            <w:pPr>
              <w:pStyle w:val="charts"/>
              <w:jc w:val="both"/>
              <w:rPr>
                <w:sz w:val="20"/>
                <w:lang w:eastAsia="en-ZA"/>
              </w:rPr>
            </w:pPr>
            <w:r>
              <w:rPr>
                <w:sz w:val="20"/>
                <w:lang w:eastAsia="en-ZA"/>
              </w:rPr>
              <w:t xml:space="preserve">1 </w:t>
            </w:r>
            <w:proofErr w:type="spellStart"/>
            <w:r w:rsidR="00C51727" w:rsidRPr="00F209B7">
              <w:rPr>
                <w:sz w:val="20"/>
                <w:lang w:eastAsia="en-ZA"/>
              </w:rPr>
              <w:t>mn</w:t>
            </w:r>
            <w:proofErr w:type="spellEnd"/>
            <w:r>
              <w:rPr>
                <w:sz w:val="20"/>
                <w:lang w:eastAsia="en-ZA"/>
              </w:rPr>
              <w:t xml:space="preserve"> to 5 </w:t>
            </w:r>
            <w:proofErr w:type="spellStart"/>
            <w:r w:rsidR="00C51727" w:rsidRPr="00F209B7">
              <w:rPr>
                <w:sz w:val="20"/>
                <w:lang w:eastAsia="en-ZA"/>
              </w:rPr>
              <w:t>mn</w:t>
            </w:r>
            <w:proofErr w:type="spellEnd"/>
          </w:p>
        </w:tc>
        <w:tc>
          <w:tcPr>
            <w:tcW w:w="727" w:type="pct"/>
            <w:noWrap/>
            <w:hideMark/>
          </w:tcPr>
          <w:p w14:paraId="39FA73BA" w14:textId="77777777" w:rsidR="00C51727" w:rsidRPr="00F209B7" w:rsidRDefault="00C51727" w:rsidP="00D66738">
            <w:pPr>
              <w:pStyle w:val="charts"/>
              <w:jc w:val="both"/>
              <w:rPr>
                <w:sz w:val="20"/>
                <w:lang w:eastAsia="en-ZA"/>
              </w:rPr>
            </w:pPr>
            <w:r w:rsidRPr="00F209B7">
              <w:rPr>
                <w:sz w:val="20"/>
                <w:lang w:eastAsia="en-ZA"/>
              </w:rPr>
              <w:t xml:space="preserve"> 139 000 </w:t>
            </w:r>
          </w:p>
        </w:tc>
        <w:tc>
          <w:tcPr>
            <w:tcW w:w="883" w:type="pct"/>
            <w:noWrap/>
            <w:hideMark/>
          </w:tcPr>
          <w:p w14:paraId="58368880" w14:textId="77777777" w:rsidR="00C51727" w:rsidRPr="00F209B7" w:rsidRDefault="00C51727" w:rsidP="00D66738">
            <w:pPr>
              <w:pStyle w:val="charts"/>
              <w:jc w:val="both"/>
              <w:rPr>
                <w:sz w:val="20"/>
                <w:lang w:eastAsia="en-ZA"/>
              </w:rPr>
            </w:pPr>
            <w:r w:rsidRPr="00F209B7">
              <w:rPr>
                <w:sz w:val="20"/>
                <w:lang w:eastAsia="en-ZA"/>
              </w:rPr>
              <w:t xml:space="preserve"> 337 </w:t>
            </w:r>
          </w:p>
        </w:tc>
        <w:tc>
          <w:tcPr>
            <w:tcW w:w="575" w:type="pct"/>
            <w:noWrap/>
            <w:hideMark/>
          </w:tcPr>
          <w:p w14:paraId="3F1F7FD9" w14:textId="77777777" w:rsidR="00C51727" w:rsidRPr="00F209B7" w:rsidRDefault="00C51727" w:rsidP="00D66738">
            <w:pPr>
              <w:pStyle w:val="charts"/>
              <w:jc w:val="both"/>
              <w:rPr>
                <w:sz w:val="20"/>
                <w:lang w:eastAsia="en-ZA"/>
              </w:rPr>
            </w:pPr>
            <w:r w:rsidRPr="00F209B7">
              <w:rPr>
                <w:sz w:val="20"/>
                <w:lang w:eastAsia="en-ZA"/>
              </w:rPr>
              <w:t xml:space="preserve">20.0 </w:t>
            </w:r>
          </w:p>
        </w:tc>
        <w:tc>
          <w:tcPr>
            <w:tcW w:w="474" w:type="pct"/>
            <w:noWrap/>
            <w:hideMark/>
          </w:tcPr>
          <w:p w14:paraId="36789082" w14:textId="77777777" w:rsidR="00C51727" w:rsidRPr="00F209B7" w:rsidRDefault="00C51727" w:rsidP="00D66738">
            <w:pPr>
              <w:pStyle w:val="charts"/>
              <w:jc w:val="both"/>
              <w:rPr>
                <w:sz w:val="20"/>
                <w:lang w:eastAsia="en-ZA"/>
              </w:rPr>
            </w:pPr>
            <w:r w:rsidRPr="00F209B7">
              <w:rPr>
                <w:sz w:val="20"/>
                <w:lang w:eastAsia="en-ZA"/>
              </w:rPr>
              <w:t xml:space="preserve"> -5.3 </w:t>
            </w:r>
          </w:p>
        </w:tc>
        <w:tc>
          <w:tcPr>
            <w:tcW w:w="830" w:type="pct"/>
            <w:noWrap/>
            <w:hideMark/>
          </w:tcPr>
          <w:p w14:paraId="4A4C9B8D" w14:textId="77777777" w:rsidR="00C51727" w:rsidRPr="00F209B7" w:rsidRDefault="00C51727" w:rsidP="00D66738">
            <w:pPr>
              <w:pStyle w:val="charts"/>
              <w:jc w:val="both"/>
              <w:rPr>
                <w:sz w:val="20"/>
                <w:lang w:eastAsia="en-ZA"/>
              </w:rPr>
            </w:pPr>
            <w:r w:rsidRPr="00F209B7">
              <w:rPr>
                <w:sz w:val="20"/>
                <w:lang w:eastAsia="en-ZA"/>
              </w:rPr>
              <w:t>-26%</w:t>
            </w:r>
          </w:p>
        </w:tc>
        <w:tc>
          <w:tcPr>
            <w:tcW w:w="570" w:type="pct"/>
            <w:noWrap/>
            <w:hideMark/>
          </w:tcPr>
          <w:p w14:paraId="77F83F45" w14:textId="77777777" w:rsidR="00C51727" w:rsidRPr="00F209B7" w:rsidRDefault="00C51727" w:rsidP="00D66738">
            <w:pPr>
              <w:pStyle w:val="charts"/>
              <w:jc w:val="both"/>
              <w:rPr>
                <w:sz w:val="20"/>
                <w:lang w:eastAsia="en-ZA"/>
              </w:rPr>
            </w:pPr>
            <w:r w:rsidRPr="00F209B7">
              <w:rPr>
                <w:sz w:val="20"/>
                <w:lang w:eastAsia="en-ZA"/>
              </w:rPr>
              <w:t>-1.6%</w:t>
            </w:r>
          </w:p>
        </w:tc>
      </w:tr>
      <w:tr w:rsidR="00C51727" w:rsidRPr="00F209B7" w14:paraId="51C6BDC4" w14:textId="77777777" w:rsidTr="00A032E2">
        <w:trPr>
          <w:cantSplit/>
        </w:trPr>
        <w:tc>
          <w:tcPr>
            <w:tcW w:w="941" w:type="pct"/>
            <w:noWrap/>
            <w:hideMark/>
          </w:tcPr>
          <w:p w14:paraId="60C8F354" w14:textId="59C87E90" w:rsidR="00C51727" w:rsidRPr="00F209B7" w:rsidRDefault="00D70E17" w:rsidP="00D66738">
            <w:pPr>
              <w:pStyle w:val="charts"/>
              <w:jc w:val="both"/>
              <w:rPr>
                <w:sz w:val="20"/>
                <w:lang w:eastAsia="en-ZA"/>
              </w:rPr>
            </w:pPr>
            <w:r>
              <w:rPr>
                <w:sz w:val="20"/>
                <w:lang w:eastAsia="en-ZA"/>
              </w:rPr>
              <w:t xml:space="preserve">up to R1 </w:t>
            </w:r>
            <w:proofErr w:type="spellStart"/>
            <w:r w:rsidR="00C51727" w:rsidRPr="00F209B7">
              <w:rPr>
                <w:sz w:val="20"/>
                <w:lang w:eastAsia="en-ZA"/>
              </w:rPr>
              <w:t>mn</w:t>
            </w:r>
            <w:proofErr w:type="spellEnd"/>
          </w:p>
        </w:tc>
        <w:tc>
          <w:tcPr>
            <w:tcW w:w="727" w:type="pct"/>
            <w:noWrap/>
            <w:hideMark/>
          </w:tcPr>
          <w:p w14:paraId="182BD075" w14:textId="77777777" w:rsidR="00C51727" w:rsidRPr="00F209B7" w:rsidRDefault="00C51727" w:rsidP="00D66738">
            <w:pPr>
              <w:pStyle w:val="charts"/>
              <w:jc w:val="both"/>
              <w:rPr>
                <w:sz w:val="20"/>
                <w:lang w:eastAsia="en-ZA"/>
              </w:rPr>
            </w:pPr>
            <w:r w:rsidRPr="00F209B7">
              <w:rPr>
                <w:sz w:val="20"/>
                <w:lang w:eastAsia="en-ZA"/>
              </w:rPr>
              <w:t xml:space="preserve"> 166 500 </w:t>
            </w:r>
          </w:p>
        </w:tc>
        <w:tc>
          <w:tcPr>
            <w:tcW w:w="883" w:type="pct"/>
            <w:noWrap/>
            <w:hideMark/>
          </w:tcPr>
          <w:p w14:paraId="63E8E468" w14:textId="77777777" w:rsidR="00C51727" w:rsidRPr="00F209B7" w:rsidRDefault="00C51727" w:rsidP="00D66738">
            <w:pPr>
              <w:pStyle w:val="charts"/>
              <w:jc w:val="both"/>
              <w:rPr>
                <w:sz w:val="20"/>
                <w:lang w:eastAsia="en-ZA"/>
              </w:rPr>
            </w:pPr>
            <w:r w:rsidRPr="00F209B7">
              <w:rPr>
                <w:sz w:val="20"/>
                <w:lang w:eastAsia="en-ZA"/>
              </w:rPr>
              <w:t xml:space="preserve"> 56 </w:t>
            </w:r>
          </w:p>
        </w:tc>
        <w:tc>
          <w:tcPr>
            <w:tcW w:w="575" w:type="pct"/>
            <w:noWrap/>
            <w:hideMark/>
          </w:tcPr>
          <w:p w14:paraId="788F43B1" w14:textId="77777777" w:rsidR="00C51727" w:rsidRPr="00F209B7" w:rsidRDefault="00C51727" w:rsidP="00D66738">
            <w:pPr>
              <w:pStyle w:val="charts"/>
              <w:jc w:val="both"/>
              <w:rPr>
                <w:sz w:val="20"/>
                <w:lang w:eastAsia="en-ZA"/>
              </w:rPr>
            </w:pPr>
            <w:r w:rsidRPr="00F209B7">
              <w:rPr>
                <w:sz w:val="20"/>
                <w:lang w:eastAsia="en-ZA"/>
              </w:rPr>
              <w:t xml:space="preserve">5.9 </w:t>
            </w:r>
          </w:p>
        </w:tc>
        <w:tc>
          <w:tcPr>
            <w:tcW w:w="474" w:type="pct"/>
            <w:noWrap/>
            <w:hideMark/>
          </w:tcPr>
          <w:p w14:paraId="2B24DC4E" w14:textId="77777777" w:rsidR="00C51727" w:rsidRPr="00F209B7" w:rsidRDefault="00C51727" w:rsidP="00D66738">
            <w:pPr>
              <w:pStyle w:val="charts"/>
              <w:jc w:val="both"/>
              <w:rPr>
                <w:sz w:val="20"/>
                <w:lang w:eastAsia="en-ZA"/>
              </w:rPr>
            </w:pPr>
            <w:r w:rsidRPr="00F209B7">
              <w:rPr>
                <w:sz w:val="20"/>
                <w:lang w:eastAsia="en-ZA"/>
              </w:rPr>
              <w:t xml:space="preserve"> -5.6 </w:t>
            </w:r>
          </w:p>
        </w:tc>
        <w:tc>
          <w:tcPr>
            <w:tcW w:w="830" w:type="pct"/>
            <w:noWrap/>
            <w:hideMark/>
          </w:tcPr>
          <w:p w14:paraId="402471AE" w14:textId="77777777" w:rsidR="00C51727" w:rsidRPr="00F209B7" w:rsidRDefault="00C51727" w:rsidP="00D66738">
            <w:pPr>
              <w:pStyle w:val="charts"/>
              <w:jc w:val="both"/>
              <w:rPr>
                <w:sz w:val="20"/>
                <w:lang w:eastAsia="en-ZA"/>
              </w:rPr>
            </w:pPr>
            <w:r w:rsidRPr="00F209B7">
              <w:rPr>
                <w:sz w:val="20"/>
                <w:lang w:eastAsia="en-ZA"/>
              </w:rPr>
              <w:t>-95%</w:t>
            </w:r>
          </w:p>
        </w:tc>
        <w:tc>
          <w:tcPr>
            <w:tcW w:w="570" w:type="pct"/>
            <w:noWrap/>
            <w:hideMark/>
          </w:tcPr>
          <w:p w14:paraId="5129F5C7" w14:textId="77777777" w:rsidR="00C51727" w:rsidRPr="00F209B7" w:rsidRDefault="00C51727" w:rsidP="00D66738">
            <w:pPr>
              <w:pStyle w:val="charts"/>
              <w:jc w:val="both"/>
              <w:rPr>
                <w:sz w:val="20"/>
                <w:lang w:eastAsia="en-ZA"/>
              </w:rPr>
            </w:pPr>
            <w:r w:rsidRPr="00F209B7">
              <w:rPr>
                <w:sz w:val="20"/>
                <w:lang w:eastAsia="en-ZA"/>
              </w:rPr>
              <w:t>-10.0%</w:t>
            </w:r>
          </w:p>
        </w:tc>
      </w:tr>
    </w:tbl>
    <w:p w14:paraId="506AE650" w14:textId="56E03D15" w:rsidR="00ED000B" w:rsidRPr="00F209B7" w:rsidRDefault="00C51727" w:rsidP="00D66738">
      <w:pPr>
        <w:pStyle w:val="source"/>
        <w:jc w:val="both"/>
      </w:pPr>
      <w:r w:rsidRPr="00F209B7">
        <w:rPr>
          <w:i/>
        </w:rPr>
        <w:t xml:space="preserve">Source: </w:t>
      </w:r>
      <w:r w:rsidRPr="00F209B7">
        <w:t xml:space="preserve">SARS. Tax Statistics: Value Added Tax. 2016. Excel spreadsheet. Downloaded from </w:t>
      </w:r>
      <w:r w:rsidRPr="0065619D">
        <w:t>www.sars.gov.za</w:t>
      </w:r>
      <w:r w:rsidRPr="00F209B7">
        <w:t xml:space="preserve"> in March 2017. </w:t>
      </w:r>
    </w:p>
    <w:p w14:paraId="30126A4C" w14:textId="77777777" w:rsidR="009E1C2F" w:rsidRPr="00F209B7" w:rsidRDefault="00741096" w:rsidP="00D66738">
      <w:pPr>
        <w:jc w:val="both"/>
      </w:pPr>
      <w:r w:rsidRPr="00F209B7">
        <w:t>M</w:t>
      </w:r>
      <w:r w:rsidR="009E1C2F" w:rsidRPr="00F209B7">
        <w:t xml:space="preserve">anual registration for VAT </w:t>
      </w:r>
      <w:r w:rsidR="001B336C" w:rsidRPr="00F209B7">
        <w:t xml:space="preserve">also imposes </w:t>
      </w:r>
      <w:r w:rsidR="009E1C2F" w:rsidRPr="00F209B7">
        <w:t>a burden</w:t>
      </w:r>
      <w:r w:rsidR="001B336C" w:rsidRPr="00F209B7">
        <w:t xml:space="preserve"> compared to the income tax</w:t>
      </w:r>
      <w:r w:rsidR="009E1C2F" w:rsidRPr="00F209B7">
        <w:t xml:space="preserve">. SARS has 53 offices countrywide. The </w:t>
      </w:r>
      <w:r w:rsidR="00C65C76" w:rsidRPr="00F209B7">
        <w:t>standard turnaround time</w:t>
      </w:r>
      <w:r w:rsidR="009E1C2F" w:rsidRPr="00F209B7">
        <w:t xml:space="preserve"> for </w:t>
      </w:r>
      <w:r w:rsidR="00C65C76" w:rsidRPr="00F209B7">
        <w:t xml:space="preserve">company income tax is one working day and for a </w:t>
      </w:r>
      <w:r w:rsidR="009E1C2F" w:rsidRPr="00F209B7">
        <w:t xml:space="preserve">new registration ten </w:t>
      </w:r>
      <w:r w:rsidR="00C65C76" w:rsidRPr="00F209B7">
        <w:t xml:space="preserve">working </w:t>
      </w:r>
      <w:r w:rsidR="009E1C2F" w:rsidRPr="00F209B7">
        <w:t>days, but VAT registration takes 21 days.</w:t>
      </w:r>
    </w:p>
    <w:p w14:paraId="4D84BA47" w14:textId="26BE0BDF" w:rsidR="009E1C2F" w:rsidRPr="00F209B7" w:rsidRDefault="009E1C2F" w:rsidP="00D66738">
      <w:pPr>
        <w:spacing w:after="160"/>
        <w:jc w:val="both"/>
        <w:rPr>
          <w:rFonts w:ascii="Calibri" w:eastAsia="Calibri" w:hAnsi="Calibri" w:cs="Times New Roman"/>
          <w:szCs w:val="24"/>
        </w:rPr>
      </w:pPr>
      <w:r w:rsidRPr="00F209B7">
        <w:rPr>
          <w:rFonts w:ascii="Calibri" w:eastAsia="Calibri" w:hAnsi="Calibri" w:cs="Times New Roman"/>
          <w:szCs w:val="24"/>
        </w:rPr>
        <w:t xml:space="preserve">SARS is particularly sensitive to loosening governance standards as VAT represents the largest single target for fraudulent tax activity in South Africa. SARS reports that it has been </w:t>
      </w:r>
      <w:r w:rsidRPr="00F209B7">
        <w:rPr>
          <w:rFonts w:ascii="Calibri" w:eastAsia="Calibri" w:hAnsi="Calibri" w:cs="Times New Roman"/>
          <w:szCs w:val="24"/>
        </w:rPr>
        <w:lastRenderedPageBreak/>
        <w:t>confronted with fraudulent VAT refund claims averaging approximately R2 billion a month (DTC, 201</w:t>
      </w:r>
      <w:r w:rsidR="00A90B69">
        <w:rPr>
          <w:rFonts w:ascii="Calibri" w:eastAsia="Calibri" w:hAnsi="Calibri" w:cs="Times New Roman"/>
          <w:szCs w:val="24"/>
        </w:rPr>
        <w:t>4 p. 47</w:t>
      </w:r>
      <w:r w:rsidRPr="00F209B7">
        <w:rPr>
          <w:rFonts w:ascii="Calibri" w:eastAsia="Calibri" w:hAnsi="Calibri" w:cs="Times New Roman"/>
          <w:szCs w:val="24"/>
        </w:rPr>
        <w:t>).</w:t>
      </w:r>
      <w:r w:rsidR="00447BF0" w:rsidRPr="00F209B7">
        <w:rPr>
          <w:rFonts w:ascii="Calibri" w:eastAsia="Calibri" w:hAnsi="Calibri" w:cs="Times New Roman"/>
          <w:szCs w:val="24"/>
        </w:rPr>
        <w:t xml:space="preserve"> </w:t>
      </w:r>
    </w:p>
    <w:p w14:paraId="77EB195F" w14:textId="77777777" w:rsidR="009E1C2F" w:rsidRPr="00F209B7" w:rsidRDefault="009E1C2F" w:rsidP="00D66738">
      <w:pPr>
        <w:jc w:val="both"/>
      </w:pPr>
      <w:r w:rsidRPr="00F209B7">
        <w:t xml:space="preserve">Small businesses </w:t>
      </w:r>
      <w:r w:rsidR="001B336C" w:rsidRPr="00F209B7">
        <w:t xml:space="preserve">informants also </w:t>
      </w:r>
      <w:r w:rsidRPr="00F209B7">
        <w:t>raised complaints about the compliance costs of obtaining tax clearance certificates when conducting business with the state.</w:t>
      </w:r>
      <w:r w:rsidR="001B336C" w:rsidRPr="00F209B7">
        <w:t xml:space="preserve"> In late 2016, however, SARS introduced a system to provide clearances through </w:t>
      </w:r>
      <w:proofErr w:type="spellStart"/>
      <w:r w:rsidR="001B336C" w:rsidRPr="00F209B7">
        <w:t>eFiling</w:t>
      </w:r>
      <w:proofErr w:type="spellEnd"/>
      <w:r w:rsidR="001B336C" w:rsidRPr="00F209B7">
        <w:t xml:space="preserve">, which should address this blockage.  </w:t>
      </w:r>
    </w:p>
    <w:p w14:paraId="11393AB7" w14:textId="4775535A" w:rsidR="00C65C76" w:rsidRPr="00F209B7" w:rsidRDefault="00741096" w:rsidP="00D66738">
      <w:pPr>
        <w:jc w:val="both"/>
      </w:pPr>
      <w:r w:rsidRPr="00F209B7">
        <w:t xml:space="preserve">The turnover tax system was expected to reduce the compliance costs for small business. </w:t>
      </w:r>
      <w:r w:rsidR="00C65C76" w:rsidRPr="00F209B7">
        <w:t xml:space="preserve">In 2012, the median time spent on tax compliance for businesses using the turnover tax was just 30 hours, less than a third the time required for normal tax returns. The average time for the turnover tax system came to 67 hours, or just under two thirds the </w:t>
      </w:r>
      <w:r w:rsidR="005773E0">
        <w:t xml:space="preserve">average </w:t>
      </w:r>
      <w:r w:rsidR="00C65C76" w:rsidRPr="00F209B7">
        <w:t xml:space="preserve">required for other taxes. </w:t>
      </w:r>
      <w:r w:rsidRPr="00F209B7">
        <w:t>(</w:t>
      </w:r>
      <w:proofErr w:type="spellStart"/>
      <w:r w:rsidRPr="00F209B7">
        <w:t>Smulder</w:t>
      </w:r>
      <w:proofErr w:type="spellEnd"/>
      <w:r w:rsidRPr="00F209B7">
        <w:t xml:space="preserve"> </w:t>
      </w:r>
      <w:r w:rsidRPr="00F209B7">
        <w:rPr>
          <w:i/>
        </w:rPr>
        <w:t>et al.</w:t>
      </w:r>
      <w:r w:rsidRPr="00F209B7">
        <w:t>, 2012, p. 193)</w:t>
      </w:r>
    </w:p>
    <w:p w14:paraId="5B8E32DB" w14:textId="7B0B6C99" w:rsidR="00E41438" w:rsidRPr="00F209B7" w:rsidRDefault="00C65C76" w:rsidP="00D66738">
      <w:pPr>
        <w:jc w:val="both"/>
        <w:rPr>
          <w:rFonts w:ascii="Calibri" w:eastAsia="Calibri" w:hAnsi="Calibri" w:cs="Times New Roman"/>
        </w:rPr>
      </w:pPr>
      <w:r w:rsidRPr="00F209B7">
        <w:t xml:space="preserve">Nonetheless, </w:t>
      </w:r>
      <w:r w:rsidR="00E41438" w:rsidRPr="00F209B7">
        <w:t xml:space="preserve">SARS officials </w:t>
      </w:r>
      <w:r w:rsidRPr="00F209B7">
        <w:t xml:space="preserve">report only </w:t>
      </w:r>
      <w:r w:rsidR="00E41438" w:rsidRPr="00F209B7">
        <w:t xml:space="preserve">limited uptake of the </w:t>
      </w:r>
      <w:r w:rsidRPr="00F209B7">
        <w:t xml:space="preserve">turnover tax </w:t>
      </w:r>
      <w:r w:rsidR="00E41438" w:rsidRPr="00F209B7">
        <w:t xml:space="preserve">by small businesses. </w:t>
      </w:r>
      <w:r w:rsidRPr="00F209B7">
        <w:t xml:space="preserve">This low </w:t>
      </w:r>
      <w:r w:rsidR="00E41438" w:rsidRPr="00F209B7">
        <w:t xml:space="preserve">rate of sign up </w:t>
      </w:r>
      <w:r w:rsidRPr="00F209B7">
        <w:t xml:space="preserve">may be </w:t>
      </w:r>
      <w:r w:rsidR="00E41438" w:rsidRPr="00F209B7">
        <w:t>related to</w:t>
      </w:r>
      <w:r w:rsidRPr="00F209B7">
        <w:t xml:space="preserve"> the relatively high tax rate</w:t>
      </w:r>
      <w:r w:rsidR="005773E0">
        <w:t xml:space="preserve"> at least until 2015</w:t>
      </w:r>
      <w:r w:rsidRPr="00F209B7">
        <w:t xml:space="preserve">, which offsets the reduced compliance costs. </w:t>
      </w:r>
      <w:r w:rsidRPr="00F209B7">
        <w:rPr>
          <w:rFonts w:ascii="Calibri" w:eastAsia="Calibri" w:hAnsi="Calibri" w:cs="Times New Roman"/>
        </w:rPr>
        <w:t xml:space="preserve">From SARS’s standpoint, the aim is not to reduce taxation on small business, but to cut the administrative burden. </w:t>
      </w:r>
    </w:p>
    <w:p w14:paraId="7941D41F" w14:textId="2BFCBEC2" w:rsidR="00E41438" w:rsidRDefault="00E41438" w:rsidP="00D66738">
      <w:pPr>
        <w:jc w:val="both"/>
      </w:pPr>
      <w:proofErr w:type="gramStart"/>
      <w:r w:rsidRPr="00F209B7">
        <w:t>The SBC tax system was recently reviewed by the Davis Tax Commission</w:t>
      </w:r>
      <w:proofErr w:type="gramEnd"/>
      <w:r w:rsidRPr="00F209B7">
        <w:t xml:space="preserve"> (DTC</w:t>
      </w:r>
      <w:r w:rsidR="00EB0702">
        <w:t>, 2016</w:t>
      </w:r>
      <w:r w:rsidRPr="00F209B7">
        <w:t xml:space="preserve">). </w:t>
      </w:r>
      <w:r w:rsidR="00EB0702">
        <w:t xml:space="preserve">It argued that the tax </w:t>
      </w:r>
      <w:r w:rsidRPr="00F209B7">
        <w:t>benefit</w:t>
      </w:r>
      <w:r w:rsidR="00EB0702">
        <w:t xml:space="preserve">s go primarily to </w:t>
      </w:r>
      <w:r w:rsidRPr="00F209B7">
        <w:t xml:space="preserve">service-related </w:t>
      </w:r>
      <w:r w:rsidR="00EB0702">
        <w:t xml:space="preserve">small businesses </w:t>
      </w:r>
      <w:r w:rsidRPr="00F209B7">
        <w:t xml:space="preserve">(such as financial, education real estate, medical and veterinary services). </w:t>
      </w:r>
      <w:r w:rsidR="00EB0702">
        <w:t xml:space="preserve">In contrast, </w:t>
      </w:r>
      <w:r w:rsidRPr="00F209B7">
        <w:t xml:space="preserve">the SBC </w:t>
      </w:r>
      <w:r w:rsidR="00EB0702">
        <w:t xml:space="preserve">was expected </w:t>
      </w:r>
      <w:r w:rsidRPr="00F209B7">
        <w:t>to assist start-ups and ailing businesses in an assessed loss position.</w:t>
      </w:r>
    </w:p>
    <w:p w14:paraId="6CC67813" w14:textId="652EB0F6" w:rsidR="00EB0702" w:rsidRDefault="00EB0702" w:rsidP="00D66738">
      <w:pPr>
        <w:jc w:val="both"/>
      </w:pPr>
      <w:r>
        <w:t>It should be noted that the tax system for small business imposes significant burdens on SARS as well. As the following figure shows, almost 500 000 micro enterprises pay some tax, but they account for only around 4% of tax revenue. They also contribute around 11% of VAT payments.</w:t>
      </w:r>
      <w:r>
        <w:rPr>
          <w:rStyle w:val="FootnoteReference"/>
        </w:rPr>
        <w:footnoteReference w:id="12"/>
      </w:r>
      <w:r>
        <w:t xml:space="preserve"> In the long run, SARS argues that getting small business into the tax net is important over time. In the short run, however, it must clearly spend a significant amount of time and </w:t>
      </w:r>
      <w:r w:rsidR="008A44A6">
        <w:t>capacity</w:t>
      </w:r>
      <w:r>
        <w:t xml:space="preserve"> to register and audit small companies that pay very little, if anything, in tax. </w:t>
      </w:r>
    </w:p>
    <w:p w14:paraId="2BF6B147" w14:textId="3529B47F" w:rsidR="0046121B" w:rsidRDefault="0046121B" w:rsidP="00D66738">
      <w:pPr>
        <w:pStyle w:val="Caption"/>
        <w:jc w:val="both"/>
      </w:pPr>
      <w:bookmarkStart w:id="746" w:name="_Toc479845230"/>
      <w:bookmarkStart w:id="747" w:name="_Toc479940955"/>
      <w:r>
        <w:lastRenderedPageBreak/>
        <w:t xml:space="preserve">Figure </w:t>
      </w:r>
      <w:fldSimple w:instr=" SEQ Figure \* ARABIC ">
        <w:r w:rsidR="005062E7">
          <w:rPr>
            <w:noProof/>
          </w:rPr>
          <w:t>13</w:t>
        </w:r>
      </w:fldSimple>
      <w:r>
        <w:t>. Share in total tax assessed and number of tax-paying companies by value of taxable income, 2014</w:t>
      </w:r>
      <w:bookmarkEnd w:id="746"/>
      <w:bookmarkEnd w:id="747"/>
    </w:p>
    <w:p w14:paraId="37A4FF58" w14:textId="744BE3B6" w:rsidR="00EB0702" w:rsidRDefault="0046121B" w:rsidP="00D66738">
      <w:pPr>
        <w:pStyle w:val="charts"/>
        <w:jc w:val="both"/>
      </w:pPr>
      <w:r w:rsidRPr="0046121B">
        <w:rPr>
          <w:noProof/>
          <w:lang w:eastAsia="en-ZA"/>
        </w:rPr>
        <w:drawing>
          <wp:inline distT="0" distB="0" distL="0" distR="0" wp14:anchorId="1C924ADA" wp14:editId="706498AE">
            <wp:extent cx="5731510" cy="2654779"/>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654779"/>
                    </a:xfrm>
                    <a:prstGeom prst="rect">
                      <a:avLst/>
                    </a:prstGeom>
                    <a:noFill/>
                    <a:ln>
                      <a:noFill/>
                    </a:ln>
                  </pic:spPr>
                </pic:pic>
              </a:graphicData>
            </a:graphic>
          </wp:inline>
        </w:drawing>
      </w:r>
    </w:p>
    <w:p w14:paraId="5E423CCD" w14:textId="1C079DE6" w:rsidR="0046121B" w:rsidRPr="0046121B" w:rsidRDefault="0046121B" w:rsidP="00D66738">
      <w:pPr>
        <w:pStyle w:val="source"/>
        <w:jc w:val="both"/>
      </w:pPr>
      <w:r>
        <w:rPr>
          <w:i/>
        </w:rPr>
        <w:t xml:space="preserve">Source: </w:t>
      </w:r>
      <w:r>
        <w:t xml:space="preserve">Calculated from SARS. 2016. Company Tax Statistics. Excel spreadsheet. Table A3.3.1. Downloaded from </w:t>
      </w:r>
      <w:r w:rsidRPr="0065619D">
        <w:t>www.sars.gov.za</w:t>
      </w:r>
      <w:r>
        <w:t xml:space="preserve"> in March 2016. </w:t>
      </w:r>
    </w:p>
    <w:p w14:paraId="6D739DEC" w14:textId="3B76876F" w:rsidR="00E41438" w:rsidRPr="00F209B7" w:rsidRDefault="00777101" w:rsidP="00D66738">
      <w:pPr>
        <w:pStyle w:val="Heading3"/>
        <w:numPr>
          <w:ilvl w:val="2"/>
          <w:numId w:val="132"/>
        </w:numPr>
        <w:ind w:left="0" w:firstLine="0"/>
        <w:jc w:val="both"/>
      </w:pPr>
      <w:bookmarkStart w:id="748" w:name="_Toc479843923"/>
      <w:bookmarkStart w:id="749" w:name="_Toc479844547"/>
      <w:bookmarkStart w:id="750" w:name="_Toc479940877"/>
      <w:r>
        <w:t>Options</w:t>
      </w:r>
      <w:bookmarkEnd w:id="748"/>
      <w:bookmarkEnd w:id="749"/>
      <w:bookmarkEnd w:id="750"/>
    </w:p>
    <w:p w14:paraId="077E5FE6" w14:textId="77777777" w:rsidR="00E41438" w:rsidRPr="00F209B7" w:rsidRDefault="00E41438" w:rsidP="00D66738">
      <w:pPr>
        <w:spacing w:after="160"/>
        <w:jc w:val="both"/>
        <w:rPr>
          <w:rFonts w:ascii="Calibri" w:eastAsia="Calibri" w:hAnsi="Calibri" w:cs="Times New Roman"/>
          <w:szCs w:val="24"/>
        </w:rPr>
      </w:pPr>
      <w:r w:rsidRPr="00F209B7">
        <w:rPr>
          <w:rFonts w:ascii="Calibri" w:eastAsia="Calibri" w:hAnsi="Calibri" w:cs="Times New Roman"/>
          <w:szCs w:val="24"/>
        </w:rPr>
        <w:t>A number of issues emerge with regard to tax administration.</w:t>
      </w:r>
      <w:r w:rsidRPr="00F209B7">
        <w:rPr>
          <w:rStyle w:val="FootnoteReference"/>
          <w:rFonts w:ascii="Calibri" w:eastAsia="Calibri" w:hAnsi="Calibri" w:cs="Times New Roman"/>
          <w:szCs w:val="24"/>
        </w:rPr>
        <w:footnoteReference w:id="13"/>
      </w:r>
      <w:r w:rsidRPr="00F209B7">
        <w:rPr>
          <w:rFonts w:ascii="Calibri" w:eastAsia="Calibri" w:hAnsi="Calibri" w:cs="Times New Roman"/>
          <w:szCs w:val="24"/>
        </w:rPr>
        <w:t xml:space="preserve"> These issues include:</w:t>
      </w:r>
    </w:p>
    <w:p w14:paraId="1631A318" w14:textId="6995C726" w:rsidR="00E41438" w:rsidRPr="00F209B7" w:rsidRDefault="00E41438" w:rsidP="00D66738">
      <w:pPr>
        <w:pStyle w:val="ListParagraph"/>
        <w:numPr>
          <w:ilvl w:val="0"/>
          <w:numId w:val="21"/>
        </w:numPr>
        <w:spacing w:before="0" w:after="160" w:line="259" w:lineRule="auto"/>
        <w:jc w:val="both"/>
        <w:rPr>
          <w:rFonts w:ascii="Calibri" w:eastAsia="Calibri" w:hAnsi="Calibri" w:cs="Times New Roman"/>
          <w:szCs w:val="24"/>
        </w:rPr>
      </w:pPr>
      <w:r w:rsidRPr="00F209B7">
        <w:rPr>
          <w:rFonts w:ascii="Calibri" w:eastAsia="Calibri" w:hAnsi="Calibri" w:cs="Times New Roman"/>
          <w:szCs w:val="24"/>
        </w:rPr>
        <w:t>Dela</w:t>
      </w:r>
      <w:r w:rsidR="00741096" w:rsidRPr="00F209B7">
        <w:rPr>
          <w:rFonts w:ascii="Calibri" w:eastAsia="Calibri" w:hAnsi="Calibri" w:cs="Times New Roman"/>
          <w:szCs w:val="24"/>
        </w:rPr>
        <w:t xml:space="preserve">ys in obtaining VAT refunds, often as a result of </w:t>
      </w:r>
      <w:r w:rsidRPr="00F209B7">
        <w:rPr>
          <w:rFonts w:ascii="Calibri" w:eastAsia="Calibri" w:hAnsi="Calibri" w:cs="Times New Roman"/>
          <w:szCs w:val="24"/>
        </w:rPr>
        <w:t>audits;</w:t>
      </w:r>
      <w:r w:rsidR="00741096" w:rsidRPr="00F209B7">
        <w:rPr>
          <w:rFonts w:ascii="Calibri" w:eastAsia="Calibri" w:hAnsi="Calibri" w:cs="Times New Roman"/>
          <w:szCs w:val="24"/>
        </w:rPr>
        <w:t xml:space="preserve"> </w:t>
      </w:r>
      <w:r w:rsidR="005773E0">
        <w:rPr>
          <w:rFonts w:ascii="Calibri" w:eastAsia="Calibri" w:hAnsi="Calibri" w:cs="Times New Roman"/>
          <w:szCs w:val="24"/>
        </w:rPr>
        <w:t>and</w:t>
      </w:r>
    </w:p>
    <w:p w14:paraId="094A8D77" w14:textId="23F32242" w:rsidR="00E41438" w:rsidRPr="00F209B7" w:rsidRDefault="005773E0" w:rsidP="00D66738">
      <w:pPr>
        <w:pStyle w:val="ListParagraph"/>
        <w:numPr>
          <w:ilvl w:val="0"/>
          <w:numId w:val="21"/>
        </w:numPr>
        <w:spacing w:before="0" w:after="160" w:line="259" w:lineRule="auto"/>
        <w:jc w:val="both"/>
        <w:rPr>
          <w:rFonts w:ascii="Calibri" w:eastAsia="Calibri" w:hAnsi="Calibri" w:cs="Times New Roman"/>
          <w:szCs w:val="24"/>
        </w:rPr>
      </w:pPr>
      <w:r>
        <w:rPr>
          <w:rFonts w:ascii="Calibri" w:eastAsia="Calibri" w:hAnsi="Calibri" w:cs="Times New Roman"/>
          <w:szCs w:val="24"/>
        </w:rPr>
        <w:t xml:space="preserve">The lack of take up for the </w:t>
      </w:r>
      <w:r w:rsidR="00741096" w:rsidRPr="00F209B7">
        <w:rPr>
          <w:rFonts w:ascii="Calibri" w:eastAsia="Calibri" w:hAnsi="Calibri" w:cs="Times New Roman"/>
          <w:szCs w:val="24"/>
        </w:rPr>
        <w:t>tax regime</w:t>
      </w:r>
      <w:r>
        <w:rPr>
          <w:rFonts w:ascii="Calibri" w:eastAsia="Calibri" w:hAnsi="Calibri" w:cs="Times New Roman"/>
          <w:szCs w:val="24"/>
        </w:rPr>
        <w:t>s designed</w:t>
      </w:r>
      <w:r w:rsidR="00741096" w:rsidRPr="00F209B7">
        <w:rPr>
          <w:rFonts w:ascii="Calibri" w:eastAsia="Calibri" w:hAnsi="Calibri" w:cs="Times New Roman"/>
          <w:szCs w:val="24"/>
        </w:rPr>
        <w:t xml:space="preserve"> for small business</w:t>
      </w:r>
      <w:r w:rsidR="00E41438" w:rsidRPr="00F209B7">
        <w:rPr>
          <w:rFonts w:ascii="Calibri" w:eastAsia="Calibri" w:hAnsi="Calibri" w:cs="Times New Roman"/>
          <w:szCs w:val="24"/>
        </w:rPr>
        <w:t>.</w:t>
      </w:r>
    </w:p>
    <w:p w14:paraId="0C21B51F" w14:textId="77777777" w:rsidR="00FA4353" w:rsidRPr="00F209B7" w:rsidRDefault="00E41438" w:rsidP="00D66738">
      <w:pPr>
        <w:spacing w:after="160"/>
        <w:jc w:val="both"/>
        <w:rPr>
          <w:rFonts w:ascii="Calibri" w:eastAsia="Calibri" w:hAnsi="Calibri" w:cs="Times New Roman"/>
          <w:szCs w:val="24"/>
        </w:rPr>
      </w:pPr>
      <w:r w:rsidRPr="00F209B7">
        <w:rPr>
          <w:rFonts w:ascii="Calibri" w:eastAsia="Calibri" w:hAnsi="Calibri" w:cs="Times New Roman"/>
          <w:szCs w:val="24"/>
        </w:rPr>
        <w:t xml:space="preserve">The costs, benefits and risks of options </w:t>
      </w:r>
      <w:r w:rsidR="00FA4353" w:rsidRPr="00F209B7">
        <w:rPr>
          <w:rFonts w:ascii="Calibri" w:eastAsia="Calibri" w:hAnsi="Calibri" w:cs="Times New Roman"/>
          <w:szCs w:val="24"/>
        </w:rPr>
        <w:t>are evaluated here.</w:t>
      </w:r>
    </w:p>
    <w:p w14:paraId="042E2428" w14:textId="78CD5377" w:rsidR="00E41438" w:rsidRPr="00A215BF" w:rsidRDefault="005773E0" w:rsidP="00D66738">
      <w:pPr>
        <w:pStyle w:val="Heading4"/>
        <w:numPr>
          <w:ilvl w:val="3"/>
          <w:numId w:val="133"/>
        </w:numPr>
        <w:jc w:val="both"/>
        <w:rPr>
          <w:rFonts w:eastAsia="Calibri"/>
        </w:rPr>
      </w:pPr>
      <w:r w:rsidRPr="00A215BF">
        <w:rPr>
          <w:rFonts w:eastAsia="Calibri"/>
        </w:rPr>
        <w:t>VAT refu</w:t>
      </w:r>
      <w:r w:rsidR="00FA4353" w:rsidRPr="00A215BF">
        <w:rPr>
          <w:rFonts w:eastAsia="Calibri"/>
        </w:rPr>
        <w:t>n</w:t>
      </w:r>
      <w:r w:rsidRPr="00A215BF">
        <w:rPr>
          <w:rFonts w:eastAsia="Calibri"/>
        </w:rPr>
        <w:t>d</w:t>
      </w:r>
      <w:r w:rsidR="00FA4353" w:rsidRPr="00A215BF">
        <w:rPr>
          <w:rFonts w:eastAsia="Calibri"/>
        </w:rPr>
        <w:t>s</w:t>
      </w:r>
      <w:r w:rsidR="00E41438" w:rsidRPr="00A215BF">
        <w:rPr>
          <w:rFonts w:eastAsia="Calibri"/>
        </w:rPr>
        <w:t xml:space="preserve"> </w:t>
      </w:r>
    </w:p>
    <w:p w14:paraId="62FE0B69" w14:textId="7EE54BFD" w:rsidR="005773E0" w:rsidRPr="00F209B7" w:rsidRDefault="005773E0" w:rsidP="00D66738">
      <w:pPr>
        <w:jc w:val="both"/>
      </w:pPr>
      <w:r w:rsidRPr="00F209B7">
        <w:t xml:space="preserve">The following options were assessed to address the challenges around </w:t>
      </w:r>
      <w:r>
        <w:t>VAT refunds</w:t>
      </w:r>
      <w:r w:rsidRPr="00F209B7">
        <w:t xml:space="preserve">. </w:t>
      </w:r>
    </w:p>
    <w:p w14:paraId="2F85B04E" w14:textId="77777777" w:rsidR="005773E0" w:rsidRPr="00F209B7" w:rsidRDefault="005773E0" w:rsidP="00D66738">
      <w:pPr>
        <w:pStyle w:val="ListParagraph"/>
        <w:numPr>
          <w:ilvl w:val="0"/>
          <w:numId w:val="32"/>
        </w:numPr>
        <w:jc w:val="both"/>
      </w:pPr>
      <w:r w:rsidRPr="00F209B7">
        <w:t xml:space="preserve">Option 1: Change procedures to require SARS to report progress on audits on small business at least every 21 days  </w:t>
      </w:r>
    </w:p>
    <w:p w14:paraId="36C96DF6" w14:textId="77777777" w:rsidR="005773E0" w:rsidRPr="00F209B7" w:rsidRDefault="005773E0" w:rsidP="00D66738">
      <w:pPr>
        <w:pStyle w:val="ListParagraph"/>
        <w:numPr>
          <w:ilvl w:val="0"/>
          <w:numId w:val="32"/>
        </w:numPr>
        <w:jc w:val="both"/>
      </w:pPr>
      <w:r w:rsidRPr="00F209B7">
        <w:t>Option 2: Change procedures to prioritise small business audits and refunds</w:t>
      </w:r>
    </w:p>
    <w:p w14:paraId="688C5719" w14:textId="77777777" w:rsidR="005773E0" w:rsidRPr="00F209B7" w:rsidRDefault="005773E0" w:rsidP="00D66738">
      <w:pPr>
        <w:pStyle w:val="ListParagraph"/>
        <w:numPr>
          <w:ilvl w:val="0"/>
          <w:numId w:val="32"/>
        </w:numPr>
        <w:jc w:val="both"/>
      </w:pPr>
      <w:r w:rsidRPr="00F209B7">
        <w:t>Option 3: Small businesses receive an automatic refund after a minimum period (e.g. 90 days)</w:t>
      </w:r>
    </w:p>
    <w:p w14:paraId="6B96FA08" w14:textId="35CBC888" w:rsidR="005773E0" w:rsidRPr="00F209B7" w:rsidRDefault="005773E0" w:rsidP="00D66738">
      <w:pPr>
        <w:jc w:val="both"/>
      </w:pPr>
      <w:r>
        <w:fldChar w:fldCharType="begin"/>
      </w:r>
      <w:r>
        <w:instrText xml:space="preserve"> REF _Ref479754655 \h </w:instrText>
      </w:r>
      <w:r w:rsidR="00D66738">
        <w:instrText xml:space="preserve"> \* MERGEFORMAT </w:instrText>
      </w:r>
      <w:r>
        <w:fldChar w:fldCharType="separate"/>
      </w:r>
      <w:r w:rsidR="005062E7" w:rsidRPr="000468A4">
        <w:t xml:space="preserve">Table </w:t>
      </w:r>
      <w:r w:rsidR="005062E7">
        <w:rPr>
          <w:noProof/>
        </w:rPr>
        <w:t>15</w:t>
      </w:r>
      <w:r>
        <w:fldChar w:fldCharType="end"/>
      </w:r>
      <w:r>
        <w:t xml:space="preserve"> </w:t>
      </w:r>
      <w:r w:rsidRPr="00F209B7">
        <w:t xml:space="preserve">indicates the main costs, benefits and risks to the key stakeholders – small business, </w:t>
      </w:r>
      <w:r>
        <w:t>SARS</w:t>
      </w:r>
      <w:r w:rsidRPr="00F209B7">
        <w:t xml:space="preserve"> and other stakeholders. </w:t>
      </w:r>
    </w:p>
    <w:p w14:paraId="5B1C2D2D" w14:textId="77777777" w:rsidR="005773E0" w:rsidRPr="005773E0" w:rsidRDefault="005773E0" w:rsidP="00D66738">
      <w:pPr>
        <w:jc w:val="both"/>
      </w:pPr>
    </w:p>
    <w:p w14:paraId="792DC75A" w14:textId="2966C5CD" w:rsidR="00E41438" w:rsidRPr="000468A4" w:rsidRDefault="00E41438" w:rsidP="00D66738">
      <w:pPr>
        <w:pStyle w:val="Caption"/>
        <w:jc w:val="both"/>
      </w:pPr>
      <w:bookmarkStart w:id="751" w:name="_Ref479754655"/>
      <w:bookmarkStart w:id="752" w:name="_Toc479940972"/>
      <w:r w:rsidRPr="000468A4">
        <w:lastRenderedPageBreak/>
        <w:t xml:space="preserve">Table </w:t>
      </w:r>
      <w:fldSimple w:instr=" SEQ Table \* ARABIC ">
        <w:r w:rsidR="005062E7">
          <w:rPr>
            <w:noProof/>
          </w:rPr>
          <w:t>15</w:t>
        </w:r>
      </w:fldSimple>
      <w:bookmarkEnd w:id="751"/>
      <w:r w:rsidRPr="000468A4">
        <w:t xml:space="preserve"> Costs, benefits and risks for VAT return issue</w:t>
      </w:r>
      <w:bookmarkEnd w:id="752"/>
    </w:p>
    <w:tbl>
      <w:tblPr>
        <w:tblStyle w:val="TableGrid"/>
        <w:tblW w:w="5000" w:type="pct"/>
        <w:tblLook w:val="04A0" w:firstRow="1" w:lastRow="0" w:firstColumn="1" w:lastColumn="0" w:noHBand="0" w:noVBand="1"/>
      </w:tblPr>
      <w:tblGrid>
        <w:gridCol w:w="1951"/>
        <w:gridCol w:w="1843"/>
        <w:gridCol w:w="2834"/>
        <w:gridCol w:w="2614"/>
      </w:tblGrid>
      <w:tr w:rsidR="00FA4353" w:rsidRPr="005773E0" w14:paraId="46F8DB36" w14:textId="77777777" w:rsidTr="005773E0">
        <w:trPr>
          <w:cantSplit/>
          <w:tblHeader/>
        </w:trPr>
        <w:tc>
          <w:tcPr>
            <w:tcW w:w="1056" w:type="pct"/>
            <w:vAlign w:val="bottom"/>
          </w:tcPr>
          <w:p w14:paraId="6C45CA11" w14:textId="77777777" w:rsidR="00FA4353" w:rsidRPr="005773E0" w:rsidRDefault="00FA4353" w:rsidP="00D66738">
            <w:pPr>
              <w:pStyle w:val="charts"/>
              <w:jc w:val="both"/>
              <w:rPr>
                <w:b/>
                <w:sz w:val="20"/>
              </w:rPr>
            </w:pPr>
            <w:r w:rsidRPr="005773E0">
              <w:rPr>
                <w:b/>
                <w:sz w:val="20"/>
              </w:rPr>
              <w:t>Delayed VAT refunds</w:t>
            </w:r>
          </w:p>
        </w:tc>
        <w:tc>
          <w:tcPr>
            <w:tcW w:w="997" w:type="pct"/>
            <w:vAlign w:val="bottom"/>
          </w:tcPr>
          <w:p w14:paraId="4C65F07A" w14:textId="77777777" w:rsidR="00FA4353" w:rsidRPr="005773E0" w:rsidRDefault="00FA4353" w:rsidP="00D66738">
            <w:pPr>
              <w:pStyle w:val="charts"/>
              <w:jc w:val="both"/>
              <w:rPr>
                <w:b/>
                <w:sz w:val="20"/>
              </w:rPr>
            </w:pPr>
            <w:r w:rsidRPr="005773E0">
              <w:rPr>
                <w:b/>
                <w:sz w:val="20"/>
              </w:rPr>
              <w:t>Small business</w:t>
            </w:r>
          </w:p>
        </w:tc>
        <w:tc>
          <w:tcPr>
            <w:tcW w:w="1533" w:type="pct"/>
            <w:vAlign w:val="bottom"/>
          </w:tcPr>
          <w:p w14:paraId="7DC74D5C" w14:textId="058EB5CC" w:rsidR="00FA4353" w:rsidRPr="005773E0" w:rsidRDefault="005773E0" w:rsidP="00D66738">
            <w:pPr>
              <w:pStyle w:val="charts"/>
              <w:jc w:val="both"/>
              <w:rPr>
                <w:b/>
                <w:sz w:val="20"/>
              </w:rPr>
            </w:pPr>
            <w:r w:rsidRPr="005773E0">
              <w:rPr>
                <w:b/>
                <w:sz w:val="20"/>
              </w:rPr>
              <w:t>SARS</w:t>
            </w:r>
          </w:p>
        </w:tc>
        <w:tc>
          <w:tcPr>
            <w:tcW w:w="1414" w:type="pct"/>
            <w:vAlign w:val="bottom"/>
          </w:tcPr>
          <w:p w14:paraId="61EFC8D7" w14:textId="77777777" w:rsidR="00FA4353" w:rsidRPr="005773E0" w:rsidRDefault="00FA4353" w:rsidP="00D66738">
            <w:pPr>
              <w:pStyle w:val="charts"/>
              <w:jc w:val="both"/>
              <w:rPr>
                <w:b/>
                <w:sz w:val="20"/>
              </w:rPr>
            </w:pPr>
            <w:r w:rsidRPr="005773E0">
              <w:rPr>
                <w:b/>
                <w:sz w:val="20"/>
              </w:rPr>
              <w:t>Other stakeholders (workers and other companies)</w:t>
            </w:r>
          </w:p>
        </w:tc>
      </w:tr>
      <w:tr w:rsidR="00FA4353" w:rsidRPr="005773E0" w14:paraId="72279231" w14:textId="77777777" w:rsidTr="005773E0">
        <w:trPr>
          <w:cantSplit/>
        </w:trPr>
        <w:tc>
          <w:tcPr>
            <w:tcW w:w="1056" w:type="pct"/>
          </w:tcPr>
          <w:p w14:paraId="53FE912A" w14:textId="77777777" w:rsidR="00FA4353" w:rsidRPr="005773E0" w:rsidRDefault="00FA4353" w:rsidP="00D66738">
            <w:pPr>
              <w:pStyle w:val="charts"/>
              <w:spacing w:after="120"/>
              <w:jc w:val="both"/>
              <w:rPr>
                <w:sz w:val="20"/>
              </w:rPr>
            </w:pPr>
            <w:r w:rsidRPr="005773E0">
              <w:rPr>
                <w:sz w:val="20"/>
              </w:rPr>
              <w:t xml:space="preserve">Option 1: Change procedures to require SARS to report progress on audits on small business at least every 21 days  </w:t>
            </w:r>
          </w:p>
        </w:tc>
        <w:tc>
          <w:tcPr>
            <w:tcW w:w="997" w:type="pct"/>
          </w:tcPr>
          <w:p w14:paraId="6813DD55" w14:textId="77777777" w:rsidR="00FA4353" w:rsidRPr="005773E0" w:rsidRDefault="00FA4353" w:rsidP="00D66738">
            <w:pPr>
              <w:pStyle w:val="charts"/>
              <w:spacing w:after="120"/>
              <w:jc w:val="both"/>
              <w:rPr>
                <w:sz w:val="20"/>
                <w:szCs w:val="20"/>
              </w:rPr>
            </w:pPr>
            <w:r w:rsidRPr="005773E0">
              <w:rPr>
                <w:sz w:val="20"/>
                <w:szCs w:val="20"/>
              </w:rPr>
              <w:t>C: Delays may persist</w:t>
            </w:r>
          </w:p>
          <w:p w14:paraId="5D1F075B" w14:textId="39B03B5D" w:rsidR="00FA4353" w:rsidRPr="005773E0" w:rsidRDefault="00FA4353" w:rsidP="00D66738">
            <w:pPr>
              <w:pStyle w:val="charts"/>
              <w:spacing w:after="120"/>
              <w:jc w:val="both"/>
              <w:rPr>
                <w:sz w:val="20"/>
                <w:szCs w:val="20"/>
              </w:rPr>
            </w:pPr>
            <w:r w:rsidRPr="005773E0">
              <w:rPr>
                <w:sz w:val="20"/>
                <w:szCs w:val="20"/>
              </w:rPr>
              <w:t xml:space="preserve">B: Will assist small business </w:t>
            </w:r>
            <w:r w:rsidR="005773E0">
              <w:rPr>
                <w:sz w:val="20"/>
                <w:szCs w:val="20"/>
              </w:rPr>
              <w:t xml:space="preserve">to </w:t>
            </w:r>
            <w:r w:rsidRPr="005773E0">
              <w:rPr>
                <w:sz w:val="20"/>
                <w:szCs w:val="20"/>
              </w:rPr>
              <w:t>plan for their cash flow and financial sustainability</w:t>
            </w:r>
          </w:p>
          <w:p w14:paraId="0A6A031B" w14:textId="77777777" w:rsidR="00FA4353" w:rsidRPr="005773E0" w:rsidRDefault="00F209B7" w:rsidP="00D66738">
            <w:pPr>
              <w:pStyle w:val="charts"/>
              <w:spacing w:after="120"/>
              <w:jc w:val="both"/>
              <w:rPr>
                <w:sz w:val="20"/>
                <w:szCs w:val="20"/>
              </w:rPr>
            </w:pPr>
            <w:r w:rsidRPr="005773E0">
              <w:rPr>
                <w:sz w:val="20"/>
                <w:szCs w:val="20"/>
              </w:rPr>
              <w:t>R: Communication may not provide useful information</w:t>
            </w:r>
          </w:p>
        </w:tc>
        <w:tc>
          <w:tcPr>
            <w:tcW w:w="1533" w:type="pct"/>
          </w:tcPr>
          <w:p w14:paraId="2005DC81" w14:textId="77777777" w:rsidR="00FA4353" w:rsidRPr="005773E0" w:rsidRDefault="00FA4353" w:rsidP="00D66738">
            <w:pPr>
              <w:pStyle w:val="charts"/>
              <w:spacing w:after="120"/>
              <w:jc w:val="both"/>
              <w:rPr>
                <w:sz w:val="20"/>
                <w:szCs w:val="20"/>
              </w:rPr>
            </w:pPr>
            <w:r w:rsidRPr="005773E0">
              <w:rPr>
                <w:sz w:val="20"/>
                <w:szCs w:val="20"/>
              </w:rPr>
              <w:t>C: Regular communications will require capacity</w:t>
            </w:r>
          </w:p>
          <w:p w14:paraId="1BE91576" w14:textId="77777777" w:rsidR="00FA4353" w:rsidRPr="005773E0" w:rsidRDefault="00FA4353" w:rsidP="00D66738">
            <w:pPr>
              <w:pStyle w:val="charts"/>
              <w:spacing w:after="120"/>
              <w:jc w:val="both"/>
              <w:rPr>
                <w:sz w:val="20"/>
                <w:szCs w:val="20"/>
              </w:rPr>
            </w:pPr>
            <w:r w:rsidRPr="005773E0">
              <w:rPr>
                <w:sz w:val="20"/>
                <w:szCs w:val="20"/>
              </w:rPr>
              <w:t>B: Less complaints from small business</w:t>
            </w:r>
          </w:p>
          <w:p w14:paraId="57E9061D" w14:textId="77777777" w:rsidR="00FA4353" w:rsidRPr="005773E0" w:rsidRDefault="00FA4353" w:rsidP="00D66738">
            <w:pPr>
              <w:pStyle w:val="charts"/>
              <w:spacing w:after="120"/>
              <w:jc w:val="both"/>
              <w:rPr>
                <w:sz w:val="20"/>
                <w:szCs w:val="20"/>
              </w:rPr>
            </w:pPr>
            <w:r w:rsidRPr="005773E0">
              <w:rPr>
                <w:sz w:val="20"/>
                <w:szCs w:val="20"/>
              </w:rPr>
              <w:t>R:Unable to keep to deadlines; incentive to avoid audits of small business</w:t>
            </w:r>
          </w:p>
        </w:tc>
        <w:tc>
          <w:tcPr>
            <w:tcW w:w="1414" w:type="pct"/>
          </w:tcPr>
          <w:p w14:paraId="219C73DC" w14:textId="68B16E9F" w:rsidR="00FA4353" w:rsidRPr="005773E0" w:rsidRDefault="00FA4353" w:rsidP="00D66738">
            <w:pPr>
              <w:pStyle w:val="charts"/>
              <w:spacing w:after="120"/>
              <w:jc w:val="both"/>
              <w:rPr>
                <w:sz w:val="20"/>
                <w:szCs w:val="20"/>
              </w:rPr>
            </w:pPr>
            <w:r w:rsidRPr="005773E0">
              <w:rPr>
                <w:sz w:val="20"/>
                <w:szCs w:val="20"/>
              </w:rPr>
              <w:t xml:space="preserve">C: </w:t>
            </w:r>
            <w:r w:rsidR="005773E0">
              <w:rPr>
                <w:sz w:val="20"/>
                <w:szCs w:val="20"/>
              </w:rPr>
              <w:t>None</w:t>
            </w:r>
          </w:p>
          <w:p w14:paraId="0A1572ED" w14:textId="77777777" w:rsidR="00FA4353" w:rsidRPr="005773E0" w:rsidRDefault="00FA4353" w:rsidP="00D66738">
            <w:pPr>
              <w:pStyle w:val="charts"/>
              <w:spacing w:after="120"/>
              <w:jc w:val="both"/>
              <w:rPr>
                <w:sz w:val="20"/>
                <w:szCs w:val="20"/>
              </w:rPr>
            </w:pPr>
            <w:r w:rsidRPr="005773E0">
              <w:rPr>
                <w:sz w:val="20"/>
                <w:szCs w:val="20"/>
              </w:rPr>
              <w:t>B: Stronger small business sector helps grow society; may spill over into general improvement in SARS accountability around audits</w:t>
            </w:r>
          </w:p>
          <w:p w14:paraId="73E6A3D2" w14:textId="79EDAACA" w:rsidR="00FA4353" w:rsidRPr="005773E0" w:rsidRDefault="00FA4353" w:rsidP="00D66738">
            <w:pPr>
              <w:pStyle w:val="charts"/>
              <w:spacing w:after="120"/>
              <w:jc w:val="both"/>
              <w:rPr>
                <w:sz w:val="20"/>
                <w:szCs w:val="20"/>
              </w:rPr>
            </w:pPr>
            <w:r w:rsidRPr="005773E0">
              <w:rPr>
                <w:sz w:val="20"/>
                <w:szCs w:val="20"/>
              </w:rPr>
              <w:t xml:space="preserve">R: </w:t>
            </w:r>
            <w:r w:rsidR="005773E0">
              <w:rPr>
                <w:sz w:val="20"/>
                <w:szCs w:val="20"/>
              </w:rPr>
              <w:t xml:space="preserve">Larger </w:t>
            </w:r>
            <w:r w:rsidR="005773E0" w:rsidRPr="005773E0">
              <w:rPr>
                <w:sz w:val="20"/>
                <w:szCs w:val="20"/>
              </w:rPr>
              <w:t>business</w:t>
            </w:r>
            <w:r w:rsidR="005773E0">
              <w:rPr>
                <w:sz w:val="20"/>
                <w:szCs w:val="20"/>
              </w:rPr>
              <w:t>es</w:t>
            </w:r>
            <w:r w:rsidR="005773E0" w:rsidRPr="005773E0">
              <w:rPr>
                <w:sz w:val="20"/>
                <w:szCs w:val="20"/>
              </w:rPr>
              <w:t xml:space="preserve"> may be subjected to delays if </w:t>
            </w:r>
            <w:r w:rsidR="005773E0">
              <w:rPr>
                <w:sz w:val="20"/>
                <w:szCs w:val="20"/>
              </w:rPr>
              <w:t>small business prioritised</w:t>
            </w:r>
          </w:p>
        </w:tc>
      </w:tr>
      <w:tr w:rsidR="00FA4353" w:rsidRPr="005773E0" w14:paraId="15B169C9" w14:textId="77777777" w:rsidTr="005773E0">
        <w:trPr>
          <w:cantSplit/>
        </w:trPr>
        <w:tc>
          <w:tcPr>
            <w:tcW w:w="1056" w:type="pct"/>
          </w:tcPr>
          <w:p w14:paraId="73205902" w14:textId="77777777" w:rsidR="00FA4353" w:rsidRPr="005773E0" w:rsidRDefault="00FA4353" w:rsidP="00D66738">
            <w:pPr>
              <w:pStyle w:val="charts"/>
              <w:spacing w:after="120"/>
              <w:jc w:val="both"/>
              <w:rPr>
                <w:sz w:val="20"/>
              </w:rPr>
            </w:pPr>
            <w:r w:rsidRPr="005773E0">
              <w:rPr>
                <w:sz w:val="20"/>
              </w:rPr>
              <w:t>Option 2: Change procedures to prioritise small business audits and refunds</w:t>
            </w:r>
          </w:p>
        </w:tc>
        <w:tc>
          <w:tcPr>
            <w:tcW w:w="997" w:type="pct"/>
          </w:tcPr>
          <w:p w14:paraId="3B03A1A1" w14:textId="77777777" w:rsidR="00FA4353" w:rsidRPr="005773E0" w:rsidRDefault="00FA4353" w:rsidP="00D66738">
            <w:pPr>
              <w:pStyle w:val="charts"/>
              <w:spacing w:after="120"/>
              <w:jc w:val="both"/>
              <w:rPr>
                <w:sz w:val="20"/>
                <w:szCs w:val="20"/>
              </w:rPr>
            </w:pPr>
            <w:r w:rsidRPr="005773E0">
              <w:rPr>
                <w:sz w:val="20"/>
                <w:szCs w:val="20"/>
              </w:rPr>
              <w:t>C: No costs</w:t>
            </w:r>
          </w:p>
          <w:p w14:paraId="155C79BA" w14:textId="77777777" w:rsidR="00FA4353" w:rsidRPr="005773E0" w:rsidRDefault="00FA4353" w:rsidP="00D66738">
            <w:pPr>
              <w:pStyle w:val="charts"/>
              <w:spacing w:after="120"/>
              <w:jc w:val="both"/>
              <w:rPr>
                <w:sz w:val="20"/>
                <w:szCs w:val="20"/>
              </w:rPr>
            </w:pPr>
            <w:r w:rsidRPr="005773E0">
              <w:rPr>
                <w:sz w:val="20"/>
                <w:szCs w:val="20"/>
              </w:rPr>
              <w:t>B: Better cash flow</w:t>
            </w:r>
          </w:p>
          <w:p w14:paraId="17B69F0D" w14:textId="77777777" w:rsidR="00FA4353" w:rsidRPr="005773E0" w:rsidRDefault="00FA4353" w:rsidP="00D66738">
            <w:pPr>
              <w:pStyle w:val="charts"/>
              <w:spacing w:after="120"/>
              <w:jc w:val="both"/>
              <w:rPr>
                <w:sz w:val="20"/>
                <w:szCs w:val="20"/>
              </w:rPr>
            </w:pPr>
            <w:r w:rsidRPr="005773E0">
              <w:rPr>
                <w:sz w:val="20"/>
                <w:szCs w:val="20"/>
              </w:rPr>
              <w:t>R: No risks</w:t>
            </w:r>
          </w:p>
        </w:tc>
        <w:tc>
          <w:tcPr>
            <w:tcW w:w="1533" w:type="pct"/>
          </w:tcPr>
          <w:p w14:paraId="54007E54" w14:textId="5597828D" w:rsidR="00FA4353" w:rsidRPr="005773E0" w:rsidRDefault="00FA4353" w:rsidP="00D66738">
            <w:pPr>
              <w:pStyle w:val="charts"/>
              <w:spacing w:after="120"/>
              <w:jc w:val="both"/>
              <w:rPr>
                <w:sz w:val="20"/>
                <w:szCs w:val="20"/>
              </w:rPr>
            </w:pPr>
            <w:r w:rsidRPr="005773E0">
              <w:rPr>
                <w:sz w:val="20"/>
                <w:szCs w:val="20"/>
              </w:rPr>
              <w:t>C: Change auditing procedures to</w:t>
            </w:r>
            <w:r w:rsidR="005773E0">
              <w:rPr>
                <w:sz w:val="20"/>
                <w:szCs w:val="20"/>
              </w:rPr>
              <w:t xml:space="preserve"> enable</w:t>
            </w:r>
            <w:r w:rsidRPr="005773E0">
              <w:rPr>
                <w:sz w:val="20"/>
                <w:szCs w:val="20"/>
              </w:rPr>
              <w:t xml:space="preserve"> priority </w:t>
            </w:r>
            <w:r w:rsidR="005773E0">
              <w:rPr>
                <w:sz w:val="20"/>
                <w:szCs w:val="20"/>
              </w:rPr>
              <w:t>for small business</w:t>
            </w:r>
          </w:p>
          <w:p w14:paraId="31FB36BB" w14:textId="77777777" w:rsidR="00FA4353" w:rsidRPr="005773E0" w:rsidRDefault="00FA4353" w:rsidP="00D66738">
            <w:pPr>
              <w:pStyle w:val="charts"/>
              <w:spacing w:after="120"/>
              <w:jc w:val="both"/>
              <w:rPr>
                <w:sz w:val="20"/>
                <w:szCs w:val="20"/>
              </w:rPr>
            </w:pPr>
            <w:r w:rsidRPr="005773E0">
              <w:rPr>
                <w:sz w:val="20"/>
                <w:szCs w:val="20"/>
              </w:rPr>
              <w:t xml:space="preserve">B: Less complaints from small business </w:t>
            </w:r>
          </w:p>
          <w:p w14:paraId="0D6F7216" w14:textId="77777777" w:rsidR="00FA4353" w:rsidRPr="005773E0" w:rsidRDefault="00FA4353" w:rsidP="00D66738">
            <w:pPr>
              <w:pStyle w:val="charts"/>
              <w:spacing w:after="120"/>
              <w:jc w:val="both"/>
              <w:rPr>
                <w:sz w:val="20"/>
                <w:szCs w:val="20"/>
              </w:rPr>
            </w:pPr>
            <w:r w:rsidRPr="005773E0">
              <w:rPr>
                <w:sz w:val="20"/>
                <w:szCs w:val="20"/>
              </w:rPr>
              <w:t>R:May receive more complaints from other taxpayers who feel discriminated against</w:t>
            </w:r>
          </w:p>
        </w:tc>
        <w:tc>
          <w:tcPr>
            <w:tcW w:w="1414" w:type="pct"/>
          </w:tcPr>
          <w:p w14:paraId="07787AC8" w14:textId="6F80684A" w:rsidR="00FA4353" w:rsidRPr="005773E0" w:rsidRDefault="00FA4353" w:rsidP="00D66738">
            <w:pPr>
              <w:pStyle w:val="charts"/>
              <w:spacing w:after="120"/>
              <w:jc w:val="both"/>
              <w:rPr>
                <w:sz w:val="20"/>
                <w:szCs w:val="20"/>
              </w:rPr>
            </w:pPr>
            <w:r w:rsidRPr="005773E0">
              <w:rPr>
                <w:sz w:val="20"/>
                <w:szCs w:val="20"/>
              </w:rPr>
              <w:t xml:space="preserve">C: </w:t>
            </w:r>
            <w:r w:rsidR="005773E0">
              <w:rPr>
                <w:sz w:val="20"/>
                <w:szCs w:val="20"/>
              </w:rPr>
              <w:t>None</w:t>
            </w:r>
          </w:p>
          <w:p w14:paraId="340AF464" w14:textId="77777777" w:rsidR="00FA4353" w:rsidRPr="005773E0" w:rsidRDefault="00FA4353" w:rsidP="00D66738">
            <w:pPr>
              <w:pStyle w:val="charts"/>
              <w:spacing w:after="120"/>
              <w:jc w:val="both"/>
              <w:rPr>
                <w:sz w:val="20"/>
                <w:szCs w:val="20"/>
              </w:rPr>
            </w:pPr>
            <w:r w:rsidRPr="005773E0">
              <w:rPr>
                <w:sz w:val="20"/>
                <w:szCs w:val="20"/>
              </w:rPr>
              <w:t>B: General benefits of growing small business sector</w:t>
            </w:r>
          </w:p>
          <w:p w14:paraId="234E80D6" w14:textId="77777777" w:rsidR="00FA4353" w:rsidRPr="005773E0" w:rsidRDefault="00FA4353" w:rsidP="00D66738">
            <w:pPr>
              <w:pStyle w:val="charts"/>
              <w:spacing w:after="120"/>
              <w:jc w:val="both"/>
              <w:rPr>
                <w:sz w:val="20"/>
                <w:szCs w:val="20"/>
              </w:rPr>
            </w:pPr>
            <w:r w:rsidRPr="005773E0">
              <w:rPr>
                <w:sz w:val="20"/>
                <w:szCs w:val="20"/>
              </w:rPr>
              <w:t>R: Unless SARS gets more capacity, may end up with greater delays for medium and large businesses</w:t>
            </w:r>
          </w:p>
        </w:tc>
      </w:tr>
      <w:tr w:rsidR="00FA4353" w:rsidRPr="005773E0" w14:paraId="1B7FC909" w14:textId="77777777" w:rsidTr="005773E0">
        <w:trPr>
          <w:cantSplit/>
        </w:trPr>
        <w:tc>
          <w:tcPr>
            <w:tcW w:w="1056" w:type="pct"/>
          </w:tcPr>
          <w:p w14:paraId="523407E7" w14:textId="77777777" w:rsidR="00FA4353" w:rsidRPr="005773E0" w:rsidRDefault="00FA4353" w:rsidP="00D66738">
            <w:pPr>
              <w:pStyle w:val="charts"/>
              <w:spacing w:after="120"/>
              <w:jc w:val="both"/>
              <w:rPr>
                <w:sz w:val="20"/>
              </w:rPr>
            </w:pPr>
            <w:r w:rsidRPr="005773E0">
              <w:rPr>
                <w:sz w:val="20"/>
              </w:rPr>
              <w:t>Option 3: Small businesses receive an automatic refund after a minimum period (e.g. 90 days)</w:t>
            </w:r>
          </w:p>
        </w:tc>
        <w:tc>
          <w:tcPr>
            <w:tcW w:w="997" w:type="pct"/>
          </w:tcPr>
          <w:p w14:paraId="3120187D" w14:textId="77777777" w:rsidR="00FA4353" w:rsidRPr="005773E0" w:rsidRDefault="00FA4353" w:rsidP="00D66738">
            <w:pPr>
              <w:pStyle w:val="charts"/>
              <w:spacing w:after="120"/>
              <w:jc w:val="both"/>
              <w:rPr>
                <w:sz w:val="20"/>
                <w:szCs w:val="20"/>
              </w:rPr>
            </w:pPr>
            <w:r w:rsidRPr="005773E0">
              <w:rPr>
                <w:sz w:val="20"/>
                <w:szCs w:val="20"/>
              </w:rPr>
              <w:t>C: No costs</w:t>
            </w:r>
          </w:p>
          <w:p w14:paraId="375838A5" w14:textId="77777777" w:rsidR="00FA4353" w:rsidRPr="005773E0" w:rsidRDefault="00FA4353" w:rsidP="00D66738">
            <w:pPr>
              <w:pStyle w:val="charts"/>
              <w:spacing w:after="120"/>
              <w:jc w:val="both"/>
              <w:rPr>
                <w:sz w:val="20"/>
                <w:szCs w:val="20"/>
              </w:rPr>
            </w:pPr>
            <w:r w:rsidRPr="005773E0">
              <w:rPr>
                <w:sz w:val="20"/>
                <w:szCs w:val="20"/>
              </w:rPr>
              <w:t>B: Guaranteed refund by 90 days</w:t>
            </w:r>
          </w:p>
          <w:p w14:paraId="4E81E57C" w14:textId="77777777" w:rsidR="00FA4353" w:rsidRPr="005773E0" w:rsidRDefault="00FA4353" w:rsidP="00D66738">
            <w:pPr>
              <w:pStyle w:val="charts"/>
              <w:spacing w:after="120"/>
              <w:jc w:val="both"/>
              <w:rPr>
                <w:sz w:val="20"/>
                <w:szCs w:val="20"/>
              </w:rPr>
            </w:pPr>
            <w:r w:rsidRPr="005773E0">
              <w:rPr>
                <w:sz w:val="20"/>
                <w:szCs w:val="20"/>
              </w:rPr>
              <w:t>R: May have to pay back when SARS completes audit, which could be disruptive</w:t>
            </w:r>
          </w:p>
        </w:tc>
        <w:tc>
          <w:tcPr>
            <w:tcW w:w="1533" w:type="pct"/>
          </w:tcPr>
          <w:p w14:paraId="684DB430" w14:textId="77777777" w:rsidR="00FA4353" w:rsidRPr="005773E0" w:rsidRDefault="00FA4353" w:rsidP="00D66738">
            <w:pPr>
              <w:pStyle w:val="charts"/>
              <w:spacing w:after="120"/>
              <w:jc w:val="both"/>
              <w:rPr>
                <w:sz w:val="20"/>
                <w:szCs w:val="20"/>
              </w:rPr>
            </w:pPr>
            <w:r w:rsidRPr="005773E0">
              <w:rPr>
                <w:sz w:val="20"/>
                <w:szCs w:val="20"/>
              </w:rPr>
              <w:t>C: Cash flow pressure; cost of recovering refunds if audit shows were mistaken</w:t>
            </w:r>
          </w:p>
          <w:p w14:paraId="08069618" w14:textId="2C2DD113" w:rsidR="00FA4353" w:rsidRPr="005773E0" w:rsidRDefault="00FA4353" w:rsidP="00D66738">
            <w:pPr>
              <w:pStyle w:val="charts"/>
              <w:spacing w:after="120"/>
              <w:jc w:val="both"/>
              <w:rPr>
                <w:sz w:val="20"/>
                <w:szCs w:val="20"/>
              </w:rPr>
            </w:pPr>
            <w:r w:rsidRPr="005773E0">
              <w:rPr>
                <w:sz w:val="20"/>
                <w:szCs w:val="20"/>
              </w:rPr>
              <w:t>B: Less complaints from small business</w:t>
            </w:r>
            <w:r w:rsidR="005773E0">
              <w:rPr>
                <w:sz w:val="20"/>
                <w:szCs w:val="20"/>
              </w:rPr>
              <w:t xml:space="preserve"> about audit process</w:t>
            </w:r>
          </w:p>
          <w:p w14:paraId="7FB8C578" w14:textId="77777777" w:rsidR="00FA4353" w:rsidRPr="005773E0" w:rsidRDefault="00FA4353" w:rsidP="00D66738">
            <w:pPr>
              <w:pStyle w:val="charts"/>
              <w:spacing w:after="120"/>
              <w:jc w:val="both"/>
              <w:rPr>
                <w:sz w:val="20"/>
                <w:szCs w:val="20"/>
              </w:rPr>
            </w:pPr>
            <w:r w:rsidRPr="005773E0">
              <w:rPr>
                <w:sz w:val="20"/>
                <w:szCs w:val="20"/>
              </w:rPr>
              <w:t>R:Lower net revenues from small business; greater fraud</w:t>
            </w:r>
          </w:p>
        </w:tc>
        <w:tc>
          <w:tcPr>
            <w:tcW w:w="1414" w:type="pct"/>
          </w:tcPr>
          <w:p w14:paraId="6E7C99FB" w14:textId="77777777" w:rsidR="00FA4353" w:rsidRPr="005773E0" w:rsidRDefault="00FA4353" w:rsidP="00D66738">
            <w:pPr>
              <w:pStyle w:val="charts"/>
              <w:spacing w:after="120"/>
              <w:jc w:val="both"/>
              <w:rPr>
                <w:sz w:val="20"/>
                <w:szCs w:val="20"/>
              </w:rPr>
            </w:pPr>
            <w:r w:rsidRPr="005773E0">
              <w:rPr>
                <w:sz w:val="20"/>
                <w:szCs w:val="20"/>
              </w:rPr>
              <w:t>C: No costs</w:t>
            </w:r>
          </w:p>
          <w:p w14:paraId="07BF311E" w14:textId="77777777" w:rsidR="005773E0" w:rsidRPr="005773E0" w:rsidRDefault="00FA4353" w:rsidP="00D66738">
            <w:pPr>
              <w:pStyle w:val="charts"/>
              <w:spacing w:after="120"/>
              <w:jc w:val="both"/>
              <w:rPr>
                <w:sz w:val="20"/>
                <w:szCs w:val="20"/>
              </w:rPr>
            </w:pPr>
            <w:r w:rsidRPr="005773E0">
              <w:rPr>
                <w:sz w:val="20"/>
                <w:szCs w:val="20"/>
              </w:rPr>
              <w:t xml:space="preserve">B: </w:t>
            </w:r>
            <w:r w:rsidR="005773E0" w:rsidRPr="005773E0">
              <w:rPr>
                <w:sz w:val="20"/>
                <w:szCs w:val="20"/>
              </w:rPr>
              <w:t>General benefits of growing small business sector</w:t>
            </w:r>
          </w:p>
          <w:p w14:paraId="623161BF" w14:textId="77777777" w:rsidR="00FA4353" w:rsidRPr="005773E0" w:rsidRDefault="00FA4353" w:rsidP="00D66738">
            <w:pPr>
              <w:pStyle w:val="charts"/>
              <w:spacing w:after="120"/>
              <w:jc w:val="both"/>
              <w:rPr>
                <w:sz w:val="20"/>
                <w:szCs w:val="20"/>
              </w:rPr>
            </w:pPr>
            <w:r w:rsidRPr="005773E0">
              <w:rPr>
                <w:sz w:val="20"/>
                <w:szCs w:val="20"/>
              </w:rPr>
              <w:t>R: SARS uses mandatory refund as a reason to prioritise small business refunds over other taxpayers</w:t>
            </w:r>
          </w:p>
        </w:tc>
      </w:tr>
    </w:tbl>
    <w:p w14:paraId="12C3A8B7" w14:textId="77777777" w:rsidR="005773E0" w:rsidRDefault="00FA4353" w:rsidP="00D66738">
      <w:pPr>
        <w:jc w:val="both"/>
      </w:pPr>
      <w:r w:rsidRPr="00F209B7">
        <w:t xml:space="preserve">For VAT </w:t>
      </w:r>
      <w:r w:rsidR="005773E0">
        <w:t>r</w:t>
      </w:r>
      <w:r w:rsidRPr="00F209B7">
        <w:t>efunds</w:t>
      </w:r>
      <w:r w:rsidR="005773E0">
        <w:t>,</w:t>
      </w:r>
      <w:r w:rsidRPr="00F209B7">
        <w:t xml:space="preserve"> the preferred option is for small businesses to receive a mandatory refund after a certain period (e.g. 90 days) irrespective of an audit. The refund will assist with providing small business with cash flow and incentivising </w:t>
      </w:r>
      <w:r w:rsidR="005773E0">
        <w:t xml:space="preserve">SARS </w:t>
      </w:r>
      <w:r w:rsidRPr="00F209B7">
        <w:t xml:space="preserve">to be more efficient in processing audits and refunds. </w:t>
      </w:r>
    </w:p>
    <w:p w14:paraId="10502049" w14:textId="05B31544" w:rsidR="00FA4353" w:rsidRPr="00F209B7" w:rsidRDefault="00FA4353" w:rsidP="00D66738">
      <w:pPr>
        <w:jc w:val="both"/>
      </w:pPr>
      <w:r w:rsidRPr="00F209B7">
        <w:t>The</w:t>
      </w:r>
      <w:r w:rsidR="005773E0">
        <w:t xml:space="preserve"> main risks are that payments made before an audit is finalised may be difficult to recover, and that larger businesses end up with longer delays as SARS prioritises smaller ones. These risks would be mitigated if SARS sticks to the 90-day timeline for audits for small business. </w:t>
      </w:r>
    </w:p>
    <w:p w14:paraId="6CF344F8" w14:textId="77777777" w:rsidR="00E41438" w:rsidRDefault="00FA4353" w:rsidP="00D66738">
      <w:pPr>
        <w:pStyle w:val="Heading4"/>
        <w:jc w:val="both"/>
        <w:rPr>
          <w:rFonts w:eastAsia="Calibri"/>
        </w:rPr>
      </w:pPr>
      <w:r w:rsidRPr="00F209B7">
        <w:rPr>
          <w:rFonts w:eastAsia="Calibri"/>
        </w:rPr>
        <w:t>Reforming income tax for small business</w:t>
      </w:r>
    </w:p>
    <w:p w14:paraId="40BEFDCB" w14:textId="5D4742D6" w:rsidR="00B24F5F" w:rsidRPr="00F209B7" w:rsidRDefault="00B24F5F" w:rsidP="00D66738">
      <w:pPr>
        <w:jc w:val="both"/>
      </w:pPr>
      <w:r w:rsidRPr="00F209B7">
        <w:t xml:space="preserve">The following options were assessed to address the challenges around </w:t>
      </w:r>
      <w:r w:rsidR="0009398C">
        <w:t>the income-tax regime for small businesses</w:t>
      </w:r>
      <w:r w:rsidRPr="00F209B7">
        <w:t xml:space="preserve">. </w:t>
      </w:r>
    </w:p>
    <w:p w14:paraId="4CBC1031" w14:textId="77777777" w:rsidR="0009398C" w:rsidRPr="00F209B7" w:rsidRDefault="0009398C" w:rsidP="00D66738">
      <w:pPr>
        <w:jc w:val="both"/>
      </w:pPr>
      <w:r w:rsidRPr="00F209B7">
        <w:t>Option 1: Exempt micro businesses from income tax, but require formal micro-enterprise to register</w:t>
      </w:r>
    </w:p>
    <w:p w14:paraId="65C60F0D" w14:textId="77777777" w:rsidR="0009398C" w:rsidRPr="00F209B7" w:rsidRDefault="0009398C" w:rsidP="00D66738">
      <w:pPr>
        <w:jc w:val="both"/>
      </w:pPr>
      <w:r w:rsidRPr="00F209B7">
        <w:t>Option 2: Fix the turnover tax regime (ensuring effective taxation on Turnover tax rate is equivalent or lower than income tax method, not just lowering the compliance cost)</w:t>
      </w:r>
    </w:p>
    <w:p w14:paraId="7A3C4B19" w14:textId="77777777" w:rsidR="0009398C" w:rsidRPr="00F209B7" w:rsidRDefault="0009398C" w:rsidP="00D66738">
      <w:pPr>
        <w:jc w:val="both"/>
      </w:pPr>
      <w:r w:rsidRPr="00F209B7">
        <w:t>Option 3: Guaranteed tax rebate for small businesses below specified size</w:t>
      </w:r>
    </w:p>
    <w:p w14:paraId="06DB6DF9" w14:textId="65D8C6D9" w:rsidR="00B24F5F" w:rsidRPr="00F209B7" w:rsidRDefault="0009398C" w:rsidP="00D66738">
      <w:pPr>
        <w:jc w:val="both"/>
      </w:pPr>
      <w:r>
        <w:lastRenderedPageBreak/>
        <w:fldChar w:fldCharType="begin"/>
      </w:r>
      <w:r>
        <w:instrText xml:space="preserve"> REF _Ref479755040 \h </w:instrText>
      </w:r>
      <w:r w:rsidR="00D66738">
        <w:instrText xml:space="preserve"> \* MERGEFORMAT </w:instrText>
      </w:r>
      <w:r>
        <w:fldChar w:fldCharType="separate"/>
      </w:r>
      <w:r w:rsidR="005062E7" w:rsidRPr="000468A4">
        <w:t xml:space="preserve">Table </w:t>
      </w:r>
      <w:r w:rsidR="005062E7">
        <w:rPr>
          <w:noProof/>
        </w:rPr>
        <w:t>16</w:t>
      </w:r>
      <w:r>
        <w:fldChar w:fldCharType="end"/>
      </w:r>
      <w:r>
        <w:t xml:space="preserve"> </w:t>
      </w:r>
      <w:r w:rsidR="00B24F5F" w:rsidRPr="00F209B7">
        <w:t xml:space="preserve">indicates the main costs, benefits and risks to the key stakeholders – small business, </w:t>
      </w:r>
      <w:r w:rsidR="00B24F5F">
        <w:t>SARS</w:t>
      </w:r>
      <w:r w:rsidR="00B24F5F" w:rsidRPr="00F209B7">
        <w:t xml:space="preserve"> and other stakeholders. </w:t>
      </w:r>
    </w:p>
    <w:p w14:paraId="29FEA7DD" w14:textId="77777777" w:rsidR="00B24F5F" w:rsidRPr="00B24F5F" w:rsidRDefault="00B24F5F" w:rsidP="00D66738">
      <w:pPr>
        <w:jc w:val="both"/>
      </w:pPr>
    </w:p>
    <w:p w14:paraId="4BA9BDA0" w14:textId="5C5EC0AC" w:rsidR="00E41438" w:rsidRPr="000468A4" w:rsidRDefault="00E41438" w:rsidP="00D66738">
      <w:pPr>
        <w:pStyle w:val="Caption"/>
        <w:jc w:val="both"/>
      </w:pPr>
      <w:bookmarkStart w:id="753" w:name="_Ref479755040"/>
      <w:bookmarkStart w:id="754" w:name="_Toc479940973"/>
      <w:r w:rsidRPr="000468A4">
        <w:t xml:space="preserve">Table </w:t>
      </w:r>
      <w:fldSimple w:instr=" SEQ Table \* ARABIC ">
        <w:r w:rsidR="005062E7">
          <w:rPr>
            <w:noProof/>
          </w:rPr>
          <w:t>16</w:t>
        </w:r>
      </w:fldSimple>
      <w:bookmarkEnd w:id="753"/>
      <w:r w:rsidR="0009398C">
        <w:t>.</w:t>
      </w:r>
      <w:r w:rsidRPr="000468A4">
        <w:t xml:space="preserve"> Costs, benefits and risks for Income tax for </w:t>
      </w:r>
      <w:r w:rsidR="00170B5A" w:rsidRPr="000468A4">
        <w:t>small business</w:t>
      </w:r>
      <w:bookmarkEnd w:id="754"/>
    </w:p>
    <w:tbl>
      <w:tblPr>
        <w:tblStyle w:val="TableGrid"/>
        <w:tblW w:w="5000" w:type="pct"/>
        <w:tblLook w:val="04A0" w:firstRow="1" w:lastRow="0" w:firstColumn="1" w:lastColumn="0" w:noHBand="0" w:noVBand="1"/>
      </w:tblPr>
      <w:tblGrid>
        <w:gridCol w:w="1668"/>
        <w:gridCol w:w="1701"/>
        <w:gridCol w:w="3383"/>
        <w:gridCol w:w="2490"/>
      </w:tblGrid>
      <w:tr w:rsidR="00FA4353" w:rsidRPr="0009398C" w14:paraId="44FD7586" w14:textId="77777777" w:rsidTr="0009398C">
        <w:trPr>
          <w:cantSplit/>
          <w:tblHeader/>
        </w:trPr>
        <w:tc>
          <w:tcPr>
            <w:tcW w:w="902" w:type="pct"/>
            <w:vAlign w:val="bottom"/>
          </w:tcPr>
          <w:p w14:paraId="49DC93BE" w14:textId="77777777" w:rsidR="00FA4353" w:rsidRPr="0009398C" w:rsidRDefault="00FA4353" w:rsidP="00D66738">
            <w:pPr>
              <w:pStyle w:val="charts"/>
              <w:jc w:val="both"/>
              <w:rPr>
                <w:b/>
                <w:sz w:val="20"/>
              </w:rPr>
            </w:pPr>
            <w:r w:rsidRPr="0009398C">
              <w:rPr>
                <w:b/>
                <w:sz w:val="20"/>
              </w:rPr>
              <w:t>Income Tax for small business</w:t>
            </w:r>
          </w:p>
        </w:tc>
        <w:tc>
          <w:tcPr>
            <w:tcW w:w="920" w:type="pct"/>
            <w:vAlign w:val="bottom"/>
          </w:tcPr>
          <w:p w14:paraId="2E1CBA17" w14:textId="7551C6D2" w:rsidR="00FA4353" w:rsidRPr="0009398C" w:rsidRDefault="0009398C" w:rsidP="00D66738">
            <w:pPr>
              <w:pStyle w:val="charts"/>
              <w:jc w:val="both"/>
              <w:rPr>
                <w:b/>
                <w:sz w:val="20"/>
              </w:rPr>
            </w:pPr>
            <w:r>
              <w:rPr>
                <w:b/>
                <w:sz w:val="20"/>
              </w:rPr>
              <w:t>S</w:t>
            </w:r>
            <w:r w:rsidR="00FA4353" w:rsidRPr="0009398C">
              <w:rPr>
                <w:b/>
                <w:sz w:val="20"/>
              </w:rPr>
              <w:t>mall business</w:t>
            </w:r>
          </w:p>
        </w:tc>
        <w:tc>
          <w:tcPr>
            <w:tcW w:w="1830" w:type="pct"/>
            <w:vAlign w:val="bottom"/>
          </w:tcPr>
          <w:p w14:paraId="1F1BC492" w14:textId="7F1CC542" w:rsidR="00FA4353" w:rsidRPr="0009398C" w:rsidRDefault="0009398C" w:rsidP="00D66738">
            <w:pPr>
              <w:pStyle w:val="charts"/>
              <w:jc w:val="both"/>
              <w:rPr>
                <w:b/>
                <w:sz w:val="20"/>
              </w:rPr>
            </w:pPr>
            <w:r w:rsidRPr="0009398C">
              <w:rPr>
                <w:b/>
                <w:sz w:val="20"/>
              </w:rPr>
              <w:t>SARS</w:t>
            </w:r>
          </w:p>
        </w:tc>
        <w:tc>
          <w:tcPr>
            <w:tcW w:w="1347" w:type="pct"/>
            <w:vAlign w:val="bottom"/>
          </w:tcPr>
          <w:p w14:paraId="0750E212" w14:textId="77777777" w:rsidR="00FA4353" w:rsidRPr="0009398C" w:rsidRDefault="00FA4353" w:rsidP="00D66738">
            <w:pPr>
              <w:pStyle w:val="charts"/>
              <w:jc w:val="both"/>
              <w:rPr>
                <w:b/>
                <w:sz w:val="20"/>
              </w:rPr>
            </w:pPr>
            <w:r w:rsidRPr="0009398C">
              <w:rPr>
                <w:b/>
                <w:sz w:val="20"/>
              </w:rPr>
              <w:t>Other stakeholders (workers and other companies)</w:t>
            </w:r>
          </w:p>
        </w:tc>
      </w:tr>
      <w:tr w:rsidR="00FA4353" w:rsidRPr="0009398C" w14:paraId="73DB1EC5" w14:textId="77777777" w:rsidTr="0009398C">
        <w:trPr>
          <w:cantSplit/>
        </w:trPr>
        <w:tc>
          <w:tcPr>
            <w:tcW w:w="902" w:type="pct"/>
          </w:tcPr>
          <w:p w14:paraId="4A927D3B" w14:textId="77777777" w:rsidR="00FA4353" w:rsidRPr="0009398C" w:rsidRDefault="00FA4353" w:rsidP="00D66738">
            <w:pPr>
              <w:pStyle w:val="charts"/>
              <w:spacing w:after="120"/>
              <w:jc w:val="both"/>
              <w:rPr>
                <w:sz w:val="20"/>
              </w:rPr>
            </w:pPr>
            <w:r w:rsidRPr="0009398C">
              <w:rPr>
                <w:sz w:val="20"/>
              </w:rPr>
              <w:t>Option 1: Exempt micro businesses from income tax</w:t>
            </w:r>
            <w:r w:rsidR="00F95547" w:rsidRPr="0009398C">
              <w:rPr>
                <w:sz w:val="20"/>
              </w:rPr>
              <w:t>, but require formal micro-enterprise to register</w:t>
            </w:r>
          </w:p>
        </w:tc>
        <w:tc>
          <w:tcPr>
            <w:tcW w:w="920" w:type="pct"/>
          </w:tcPr>
          <w:p w14:paraId="70DB1B52" w14:textId="77777777" w:rsidR="00FA4353" w:rsidRPr="0009398C" w:rsidRDefault="00FA4353" w:rsidP="00D66738">
            <w:pPr>
              <w:pStyle w:val="charts"/>
              <w:spacing w:after="120"/>
              <w:jc w:val="both"/>
              <w:rPr>
                <w:sz w:val="20"/>
                <w:szCs w:val="20"/>
              </w:rPr>
            </w:pPr>
            <w:r w:rsidRPr="0009398C">
              <w:rPr>
                <w:sz w:val="20"/>
                <w:szCs w:val="20"/>
              </w:rPr>
              <w:t xml:space="preserve">C: </w:t>
            </w:r>
            <w:r w:rsidR="00F95547" w:rsidRPr="0009398C">
              <w:rPr>
                <w:sz w:val="20"/>
                <w:szCs w:val="20"/>
              </w:rPr>
              <w:t>Still have cost of registration</w:t>
            </w:r>
          </w:p>
          <w:p w14:paraId="20B3FF4B" w14:textId="77777777" w:rsidR="00FA4353" w:rsidRPr="0009398C" w:rsidRDefault="00FA4353" w:rsidP="00D66738">
            <w:pPr>
              <w:pStyle w:val="charts"/>
              <w:spacing w:after="120"/>
              <w:jc w:val="both"/>
              <w:rPr>
                <w:sz w:val="20"/>
                <w:szCs w:val="20"/>
              </w:rPr>
            </w:pPr>
            <w:r w:rsidRPr="0009398C">
              <w:rPr>
                <w:sz w:val="20"/>
                <w:szCs w:val="20"/>
              </w:rPr>
              <w:t>B: Will assist small business with cash flow and financial sustainability</w:t>
            </w:r>
          </w:p>
          <w:p w14:paraId="3455A64E" w14:textId="77777777" w:rsidR="00FA4353" w:rsidRPr="0009398C" w:rsidRDefault="00FA4353" w:rsidP="00D66738">
            <w:pPr>
              <w:pStyle w:val="charts"/>
              <w:spacing w:after="120"/>
              <w:jc w:val="both"/>
              <w:rPr>
                <w:sz w:val="20"/>
                <w:szCs w:val="20"/>
              </w:rPr>
            </w:pPr>
            <w:r w:rsidRPr="0009398C">
              <w:rPr>
                <w:sz w:val="20"/>
                <w:szCs w:val="20"/>
              </w:rPr>
              <w:t xml:space="preserve">R: </w:t>
            </w:r>
            <w:r w:rsidR="00F95547" w:rsidRPr="0009398C">
              <w:rPr>
                <w:sz w:val="20"/>
                <w:szCs w:val="20"/>
              </w:rPr>
              <w:t>None</w:t>
            </w:r>
          </w:p>
        </w:tc>
        <w:tc>
          <w:tcPr>
            <w:tcW w:w="1830" w:type="pct"/>
          </w:tcPr>
          <w:p w14:paraId="54D9D1CE" w14:textId="77777777" w:rsidR="00FA4353" w:rsidRPr="0009398C" w:rsidRDefault="00FA4353" w:rsidP="00D66738">
            <w:pPr>
              <w:pStyle w:val="charts"/>
              <w:spacing w:after="120"/>
              <w:jc w:val="both"/>
              <w:rPr>
                <w:sz w:val="20"/>
                <w:szCs w:val="20"/>
              </w:rPr>
            </w:pPr>
            <w:r w:rsidRPr="0009398C">
              <w:rPr>
                <w:sz w:val="20"/>
                <w:szCs w:val="20"/>
              </w:rPr>
              <w:t xml:space="preserve">C: Determine a suitable threshold for exemption; amend the schedule </w:t>
            </w:r>
          </w:p>
          <w:p w14:paraId="2CE06413" w14:textId="1C7AC225" w:rsidR="00FA4353" w:rsidRPr="0009398C" w:rsidRDefault="00F95547" w:rsidP="00D66738">
            <w:pPr>
              <w:pStyle w:val="charts"/>
              <w:spacing w:after="120"/>
              <w:jc w:val="both"/>
              <w:rPr>
                <w:sz w:val="20"/>
                <w:szCs w:val="20"/>
              </w:rPr>
            </w:pPr>
            <w:r w:rsidRPr="0009398C">
              <w:rPr>
                <w:sz w:val="20"/>
                <w:szCs w:val="20"/>
              </w:rPr>
              <w:t>Lower revenue:</w:t>
            </w:r>
            <w:r w:rsidR="0009398C">
              <w:rPr>
                <w:sz w:val="20"/>
                <w:szCs w:val="20"/>
              </w:rPr>
              <w:t xml:space="preserve"> </w:t>
            </w:r>
            <w:r w:rsidR="00FA4353" w:rsidRPr="0009398C">
              <w:rPr>
                <w:sz w:val="20"/>
                <w:szCs w:val="20"/>
              </w:rPr>
              <w:t>Companies</w:t>
            </w:r>
            <w:r w:rsidRPr="0009398C">
              <w:rPr>
                <w:sz w:val="20"/>
                <w:szCs w:val="20"/>
              </w:rPr>
              <w:t xml:space="preserve"> with less than R</w:t>
            </w:r>
            <w:r w:rsidR="00FA4353" w:rsidRPr="0009398C">
              <w:rPr>
                <w:sz w:val="20"/>
                <w:szCs w:val="20"/>
              </w:rPr>
              <w:t>1</w:t>
            </w:r>
            <w:r w:rsidRPr="0009398C">
              <w:rPr>
                <w:sz w:val="20"/>
                <w:szCs w:val="20"/>
              </w:rPr>
              <w:t xml:space="preserve"> </w:t>
            </w:r>
            <w:proofErr w:type="spellStart"/>
            <w:r w:rsidRPr="0009398C">
              <w:rPr>
                <w:sz w:val="20"/>
                <w:szCs w:val="20"/>
              </w:rPr>
              <w:t>mn</w:t>
            </w:r>
            <w:proofErr w:type="spellEnd"/>
            <w:r w:rsidR="00FA4353" w:rsidRPr="0009398C">
              <w:rPr>
                <w:sz w:val="20"/>
                <w:szCs w:val="20"/>
              </w:rPr>
              <w:t xml:space="preserve"> turnover </w:t>
            </w:r>
            <w:r w:rsidR="0009398C">
              <w:rPr>
                <w:sz w:val="20"/>
                <w:szCs w:val="20"/>
              </w:rPr>
              <w:t>contribute</w:t>
            </w:r>
            <w:r w:rsidR="00FA4353" w:rsidRPr="0009398C">
              <w:rPr>
                <w:sz w:val="20"/>
                <w:szCs w:val="20"/>
              </w:rPr>
              <w:t xml:space="preserve"> R6</w:t>
            </w:r>
            <w:r w:rsidR="0009398C">
              <w:rPr>
                <w:sz w:val="20"/>
                <w:szCs w:val="20"/>
              </w:rPr>
              <w:t>,1</w:t>
            </w:r>
            <w:r w:rsidRPr="0009398C">
              <w:rPr>
                <w:sz w:val="20"/>
                <w:szCs w:val="20"/>
              </w:rPr>
              <w:t xml:space="preserve"> </w:t>
            </w:r>
            <w:r w:rsidR="0009398C">
              <w:rPr>
                <w:sz w:val="20"/>
                <w:szCs w:val="20"/>
              </w:rPr>
              <w:t>b</w:t>
            </w:r>
            <w:r w:rsidRPr="0009398C">
              <w:rPr>
                <w:sz w:val="20"/>
                <w:szCs w:val="20"/>
              </w:rPr>
              <w:t>n</w:t>
            </w:r>
            <w:r w:rsidR="00FA4353" w:rsidRPr="0009398C">
              <w:rPr>
                <w:sz w:val="20"/>
                <w:szCs w:val="20"/>
              </w:rPr>
              <w:t xml:space="preserve"> or 4%</w:t>
            </w:r>
            <w:r w:rsidRPr="0009398C">
              <w:rPr>
                <w:sz w:val="20"/>
                <w:szCs w:val="20"/>
              </w:rPr>
              <w:t xml:space="preserve"> of </w:t>
            </w:r>
            <w:r w:rsidR="0009398C">
              <w:rPr>
                <w:sz w:val="20"/>
                <w:szCs w:val="20"/>
              </w:rPr>
              <w:t xml:space="preserve">CIT </w:t>
            </w:r>
            <w:r w:rsidRPr="0009398C">
              <w:rPr>
                <w:sz w:val="20"/>
                <w:szCs w:val="20"/>
              </w:rPr>
              <w:t>revenue</w:t>
            </w:r>
          </w:p>
          <w:p w14:paraId="376BEB9E" w14:textId="2F5FAD04" w:rsidR="00FA4353" w:rsidRPr="0009398C" w:rsidRDefault="0009398C" w:rsidP="00D66738">
            <w:pPr>
              <w:pStyle w:val="charts"/>
              <w:spacing w:after="120"/>
              <w:jc w:val="both"/>
              <w:rPr>
                <w:sz w:val="20"/>
                <w:szCs w:val="20"/>
              </w:rPr>
            </w:pPr>
            <w:r>
              <w:rPr>
                <w:sz w:val="20"/>
                <w:szCs w:val="20"/>
              </w:rPr>
              <w:t>B: Growth in small business and reduced admin costs for relatively little revenue</w:t>
            </w:r>
          </w:p>
          <w:p w14:paraId="423AE783" w14:textId="488A49D1" w:rsidR="00FA4353" w:rsidRPr="0009398C" w:rsidRDefault="00FA4353" w:rsidP="00D66738">
            <w:pPr>
              <w:pStyle w:val="charts"/>
              <w:spacing w:after="120"/>
              <w:jc w:val="both"/>
              <w:rPr>
                <w:sz w:val="20"/>
                <w:szCs w:val="20"/>
              </w:rPr>
            </w:pPr>
            <w:r w:rsidRPr="0009398C">
              <w:rPr>
                <w:sz w:val="20"/>
                <w:szCs w:val="20"/>
              </w:rPr>
              <w:t>R:</w:t>
            </w:r>
            <w:r w:rsidRPr="0009398C">
              <w:rPr>
                <w:sz w:val="20"/>
              </w:rPr>
              <w:t xml:space="preserve"> </w:t>
            </w:r>
            <w:r w:rsidRPr="0009398C">
              <w:rPr>
                <w:sz w:val="20"/>
                <w:szCs w:val="20"/>
              </w:rPr>
              <w:t xml:space="preserve">Could </w:t>
            </w:r>
            <w:r w:rsidR="00F95547" w:rsidRPr="0009398C">
              <w:rPr>
                <w:sz w:val="20"/>
                <w:szCs w:val="20"/>
              </w:rPr>
              <w:t xml:space="preserve">affect tax morality </w:t>
            </w:r>
            <w:r w:rsidR="0009398C">
              <w:rPr>
                <w:sz w:val="20"/>
                <w:szCs w:val="20"/>
              </w:rPr>
              <w:t>in business</w:t>
            </w:r>
            <w:r w:rsidR="00F95547" w:rsidRPr="0009398C">
              <w:rPr>
                <w:sz w:val="20"/>
                <w:szCs w:val="20"/>
              </w:rPr>
              <w:t>; even formal micro enterprise</w:t>
            </w:r>
            <w:r w:rsidR="0009398C">
              <w:rPr>
                <w:sz w:val="20"/>
                <w:szCs w:val="20"/>
              </w:rPr>
              <w:t>, some of which are highly profitable,</w:t>
            </w:r>
            <w:r w:rsidR="00F95547" w:rsidRPr="0009398C">
              <w:rPr>
                <w:sz w:val="20"/>
                <w:szCs w:val="20"/>
              </w:rPr>
              <w:t xml:space="preserve"> would end up paying less tax</w:t>
            </w:r>
          </w:p>
        </w:tc>
        <w:tc>
          <w:tcPr>
            <w:tcW w:w="1347" w:type="pct"/>
          </w:tcPr>
          <w:p w14:paraId="68D061A2" w14:textId="61A9A692" w:rsidR="00FA4353" w:rsidRPr="0009398C" w:rsidRDefault="00FA4353" w:rsidP="00D66738">
            <w:pPr>
              <w:pStyle w:val="charts"/>
              <w:spacing w:after="120"/>
              <w:jc w:val="both"/>
              <w:rPr>
                <w:sz w:val="20"/>
                <w:szCs w:val="20"/>
              </w:rPr>
            </w:pPr>
            <w:r w:rsidRPr="0009398C">
              <w:rPr>
                <w:sz w:val="20"/>
                <w:szCs w:val="20"/>
              </w:rPr>
              <w:t xml:space="preserve">C: </w:t>
            </w:r>
            <w:r w:rsidR="00F95547" w:rsidRPr="0009398C">
              <w:rPr>
                <w:sz w:val="20"/>
                <w:szCs w:val="20"/>
              </w:rPr>
              <w:t xml:space="preserve">4% increase in </w:t>
            </w:r>
            <w:r w:rsidR="0009398C">
              <w:rPr>
                <w:sz w:val="20"/>
                <w:szCs w:val="20"/>
              </w:rPr>
              <w:t xml:space="preserve">company </w:t>
            </w:r>
            <w:r w:rsidR="00F95547" w:rsidRPr="0009398C">
              <w:rPr>
                <w:sz w:val="20"/>
                <w:szCs w:val="20"/>
              </w:rPr>
              <w:t xml:space="preserve">tax required to offset </w:t>
            </w:r>
            <w:r w:rsidR="0009398C">
              <w:rPr>
                <w:sz w:val="20"/>
                <w:szCs w:val="20"/>
              </w:rPr>
              <w:t xml:space="preserve">loss of revenue from </w:t>
            </w:r>
            <w:r w:rsidR="00F95547" w:rsidRPr="0009398C">
              <w:rPr>
                <w:sz w:val="20"/>
                <w:szCs w:val="20"/>
              </w:rPr>
              <w:t>micro business</w:t>
            </w:r>
          </w:p>
          <w:p w14:paraId="1D3E63E9" w14:textId="7E9806F9" w:rsidR="00FA4353" w:rsidRPr="0009398C" w:rsidRDefault="00FA4353" w:rsidP="00D66738">
            <w:pPr>
              <w:pStyle w:val="charts"/>
              <w:spacing w:after="120"/>
              <w:jc w:val="both"/>
              <w:rPr>
                <w:sz w:val="20"/>
                <w:szCs w:val="20"/>
              </w:rPr>
            </w:pPr>
            <w:r w:rsidRPr="0009398C">
              <w:rPr>
                <w:sz w:val="20"/>
                <w:szCs w:val="20"/>
              </w:rPr>
              <w:t xml:space="preserve">B: </w:t>
            </w:r>
            <w:r w:rsidR="00F95547" w:rsidRPr="0009398C">
              <w:rPr>
                <w:sz w:val="20"/>
                <w:szCs w:val="20"/>
              </w:rPr>
              <w:t xml:space="preserve">Stronger formal micro enterprise might have </w:t>
            </w:r>
            <w:r w:rsidR="00876660" w:rsidRPr="0009398C">
              <w:rPr>
                <w:sz w:val="20"/>
                <w:szCs w:val="20"/>
              </w:rPr>
              <w:t>spill over</w:t>
            </w:r>
            <w:r w:rsidR="00F95547" w:rsidRPr="0009398C">
              <w:rPr>
                <w:sz w:val="20"/>
                <w:szCs w:val="20"/>
              </w:rPr>
              <w:t xml:space="preserve"> effects</w:t>
            </w:r>
          </w:p>
          <w:p w14:paraId="7D8BB63C" w14:textId="77777777" w:rsidR="00FA4353" w:rsidRPr="0009398C" w:rsidRDefault="00FA4353" w:rsidP="00D66738">
            <w:pPr>
              <w:pStyle w:val="charts"/>
              <w:spacing w:after="120"/>
              <w:jc w:val="both"/>
              <w:rPr>
                <w:sz w:val="20"/>
                <w:szCs w:val="20"/>
              </w:rPr>
            </w:pPr>
            <w:r w:rsidRPr="0009398C">
              <w:rPr>
                <w:sz w:val="20"/>
                <w:szCs w:val="20"/>
              </w:rPr>
              <w:t xml:space="preserve">R: </w:t>
            </w:r>
            <w:r w:rsidR="00F95547" w:rsidRPr="0009398C">
              <w:rPr>
                <w:sz w:val="20"/>
                <w:szCs w:val="20"/>
              </w:rPr>
              <w:t>Undermines tax morality; reduces redistribution as formal professionals might be exempt if threshold is up to R1 million</w:t>
            </w:r>
          </w:p>
        </w:tc>
      </w:tr>
      <w:tr w:rsidR="00FA4353" w:rsidRPr="0009398C" w14:paraId="575BAC90" w14:textId="77777777" w:rsidTr="0009398C">
        <w:trPr>
          <w:cantSplit/>
        </w:trPr>
        <w:tc>
          <w:tcPr>
            <w:tcW w:w="902" w:type="pct"/>
          </w:tcPr>
          <w:p w14:paraId="383858E3" w14:textId="103908B7" w:rsidR="00FA4353" w:rsidRPr="0009398C" w:rsidRDefault="00FA4353" w:rsidP="00D66738">
            <w:pPr>
              <w:pStyle w:val="charts"/>
              <w:spacing w:after="120"/>
              <w:jc w:val="both"/>
              <w:rPr>
                <w:sz w:val="20"/>
              </w:rPr>
            </w:pPr>
            <w:r w:rsidRPr="0009398C">
              <w:rPr>
                <w:sz w:val="20"/>
              </w:rPr>
              <w:t xml:space="preserve">Option 2: </w:t>
            </w:r>
            <w:r w:rsidR="0009398C">
              <w:rPr>
                <w:sz w:val="20"/>
              </w:rPr>
              <w:t>Relaunch the turnover tax regime to communicate that lower rates</w:t>
            </w:r>
            <w:r w:rsidRPr="0009398C">
              <w:rPr>
                <w:sz w:val="20"/>
              </w:rPr>
              <w:t xml:space="preserve"> </w:t>
            </w:r>
            <w:r w:rsidR="0009398C">
              <w:rPr>
                <w:sz w:val="20"/>
              </w:rPr>
              <w:t>now mean companies would not pay more tax</w:t>
            </w:r>
          </w:p>
        </w:tc>
        <w:tc>
          <w:tcPr>
            <w:tcW w:w="920" w:type="pct"/>
          </w:tcPr>
          <w:p w14:paraId="64B6D6E7" w14:textId="77777777" w:rsidR="00FA4353" w:rsidRPr="0009398C" w:rsidRDefault="00FA4353" w:rsidP="00D66738">
            <w:pPr>
              <w:pStyle w:val="charts"/>
              <w:spacing w:after="120"/>
              <w:jc w:val="both"/>
              <w:rPr>
                <w:sz w:val="20"/>
                <w:szCs w:val="20"/>
              </w:rPr>
            </w:pPr>
            <w:r w:rsidRPr="0009398C">
              <w:rPr>
                <w:sz w:val="20"/>
                <w:szCs w:val="20"/>
              </w:rPr>
              <w:t>C: Register for turnover tax</w:t>
            </w:r>
          </w:p>
          <w:p w14:paraId="555F3EF9" w14:textId="77777777" w:rsidR="00FA4353" w:rsidRPr="0009398C" w:rsidRDefault="00FA4353" w:rsidP="00D66738">
            <w:pPr>
              <w:pStyle w:val="charts"/>
              <w:spacing w:after="120"/>
              <w:jc w:val="both"/>
              <w:rPr>
                <w:sz w:val="20"/>
                <w:szCs w:val="20"/>
              </w:rPr>
            </w:pPr>
            <w:r w:rsidRPr="0009398C">
              <w:rPr>
                <w:sz w:val="20"/>
                <w:szCs w:val="20"/>
              </w:rPr>
              <w:t>B: Better cash flow</w:t>
            </w:r>
          </w:p>
          <w:p w14:paraId="41FFB53E" w14:textId="77777777" w:rsidR="00FA4353" w:rsidRPr="0009398C" w:rsidRDefault="00FA4353" w:rsidP="00D66738">
            <w:pPr>
              <w:pStyle w:val="charts"/>
              <w:spacing w:after="120"/>
              <w:jc w:val="both"/>
              <w:rPr>
                <w:sz w:val="20"/>
                <w:szCs w:val="20"/>
              </w:rPr>
            </w:pPr>
            <w:r w:rsidRPr="0009398C">
              <w:rPr>
                <w:sz w:val="20"/>
                <w:szCs w:val="20"/>
              </w:rPr>
              <w:t xml:space="preserve">R: </w:t>
            </w:r>
            <w:r w:rsidR="00F95547" w:rsidRPr="0009398C">
              <w:rPr>
                <w:sz w:val="20"/>
                <w:szCs w:val="20"/>
              </w:rPr>
              <w:t>Less space for deductions could mean some businesses end up with higher tax</w:t>
            </w:r>
          </w:p>
        </w:tc>
        <w:tc>
          <w:tcPr>
            <w:tcW w:w="1830" w:type="pct"/>
          </w:tcPr>
          <w:p w14:paraId="09D8DCC0" w14:textId="3928205A" w:rsidR="00FA4353" w:rsidRPr="0009398C" w:rsidRDefault="00FA4353" w:rsidP="00D66738">
            <w:pPr>
              <w:pStyle w:val="charts"/>
              <w:spacing w:after="120"/>
              <w:jc w:val="both"/>
              <w:rPr>
                <w:sz w:val="20"/>
                <w:szCs w:val="20"/>
              </w:rPr>
            </w:pPr>
            <w:r w:rsidRPr="0009398C">
              <w:rPr>
                <w:sz w:val="20"/>
                <w:szCs w:val="20"/>
              </w:rPr>
              <w:t xml:space="preserve">C: </w:t>
            </w:r>
            <w:r w:rsidR="0009398C">
              <w:rPr>
                <w:sz w:val="20"/>
                <w:szCs w:val="20"/>
              </w:rPr>
              <w:t>Communications drive; monitoring to ensure that in fact leads to lower taxes</w:t>
            </w:r>
          </w:p>
          <w:p w14:paraId="5F996154" w14:textId="148E0EC2" w:rsidR="00FA4353" w:rsidRPr="0009398C" w:rsidRDefault="00FA4353" w:rsidP="00D66738">
            <w:pPr>
              <w:pStyle w:val="charts"/>
              <w:spacing w:after="120"/>
              <w:jc w:val="both"/>
              <w:rPr>
                <w:sz w:val="20"/>
                <w:szCs w:val="20"/>
              </w:rPr>
            </w:pPr>
            <w:r w:rsidRPr="0009398C">
              <w:rPr>
                <w:sz w:val="20"/>
                <w:szCs w:val="20"/>
              </w:rPr>
              <w:t xml:space="preserve">B: </w:t>
            </w:r>
            <w:r w:rsidR="0009398C">
              <w:rPr>
                <w:sz w:val="20"/>
                <w:szCs w:val="20"/>
              </w:rPr>
              <w:t>I</w:t>
            </w:r>
            <w:r w:rsidRPr="0009398C">
              <w:rPr>
                <w:sz w:val="20"/>
                <w:szCs w:val="20"/>
              </w:rPr>
              <w:t>ncentivise small business to comply with tax registration</w:t>
            </w:r>
            <w:r w:rsidR="0009398C">
              <w:rPr>
                <w:sz w:val="20"/>
                <w:szCs w:val="20"/>
              </w:rPr>
              <w:t>; growth in small business; reduced admin costs for relatively little revenue</w:t>
            </w:r>
          </w:p>
          <w:p w14:paraId="1A37BA78" w14:textId="77777777" w:rsidR="00FA4353" w:rsidRPr="0009398C" w:rsidRDefault="00FA4353" w:rsidP="00D66738">
            <w:pPr>
              <w:pStyle w:val="charts"/>
              <w:spacing w:after="120"/>
              <w:jc w:val="both"/>
              <w:rPr>
                <w:sz w:val="20"/>
                <w:szCs w:val="20"/>
              </w:rPr>
            </w:pPr>
            <w:r w:rsidRPr="0009398C">
              <w:rPr>
                <w:sz w:val="20"/>
                <w:szCs w:val="20"/>
              </w:rPr>
              <w:t>R:May receive lower revenues</w:t>
            </w:r>
          </w:p>
        </w:tc>
        <w:tc>
          <w:tcPr>
            <w:tcW w:w="1347" w:type="pct"/>
          </w:tcPr>
          <w:p w14:paraId="66F95719" w14:textId="77777777" w:rsidR="00FA4353" w:rsidRPr="0009398C" w:rsidRDefault="00FA4353" w:rsidP="00D66738">
            <w:pPr>
              <w:pStyle w:val="charts"/>
              <w:spacing w:after="120"/>
              <w:jc w:val="both"/>
              <w:rPr>
                <w:sz w:val="20"/>
                <w:szCs w:val="20"/>
              </w:rPr>
            </w:pPr>
            <w:r w:rsidRPr="0009398C">
              <w:rPr>
                <w:sz w:val="20"/>
                <w:szCs w:val="20"/>
              </w:rPr>
              <w:t>C: No costs</w:t>
            </w:r>
          </w:p>
          <w:p w14:paraId="068F3B31" w14:textId="0AFD6EC3" w:rsidR="00FA4353" w:rsidRPr="0009398C" w:rsidRDefault="00FA4353" w:rsidP="00D66738">
            <w:pPr>
              <w:pStyle w:val="charts"/>
              <w:spacing w:after="120"/>
              <w:jc w:val="both"/>
              <w:rPr>
                <w:sz w:val="20"/>
                <w:szCs w:val="20"/>
              </w:rPr>
            </w:pPr>
            <w:r w:rsidRPr="0009398C">
              <w:rPr>
                <w:sz w:val="20"/>
                <w:szCs w:val="20"/>
              </w:rPr>
              <w:t xml:space="preserve">B: </w:t>
            </w:r>
            <w:r w:rsidR="00F95547" w:rsidRPr="0009398C">
              <w:rPr>
                <w:sz w:val="20"/>
                <w:szCs w:val="20"/>
              </w:rPr>
              <w:t xml:space="preserve">Growth in micro enterprise has </w:t>
            </w:r>
            <w:r w:rsidR="00876660" w:rsidRPr="0009398C">
              <w:rPr>
                <w:sz w:val="20"/>
                <w:szCs w:val="20"/>
              </w:rPr>
              <w:t>spill over</w:t>
            </w:r>
            <w:r w:rsidR="00F95547" w:rsidRPr="0009398C">
              <w:rPr>
                <w:sz w:val="20"/>
                <w:szCs w:val="20"/>
              </w:rPr>
              <w:t xml:space="preserve"> effects</w:t>
            </w:r>
          </w:p>
          <w:p w14:paraId="3FDE89DD" w14:textId="77777777" w:rsidR="00FA4353" w:rsidRPr="0009398C" w:rsidRDefault="00FA4353" w:rsidP="00D66738">
            <w:pPr>
              <w:pStyle w:val="charts"/>
              <w:spacing w:after="120"/>
              <w:jc w:val="both"/>
              <w:rPr>
                <w:sz w:val="20"/>
                <w:szCs w:val="20"/>
              </w:rPr>
            </w:pPr>
            <w:r w:rsidRPr="0009398C">
              <w:rPr>
                <w:sz w:val="20"/>
                <w:szCs w:val="20"/>
              </w:rPr>
              <w:t xml:space="preserve">R: </w:t>
            </w:r>
            <w:r w:rsidR="00F95547" w:rsidRPr="0009398C">
              <w:rPr>
                <w:sz w:val="20"/>
                <w:szCs w:val="20"/>
              </w:rPr>
              <w:t>If net revenue declines, end up with higher taxes</w:t>
            </w:r>
          </w:p>
        </w:tc>
      </w:tr>
      <w:tr w:rsidR="00FA4353" w:rsidRPr="0009398C" w14:paraId="47EE15DC" w14:textId="77777777" w:rsidTr="0009398C">
        <w:trPr>
          <w:cantSplit/>
        </w:trPr>
        <w:tc>
          <w:tcPr>
            <w:tcW w:w="902" w:type="pct"/>
          </w:tcPr>
          <w:p w14:paraId="72F802E0" w14:textId="77777777" w:rsidR="00FA4353" w:rsidRPr="0009398C" w:rsidRDefault="00FA4353" w:rsidP="00D66738">
            <w:pPr>
              <w:pStyle w:val="charts"/>
              <w:spacing w:after="120"/>
              <w:jc w:val="both"/>
              <w:rPr>
                <w:sz w:val="20"/>
              </w:rPr>
            </w:pPr>
            <w:r w:rsidRPr="0009398C">
              <w:rPr>
                <w:sz w:val="20"/>
              </w:rPr>
              <w:t>Option 3: Guaranteed tax rebate for small business</w:t>
            </w:r>
            <w:r w:rsidR="00F95547" w:rsidRPr="0009398C">
              <w:rPr>
                <w:sz w:val="20"/>
              </w:rPr>
              <w:t>es below specified size</w:t>
            </w:r>
          </w:p>
        </w:tc>
        <w:tc>
          <w:tcPr>
            <w:tcW w:w="920" w:type="pct"/>
          </w:tcPr>
          <w:p w14:paraId="2F93412A" w14:textId="77777777" w:rsidR="00FA4353" w:rsidRPr="0009398C" w:rsidRDefault="00FA4353" w:rsidP="00D66738">
            <w:pPr>
              <w:pStyle w:val="charts"/>
              <w:spacing w:after="120"/>
              <w:jc w:val="both"/>
              <w:rPr>
                <w:sz w:val="20"/>
                <w:szCs w:val="20"/>
              </w:rPr>
            </w:pPr>
            <w:r w:rsidRPr="0009398C">
              <w:rPr>
                <w:sz w:val="20"/>
                <w:szCs w:val="20"/>
              </w:rPr>
              <w:t>C: Register for income tax</w:t>
            </w:r>
          </w:p>
          <w:p w14:paraId="3F37B06A" w14:textId="77777777" w:rsidR="00FA4353" w:rsidRPr="0009398C" w:rsidRDefault="00FA4353" w:rsidP="00D66738">
            <w:pPr>
              <w:pStyle w:val="charts"/>
              <w:spacing w:after="120"/>
              <w:jc w:val="both"/>
              <w:rPr>
                <w:sz w:val="20"/>
                <w:szCs w:val="20"/>
              </w:rPr>
            </w:pPr>
            <w:r w:rsidRPr="0009398C">
              <w:rPr>
                <w:sz w:val="20"/>
                <w:szCs w:val="20"/>
              </w:rPr>
              <w:t>B: Better cash flow</w:t>
            </w:r>
          </w:p>
          <w:p w14:paraId="5677A946" w14:textId="77777777" w:rsidR="00FA4353" w:rsidRPr="0009398C" w:rsidRDefault="00FA4353" w:rsidP="00D66738">
            <w:pPr>
              <w:pStyle w:val="charts"/>
              <w:spacing w:after="120"/>
              <w:jc w:val="both"/>
              <w:rPr>
                <w:sz w:val="20"/>
                <w:szCs w:val="20"/>
              </w:rPr>
            </w:pPr>
            <w:r w:rsidRPr="0009398C">
              <w:rPr>
                <w:sz w:val="20"/>
                <w:szCs w:val="20"/>
              </w:rPr>
              <w:t>R: Refund delays could affect cash flow</w:t>
            </w:r>
          </w:p>
        </w:tc>
        <w:tc>
          <w:tcPr>
            <w:tcW w:w="1830" w:type="pct"/>
          </w:tcPr>
          <w:p w14:paraId="47A5C94E" w14:textId="77777777" w:rsidR="00FA4353" w:rsidRPr="0009398C" w:rsidRDefault="00FA4353" w:rsidP="00D66738">
            <w:pPr>
              <w:pStyle w:val="charts"/>
              <w:spacing w:after="120"/>
              <w:jc w:val="both"/>
              <w:rPr>
                <w:sz w:val="20"/>
                <w:szCs w:val="20"/>
              </w:rPr>
            </w:pPr>
            <w:r w:rsidRPr="0009398C">
              <w:rPr>
                <w:sz w:val="20"/>
                <w:szCs w:val="20"/>
              </w:rPr>
              <w:t>C: Determine threshold; amend the schedule</w:t>
            </w:r>
          </w:p>
          <w:p w14:paraId="40CCDDBA" w14:textId="77777777" w:rsidR="0009398C" w:rsidRPr="0009398C" w:rsidRDefault="00FA4353" w:rsidP="00D66738">
            <w:pPr>
              <w:pStyle w:val="charts"/>
              <w:spacing w:after="120"/>
              <w:jc w:val="both"/>
              <w:rPr>
                <w:sz w:val="20"/>
                <w:szCs w:val="20"/>
              </w:rPr>
            </w:pPr>
            <w:r w:rsidRPr="0009398C">
              <w:rPr>
                <w:sz w:val="20"/>
                <w:szCs w:val="20"/>
              </w:rPr>
              <w:t xml:space="preserve">B: </w:t>
            </w:r>
            <w:r w:rsidR="0009398C">
              <w:rPr>
                <w:sz w:val="20"/>
                <w:szCs w:val="20"/>
              </w:rPr>
              <w:t>I</w:t>
            </w:r>
            <w:r w:rsidR="0009398C" w:rsidRPr="0009398C">
              <w:rPr>
                <w:sz w:val="20"/>
                <w:szCs w:val="20"/>
              </w:rPr>
              <w:t>ncentivise small business to comply with tax registration</w:t>
            </w:r>
            <w:r w:rsidR="0009398C">
              <w:rPr>
                <w:sz w:val="20"/>
                <w:szCs w:val="20"/>
              </w:rPr>
              <w:t>; growth in small business; reduced admin costs for relatively little revenue</w:t>
            </w:r>
          </w:p>
          <w:p w14:paraId="374B4907" w14:textId="77777777" w:rsidR="00FA4353" w:rsidRPr="0009398C" w:rsidRDefault="00FA4353" w:rsidP="00D66738">
            <w:pPr>
              <w:pStyle w:val="charts"/>
              <w:spacing w:after="120"/>
              <w:jc w:val="both"/>
              <w:rPr>
                <w:sz w:val="20"/>
                <w:szCs w:val="20"/>
              </w:rPr>
            </w:pPr>
            <w:r w:rsidRPr="0009398C">
              <w:rPr>
                <w:sz w:val="20"/>
                <w:szCs w:val="20"/>
              </w:rPr>
              <w:t>R:Lower revenues from small business</w:t>
            </w:r>
          </w:p>
        </w:tc>
        <w:tc>
          <w:tcPr>
            <w:tcW w:w="1347" w:type="pct"/>
          </w:tcPr>
          <w:p w14:paraId="5E3D543A" w14:textId="796272B5" w:rsidR="00FA4353" w:rsidRPr="0009398C" w:rsidRDefault="00FA4353" w:rsidP="00D66738">
            <w:pPr>
              <w:pStyle w:val="charts"/>
              <w:spacing w:after="120"/>
              <w:jc w:val="both"/>
              <w:rPr>
                <w:sz w:val="20"/>
                <w:szCs w:val="20"/>
              </w:rPr>
            </w:pPr>
            <w:r w:rsidRPr="0009398C">
              <w:rPr>
                <w:sz w:val="20"/>
                <w:szCs w:val="20"/>
              </w:rPr>
              <w:t xml:space="preserve">C: </w:t>
            </w:r>
            <w:r w:rsidR="0009398C">
              <w:rPr>
                <w:sz w:val="20"/>
                <w:szCs w:val="20"/>
              </w:rPr>
              <w:t>Reduced revenue from small business leads to higher tax on others</w:t>
            </w:r>
          </w:p>
          <w:p w14:paraId="669B38AB" w14:textId="77777777" w:rsidR="0009398C" w:rsidRPr="0009398C" w:rsidRDefault="00FA4353" w:rsidP="00D66738">
            <w:pPr>
              <w:pStyle w:val="charts"/>
              <w:spacing w:after="120"/>
              <w:jc w:val="both"/>
              <w:rPr>
                <w:sz w:val="20"/>
                <w:szCs w:val="20"/>
              </w:rPr>
            </w:pPr>
            <w:r w:rsidRPr="0009398C">
              <w:rPr>
                <w:sz w:val="20"/>
                <w:szCs w:val="20"/>
              </w:rPr>
              <w:t xml:space="preserve">B: </w:t>
            </w:r>
            <w:r w:rsidR="0009398C" w:rsidRPr="0009398C">
              <w:rPr>
                <w:sz w:val="20"/>
                <w:szCs w:val="20"/>
              </w:rPr>
              <w:t>Growth in micro enterprise has spillover effects</w:t>
            </w:r>
          </w:p>
          <w:p w14:paraId="1975669B" w14:textId="77777777" w:rsidR="00FA4353" w:rsidRPr="0009398C" w:rsidRDefault="00FA4353" w:rsidP="00D66738">
            <w:pPr>
              <w:pStyle w:val="charts"/>
              <w:spacing w:after="120"/>
              <w:jc w:val="both"/>
              <w:rPr>
                <w:sz w:val="20"/>
                <w:szCs w:val="20"/>
              </w:rPr>
            </w:pPr>
            <w:r w:rsidRPr="0009398C">
              <w:rPr>
                <w:sz w:val="20"/>
                <w:szCs w:val="20"/>
              </w:rPr>
              <w:t>R: SARS uses mandatory refund, as a reason to prioritise small business refunds over other taxpayers</w:t>
            </w:r>
          </w:p>
        </w:tc>
      </w:tr>
    </w:tbl>
    <w:p w14:paraId="13C972B0" w14:textId="0BB8F16E" w:rsidR="00E41438" w:rsidRDefault="00E41438" w:rsidP="00D66738">
      <w:pPr>
        <w:jc w:val="both"/>
      </w:pPr>
      <w:r w:rsidRPr="00F209B7">
        <w:t xml:space="preserve">The preferred option is to </w:t>
      </w:r>
      <w:r w:rsidR="0009398C">
        <w:t>improve communication around</w:t>
      </w:r>
      <w:r w:rsidRPr="00F209B7">
        <w:t xml:space="preserve"> the Turnover Tax</w:t>
      </w:r>
      <w:r w:rsidR="0009398C">
        <w:t xml:space="preserve"> and monitor outcomes to ensure that it does not in fact entail higher tax payments</w:t>
      </w:r>
      <w:r w:rsidRPr="00F209B7">
        <w:t xml:space="preserve">. The system </w:t>
      </w:r>
      <w:r w:rsidR="0009398C">
        <w:t xml:space="preserve">originally sought to incentivise participation </w:t>
      </w:r>
      <w:r w:rsidRPr="00F209B7">
        <w:t xml:space="preserve">on the basis of lower tax compliance costs, as opposed to lower effective taxes. </w:t>
      </w:r>
      <w:r w:rsidR="0009398C">
        <w:t>S</w:t>
      </w:r>
      <w:r w:rsidR="00170B5A" w:rsidRPr="00F209B7">
        <w:t>mall business</w:t>
      </w:r>
      <w:r w:rsidR="0009398C">
        <w:t xml:space="preserve"> with high turnover </w:t>
      </w:r>
      <w:r w:rsidRPr="00F209B7">
        <w:t>but operational losses</w:t>
      </w:r>
      <w:r w:rsidR="0009398C">
        <w:t xml:space="preserve"> had</w:t>
      </w:r>
      <w:r w:rsidRPr="00F209B7">
        <w:t xml:space="preserve"> an incentive to opt for the </w:t>
      </w:r>
      <w:r w:rsidR="0009398C">
        <w:t>normal tax regime.</w:t>
      </w:r>
      <w:r w:rsidRPr="00F209B7">
        <w:t xml:space="preserve"> The </w:t>
      </w:r>
      <w:r w:rsidR="0009398C">
        <w:t xml:space="preserve">shift to a 3% rate two years ago aimed to address this problem, at least in part, by reducing the actual tax paid to no higher than the likely income tax. Improved communication of the new rates has to be bolstered by monitoring to enable further adjustments if required to avoid over-taxing micro enterprises. </w:t>
      </w:r>
    </w:p>
    <w:p w14:paraId="5112BA30" w14:textId="33A5A061" w:rsidR="0009398C" w:rsidRDefault="00777101" w:rsidP="00D66738">
      <w:pPr>
        <w:pStyle w:val="Heading4"/>
        <w:jc w:val="both"/>
      </w:pPr>
      <w:r>
        <w:lastRenderedPageBreak/>
        <w:t xml:space="preserve"> Stakeholder responses</w:t>
      </w:r>
    </w:p>
    <w:p w14:paraId="3C5B3EB4" w14:textId="295E8B04" w:rsidR="00674517" w:rsidRDefault="00674517" w:rsidP="00D66738">
      <w:pPr>
        <w:jc w:val="both"/>
      </w:pPr>
      <w:r>
        <w:t xml:space="preserve">Providing automatic VAT refunds if audits take too long shifts the administrative burden from small business to SARS. As such, it would certainly run into a degree of opposition, especially given SARS’s expressed concerns around VAT fraud. That said, although small businesses make up the vast majority of taxpaying companies, they account for only a very limited share of revenue. As such, it might be better for SARS to develop streamlined techniques for auditing them so that it can focus on the larger players where VAT fraud costs much more.  </w:t>
      </w:r>
    </w:p>
    <w:p w14:paraId="2B07F3DE" w14:textId="3F37E8D9" w:rsidR="00674517" w:rsidRPr="00674517" w:rsidRDefault="00674517" w:rsidP="00D66738">
      <w:pPr>
        <w:jc w:val="both"/>
      </w:pPr>
      <w:r>
        <w:t xml:space="preserve">The Turnover Tax proposal would require some effort by SARS to re-launch the system with the new rate, and to monitor returns to ensure that it has the desired effect of avoiding over-taxation of small business. The DSBD could assist with the re-launch costs and with on-going communication to small business about the new dispensation. </w:t>
      </w:r>
    </w:p>
    <w:p w14:paraId="324194A4" w14:textId="77777777" w:rsidR="00E41438" w:rsidRPr="00F209B7" w:rsidRDefault="00E41438" w:rsidP="00D66738">
      <w:pPr>
        <w:pStyle w:val="Heading2"/>
        <w:numPr>
          <w:ilvl w:val="1"/>
          <w:numId w:val="129"/>
        </w:numPr>
        <w:ind w:left="0" w:firstLine="0"/>
        <w:jc w:val="both"/>
      </w:pPr>
      <w:bookmarkStart w:id="755" w:name="_Toc469410874"/>
      <w:bookmarkStart w:id="756" w:name="_Toc469585751"/>
      <w:bookmarkStart w:id="757" w:name="_Toc479843924"/>
      <w:bookmarkStart w:id="758" w:name="_Toc479844548"/>
      <w:bookmarkStart w:id="759" w:name="_Toc479940878"/>
      <w:r w:rsidRPr="00F209B7">
        <w:t>Labour registration: UIF, the Compensation Fund</w:t>
      </w:r>
      <w:bookmarkEnd w:id="755"/>
      <w:bookmarkEnd w:id="756"/>
      <w:r w:rsidR="002D06E3" w:rsidRPr="00F209B7">
        <w:t xml:space="preserve"> and the skills levy</w:t>
      </w:r>
      <w:bookmarkEnd w:id="757"/>
      <w:bookmarkEnd w:id="758"/>
      <w:bookmarkEnd w:id="759"/>
    </w:p>
    <w:p w14:paraId="5EECB1D5" w14:textId="77777777" w:rsidR="00674517" w:rsidRDefault="002D06E3" w:rsidP="00D66738">
      <w:pPr>
        <w:jc w:val="both"/>
      </w:pPr>
      <w:r w:rsidRPr="00F209B7">
        <w:t xml:space="preserve">Labour laws generally seek to ensure that workers do not face dangerous or exploitative conditions. These laws have had a particularly substantial impact in South Africa because they sought explicitly to remedy abuses that had been normalised under apartheid. </w:t>
      </w:r>
    </w:p>
    <w:p w14:paraId="18F03517" w14:textId="396F32E3" w:rsidR="002D06E3" w:rsidRPr="00F209B7" w:rsidRDefault="002D06E3" w:rsidP="00D66738">
      <w:pPr>
        <w:jc w:val="both"/>
      </w:pPr>
      <w:r w:rsidRPr="00F209B7">
        <w:t>In this context,</w:t>
      </w:r>
      <w:r w:rsidR="007F2335" w:rsidRPr="00F209B7">
        <w:t xml:space="preserve"> employers are effectively required to help administer parts of the social security and skills development provisions – specifically the UIF, Compensation Fund and skills development systems. That in turn requires registration and reporting in each of these areas. </w:t>
      </w:r>
      <w:r w:rsidRPr="00F209B7">
        <w:t xml:space="preserve"> </w:t>
      </w:r>
    </w:p>
    <w:p w14:paraId="52318135" w14:textId="77777777" w:rsidR="002D06E3" w:rsidRPr="00F209B7" w:rsidRDefault="002D06E3" w:rsidP="00D66738">
      <w:pPr>
        <w:pStyle w:val="Heading3"/>
        <w:numPr>
          <w:ilvl w:val="2"/>
          <w:numId w:val="134"/>
        </w:numPr>
        <w:ind w:left="0" w:firstLine="0"/>
        <w:jc w:val="both"/>
      </w:pPr>
      <w:bookmarkStart w:id="760" w:name="_Toc479843925"/>
      <w:bookmarkStart w:id="761" w:name="_Toc479844549"/>
      <w:bookmarkStart w:id="762" w:name="_Toc479940879"/>
      <w:r w:rsidRPr="00F209B7">
        <w:t>The legislation</w:t>
      </w:r>
      <w:bookmarkEnd w:id="760"/>
      <w:bookmarkEnd w:id="761"/>
      <w:bookmarkEnd w:id="762"/>
      <w:r w:rsidRPr="00F209B7">
        <w:t xml:space="preserve"> </w:t>
      </w:r>
    </w:p>
    <w:p w14:paraId="50369D87" w14:textId="77777777" w:rsidR="00E41438" w:rsidRPr="00F209B7" w:rsidRDefault="002D06E3" w:rsidP="00D66738">
      <w:pPr>
        <w:jc w:val="both"/>
      </w:pPr>
      <w:r w:rsidRPr="00F209B7">
        <w:t>All employers are</w:t>
      </w:r>
      <w:r w:rsidR="00F95547" w:rsidRPr="00F209B7">
        <w:t xml:space="preserve"> required to</w:t>
      </w:r>
      <w:r w:rsidR="00E41438" w:rsidRPr="00F209B7">
        <w:t xml:space="preserve"> register </w:t>
      </w:r>
      <w:r w:rsidR="00F95547" w:rsidRPr="00F209B7">
        <w:t xml:space="preserve">for the UIF, the </w:t>
      </w:r>
      <w:r w:rsidR="00F209B7" w:rsidRPr="00F209B7">
        <w:t>Compensation</w:t>
      </w:r>
      <w:r w:rsidR="00F95547" w:rsidRPr="00F209B7">
        <w:t xml:space="preserve"> Fund and the Skills Development Levy</w:t>
      </w:r>
      <w:r w:rsidR="001D4A03" w:rsidRPr="00F209B7">
        <w:t xml:space="preserve"> and make regular payments to them</w:t>
      </w:r>
      <w:r w:rsidR="00F95547" w:rsidRPr="00F209B7">
        <w:t xml:space="preserve">. </w:t>
      </w:r>
      <w:r w:rsidR="00E41438" w:rsidRPr="00F209B7">
        <w:t xml:space="preserve">The </w:t>
      </w:r>
      <w:r w:rsidR="001D4A03" w:rsidRPr="00F209B7">
        <w:t>payments are governed by:</w:t>
      </w:r>
    </w:p>
    <w:p w14:paraId="5A4624A0" w14:textId="7DB4EF2C" w:rsidR="00E41438" w:rsidRPr="00F209B7" w:rsidRDefault="001D4A03" w:rsidP="00D66738">
      <w:pPr>
        <w:pStyle w:val="ListParagraph"/>
        <w:numPr>
          <w:ilvl w:val="0"/>
          <w:numId w:val="42"/>
        </w:numPr>
        <w:jc w:val="both"/>
      </w:pPr>
      <w:r w:rsidRPr="00F209B7">
        <w:t xml:space="preserve">The </w:t>
      </w:r>
      <w:r w:rsidR="00E41438" w:rsidRPr="00F209B7">
        <w:t>Unemployment Insurance Contributions Act of 2002</w:t>
      </w:r>
    </w:p>
    <w:p w14:paraId="4FF7ED22" w14:textId="71142FE4" w:rsidR="002D06E3" w:rsidRPr="00F209B7" w:rsidRDefault="002D06E3" w:rsidP="00D66738">
      <w:pPr>
        <w:pStyle w:val="ListParagraph"/>
        <w:numPr>
          <w:ilvl w:val="0"/>
          <w:numId w:val="42"/>
        </w:numPr>
        <w:jc w:val="both"/>
      </w:pPr>
      <w:r w:rsidRPr="00F209B7">
        <w:t>The Compensation for Occupational Injuries and Diseases Act (COIDA)</w:t>
      </w:r>
      <w:r w:rsidR="00674517">
        <w:t xml:space="preserve"> of 1993</w:t>
      </w:r>
      <w:r w:rsidRPr="00F209B7">
        <w:t xml:space="preserve"> </w:t>
      </w:r>
    </w:p>
    <w:p w14:paraId="7551177A" w14:textId="324743FA" w:rsidR="00E41438" w:rsidRPr="00F209B7" w:rsidRDefault="002D06E3" w:rsidP="00D66738">
      <w:pPr>
        <w:pStyle w:val="ListParagraph"/>
        <w:numPr>
          <w:ilvl w:val="0"/>
          <w:numId w:val="42"/>
        </w:numPr>
        <w:jc w:val="both"/>
      </w:pPr>
      <w:r w:rsidRPr="00F209B7">
        <w:t xml:space="preserve">The </w:t>
      </w:r>
      <w:r w:rsidR="00E41438" w:rsidRPr="00F209B7">
        <w:t>Skills Development Act of 1998</w:t>
      </w:r>
    </w:p>
    <w:p w14:paraId="42FE9343" w14:textId="5C896684" w:rsidR="002D06E3" w:rsidRPr="00F209B7" w:rsidRDefault="00674517" w:rsidP="00D66738">
      <w:pPr>
        <w:pStyle w:val="ListParagraph"/>
        <w:numPr>
          <w:ilvl w:val="0"/>
          <w:numId w:val="42"/>
        </w:numPr>
        <w:jc w:val="both"/>
      </w:pPr>
      <w:r>
        <w:t>Various tax laws</w:t>
      </w:r>
      <w:r w:rsidR="002D06E3" w:rsidRPr="00F209B7">
        <w:t xml:space="preserve">. </w:t>
      </w:r>
    </w:p>
    <w:p w14:paraId="3B645991" w14:textId="604707D1" w:rsidR="00D0644B" w:rsidRPr="00F209B7" w:rsidRDefault="00240665" w:rsidP="00D66738">
      <w:pPr>
        <w:jc w:val="both"/>
      </w:pPr>
      <w:r w:rsidRPr="00F209B7">
        <w:t xml:space="preserve">The UIF and </w:t>
      </w:r>
      <w:proofErr w:type="gramStart"/>
      <w:r w:rsidRPr="00F209B7">
        <w:t xml:space="preserve">the </w:t>
      </w:r>
      <w:r w:rsidR="00F209B7" w:rsidRPr="00F209B7">
        <w:t>Compensation</w:t>
      </w:r>
      <w:r w:rsidRPr="00F209B7">
        <w:t xml:space="preserve"> Fund are </w:t>
      </w:r>
      <w:r w:rsidR="001D4A03" w:rsidRPr="00F209B7">
        <w:t>managed by Commissioner</w:t>
      </w:r>
      <w:r w:rsidR="00674517">
        <w:t>s</w:t>
      </w:r>
      <w:proofErr w:type="gramEnd"/>
      <w:r w:rsidR="001D4A03" w:rsidRPr="00F209B7">
        <w:t xml:space="preserve"> appointed</w:t>
      </w:r>
      <w:r w:rsidRPr="00F209B7">
        <w:t xml:space="preserve"> by the Department of Labour</w:t>
      </w:r>
      <w:r w:rsidR="001D4A03" w:rsidRPr="00F209B7">
        <w:t>,</w:t>
      </w:r>
      <w:r w:rsidRPr="00F209B7">
        <w:t xml:space="preserve"> but have </w:t>
      </w:r>
      <w:r w:rsidR="001D4A03" w:rsidRPr="00F209B7">
        <w:t xml:space="preserve">strong advisory </w:t>
      </w:r>
      <w:r w:rsidRPr="00F209B7">
        <w:t>boards</w:t>
      </w:r>
      <w:r w:rsidR="001D4A03" w:rsidRPr="00F209B7">
        <w:t xml:space="preserve"> with labour and employer representation</w:t>
      </w:r>
      <w:r w:rsidRPr="00F209B7">
        <w:t xml:space="preserve">. </w:t>
      </w:r>
      <w:r w:rsidR="004C300A" w:rsidRPr="00F209B7">
        <w:t>The skills levies are paid to Sector Education and Training Authorities (SETAs)</w:t>
      </w:r>
      <w:r w:rsidR="00674517">
        <w:t xml:space="preserve">. They </w:t>
      </w:r>
      <w:r w:rsidR="004C300A" w:rsidRPr="00F209B7">
        <w:t xml:space="preserve">in turn pass some </w:t>
      </w:r>
      <w:r w:rsidR="00674517">
        <w:t xml:space="preserve">of the revenue </w:t>
      </w:r>
      <w:r w:rsidR="004C300A" w:rsidRPr="00F209B7">
        <w:t>on to the National Skills Fund</w:t>
      </w:r>
      <w:r w:rsidR="00674517">
        <w:t>,</w:t>
      </w:r>
      <w:r w:rsidR="004C300A" w:rsidRPr="00F209B7">
        <w:t xml:space="preserve"> and are expected to use the rest to pay for accredited training by registered employers. SETAs have tripartite boards</w:t>
      </w:r>
      <w:r w:rsidR="001D4A03" w:rsidRPr="00F209B7">
        <w:t xml:space="preserve"> that appoint the executives.</w:t>
      </w:r>
      <w:r w:rsidR="00D0644B" w:rsidRPr="00F209B7">
        <w:t xml:space="preserve"> </w:t>
      </w:r>
    </w:p>
    <w:p w14:paraId="13CCDC8E" w14:textId="77777777" w:rsidR="00D0644B" w:rsidRPr="00F209B7" w:rsidRDefault="00D0644B" w:rsidP="00D66738">
      <w:pPr>
        <w:jc w:val="both"/>
      </w:pPr>
      <w:r w:rsidRPr="00F209B7">
        <w:t>SARS collects the UIF and skills levies and transfers them to the relevant authorities. Payments are made together with PAYE.</w:t>
      </w:r>
      <w:r w:rsidR="00B071B0" w:rsidRPr="00F209B7">
        <w:t xml:space="preserve"> In contrast, the Compensation Fund treats its payments as insurance premiums that it levies directly. </w:t>
      </w:r>
      <w:r w:rsidRPr="00F209B7">
        <w:t xml:space="preserve"> </w:t>
      </w:r>
    </w:p>
    <w:p w14:paraId="3535F500" w14:textId="77777777" w:rsidR="001D4A03" w:rsidRPr="00F209B7" w:rsidRDefault="001D4A03" w:rsidP="00D66738">
      <w:pPr>
        <w:jc w:val="both"/>
      </w:pPr>
      <w:r w:rsidRPr="00F209B7">
        <w:t xml:space="preserve">The payments from </w:t>
      </w:r>
      <w:r w:rsidR="00D0644B" w:rsidRPr="00F209B7">
        <w:t xml:space="preserve">registered </w:t>
      </w:r>
      <w:r w:rsidRPr="00F209B7">
        <w:t>business</w:t>
      </w:r>
      <w:r w:rsidR="00D0644B" w:rsidRPr="00F209B7">
        <w:t>es</w:t>
      </w:r>
      <w:r w:rsidRPr="00F209B7">
        <w:t xml:space="preserve"> are:</w:t>
      </w:r>
    </w:p>
    <w:p w14:paraId="7204CA6D" w14:textId="77777777" w:rsidR="001D4A03" w:rsidRPr="00F209B7" w:rsidRDefault="001D4A03" w:rsidP="00D66738">
      <w:pPr>
        <w:pStyle w:val="ListParagraph"/>
        <w:numPr>
          <w:ilvl w:val="0"/>
          <w:numId w:val="45"/>
        </w:numPr>
        <w:jc w:val="both"/>
      </w:pPr>
      <w:r w:rsidRPr="00F209B7">
        <w:t>For the UIF, 1% of payroll each from employers and work</w:t>
      </w:r>
      <w:r w:rsidR="00D0644B" w:rsidRPr="00F209B7">
        <w:t>ers for virtually all employees, although tax is only levied on an employee’s earnings up to around R15 000 (as of 2016)</w:t>
      </w:r>
      <w:r w:rsidRPr="00F209B7">
        <w:t>;</w:t>
      </w:r>
    </w:p>
    <w:p w14:paraId="3CD6B81A" w14:textId="4D44A6A3" w:rsidR="001D4A03" w:rsidRPr="00F209B7" w:rsidRDefault="001D4A03" w:rsidP="00D66738">
      <w:pPr>
        <w:pStyle w:val="ListParagraph"/>
        <w:numPr>
          <w:ilvl w:val="0"/>
          <w:numId w:val="45"/>
        </w:numPr>
        <w:jc w:val="both"/>
      </w:pPr>
      <w:r w:rsidRPr="00F209B7">
        <w:lastRenderedPageBreak/>
        <w:t xml:space="preserve">For the Compensation Fund, an amount calculated based on payroll </w:t>
      </w:r>
      <w:r w:rsidR="00D0644B" w:rsidRPr="00F209B7">
        <w:t xml:space="preserve">times </w:t>
      </w:r>
      <w:r w:rsidRPr="00F209B7">
        <w:t xml:space="preserve">the assessed risk </w:t>
      </w:r>
      <w:r w:rsidR="00D0644B" w:rsidRPr="00F209B7">
        <w:t xml:space="preserve">factor </w:t>
      </w:r>
      <w:r w:rsidRPr="00F209B7">
        <w:t xml:space="preserve">by sector, </w:t>
      </w:r>
      <w:r w:rsidR="00674517">
        <w:t xml:space="preserve">but state </w:t>
      </w:r>
      <w:r w:rsidRPr="00F209B7">
        <w:t>employees</w:t>
      </w:r>
      <w:r w:rsidR="00674517">
        <w:t xml:space="preserve"> are exempt</w:t>
      </w:r>
      <w:r w:rsidRPr="00F209B7">
        <w:t>; and</w:t>
      </w:r>
    </w:p>
    <w:p w14:paraId="146184B5" w14:textId="77777777" w:rsidR="001D4A03" w:rsidRPr="00F209B7" w:rsidRDefault="000760CD" w:rsidP="00D66738">
      <w:pPr>
        <w:pStyle w:val="ListParagraph"/>
        <w:numPr>
          <w:ilvl w:val="0"/>
          <w:numId w:val="45"/>
        </w:numPr>
        <w:jc w:val="both"/>
      </w:pPr>
      <w:r w:rsidRPr="00F209B7">
        <w:t>For the skills levy, 1</w:t>
      </w:r>
      <w:r w:rsidR="001D4A03" w:rsidRPr="00F209B7">
        <w:t>% of payroll for all employees outside of government and domestic work</w:t>
      </w:r>
      <w:r w:rsidR="00D0644B" w:rsidRPr="00F209B7">
        <w:t>, and excluding employers who pay less than R500 000 in wages and salaries</w:t>
      </w:r>
      <w:r w:rsidR="001D4A03" w:rsidRPr="00F209B7">
        <w:t>.</w:t>
      </w:r>
    </w:p>
    <w:p w14:paraId="658385D0" w14:textId="35109AD1" w:rsidR="007047B1" w:rsidRPr="007C6456" w:rsidRDefault="007047B1" w:rsidP="00D66738">
      <w:pPr>
        <w:jc w:val="both"/>
        <w:rPr>
          <w:rFonts w:ascii="Calibri" w:eastAsia="Calibri" w:hAnsi="Calibri" w:cs="Times New Roman"/>
          <w:szCs w:val="24"/>
        </w:rPr>
      </w:pPr>
      <w:r w:rsidRPr="00F209B7">
        <w:rPr>
          <w:rFonts w:ascii="Calibri" w:eastAsia="Calibri" w:hAnsi="Calibri" w:cs="Times New Roman"/>
          <w:szCs w:val="24"/>
        </w:rPr>
        <w:t xml:space="preserve">Section 13 of the Unemployment Insurance Contributions Act allows the UIF to impose interest on late payments or default equal to up to 10% of the amount owed. Labour inspectors may investigate employers’ premises to confirm the returns are accurate. Section 17 permits a fine or maximum imprisonment of 12 months for </w:t>
      </w:r>
      <w:r w:rsidR="00674517">
        <w:rPr>
          <w:rFonts w:ascii="Calibri" w:eastAsia="Calibri" w:hAnsi="Calibri" w:cs="Times New Roman"/>
          <w:szCs w:val="24"/>
        </w:rPr>
        <w:t xml:space="preserve">illegally </w:t>
      </w:r>
      <w:r w:rsidRPr="00F209B7">
        <w:rPr>
          <w:rFonts w:ascii="Calibri" w:eastAsia="Calibri" w:hAnsi="Calibri" w:cs="Times New Roman"/>
          <w:szCs w:val="24"/>
        </w:rPr>
        <w:t>avoiding UIF payments</w:t>
      </w:r>
      <w:r w:rsidR="007C6456">
        <w:rPr>
          <w:rFonts w:ascii="Calibri" w:eastAsia="Calibri" w:hAnsi="Calibri" w:cs="Times New Roman"/>
          <w:szCs w:val="24"/>
        </w:rPr>
        <w:t>.</w:t>
      </w:r>
    </w:p>
    <w:p w14:paraId="01B16CA9" w14:textId="77777777" w:rsidR="002D06E3" w:rsidRPr="00F209B7" w:rsidRDefault="002D06E3" w:rsidP="00D66738">
      <w:pPr>
        <w:pStyle w:val="Heading3"/>
        <w:numPr>
          <w:ilvl w:val="2"/>
          <w:numId w:val="134"/>
        </w:numPr>
        <w:ind w:left="0" w:firstLine="0"/>
        <w:jc w:val="both"/>
      </w:pPr>
      <w:bookmarkStart w:id="763" w:name="_Toc479843926"/>
      <w:bookmarkStart w:id="764" w:name="_Toc479844550"/>
      <w:bookmarkStart w:id="765" w:name="_Toc479940880"/>
      <w:r w:rsidRPr="00F209B7">
        <w:t>Aims and theory of change</w:t>
      </w:r>
      <w:bookmarkEnd w:id="763"/>
      <w:bookmarkEnd w:id="764"/>
      <w:bookmarkEnd w:id="765"/>
    </w:p>
    <w:p w14:paraId="0EA238AF" w14:textId="77777777" w:rsidR="002D06E3" w:rsidRPr="00F209B7" w:rsidRDefault="00E41438" w:rsidP="00D66738">
      <w:pPr>
        <w:jc w:val="both"/>
      </w:pPr>
      <w:r w:rsidRPr="00F209B7">
        <w:t xml:space="preserve">The </w:t>
      </w:r>
      <w:r w:rsidR="007F2335" w:rsidRPr="00F209B7">
        <w:t xml:space="preserve">UIF provides an insurance fund </w:t>
      </w:r>
      <w:r w:rsidR="001D4A03" w:rsidRPr="00F209B7">
        <w:t xml:space="preserve">giving </w:t>
      </w:r>
      <w:r w:rsidR="007F2335" w:rsidRPr="00F209B7">
        <w:t>limited benefits to retrenched workers</w:t>
      </w:r>
      <w:r w:rsidRPr="00F209B7">
        <w:t xml:space="preserve">. </w:t>
      </w:r>
      <w:r w:rsidR="002D06E3" w:rsidRPr="00F209B7">
        <w:t xml:space="preserve">It </w:t>
      </w:r>
      <w:r w:rsidR="00B071B0" w:rsidRPr="00F209B7">
        <w:t>aims to</w:t>
      </w:r>
      <w:r w:rsidR="002D06E3" w:rsidRPr="00F209B7">
        <w:t xml:space="preserve"> address the externalities that arise from retrenchment, as </w:t>
      </w:r>
      <w:r w:rsidR="007F2335" w:rsidRPr="00F209B7">
        <w:t xml:space="preserve">employees </w:t>
      </w:r>
      <w:r w:rsidR="002D06E3" w:rsidRPr="00F209B7">
        <w:t>who lose their jobs may otherwise become destitute</w:t>
      </w:r>
      <w:r w:rsidRPr="00F209B7">
        <w:t>.</w:t>
      </w:r>
      <w:r w:rsidR="00B071B0" w:rsidRPr="00F209B7">
        <w:t xml:space="preserve"> It was originally established before 1994 to serve non-African workers; since 1994 it has gradually extended to virtually all employees. </w:t>
      </w:r>
    </w:p>
    <w:p w14:paraId="00654847" w14:textId="61A8C7E2" w:rsidR="00B071B0" w:rsidRPr="00F209B7" w:rsidRDefault="00B071B0" w:rsidP="00D66738">
      <w:pPr>
        <w:jc w:val="both"/>
      </w:pPr>
      <w:r w:rsidRPr="00F209B7">
        <w:t xml:space="preserve">The Compensation Fund provides insurance against occupational injuries, diseases and death. Without this kind of insurance, workplace accidents or health problems could push workers into destitution and lead to costly legal processes against employers. As with the other levies, it originated to serve privileged workers but has since been extended to </w:t>
      </w:r>
      <w:r w:rsidR="00674517">
        <w:t xml:space="preserve">all </w:t>
      </w:r>
      <w:r w:rsidRPr="00F209B7">
        <w:t>private-sector employees.</w:t>
      </w:r>
      <w:r w:rsidR="00674517">
        <w:t xml:space="preserve"> That said, in 2015 only 480 000 enterprises were registered with the Compensation Fund, out of over 700 000 formal and informal employers according to the LMD. </w:t>
      </w:r>
    </w:p>
    <w:p w14:paraId="1C110C41" w14:textId="412BBDF7" w:rsidR="00A6437C" w:rsidRPr="00F209B7" w:rsidRDefault="00A6437C" w:rsidP="00D66738">
      <w:pPr>
        <w:jc w:val="both"/>
        <w:rPr>
          <w:szCs w:val="24"/>
        </w:rPr>
      </w:pPr>
      <w:r>
        <w:rPr>
          <w:szCs w:val="24"/>
        </w:rPr>
        <w:t xml:space="preserve">COIDA operates under a no-fault system. If an employee claims for compensation for an occupational injury or disease from the Compensation Fund, they cannot take the employer to court. On the other hand, </w:t>
      </w:r>
      <w:r w:rsidRPr="00F209B7">
        <w:rPr>
          <w:szCs w:val="24"/>
        </w:rPr>
        <w:t xml:space="preserve">if an employer fails to comply with the provisions of registration and an employee has an accident, the Director General of the Department of Labour may charge </w:t>
      </w:r>
      <w:r>
        <w:rPr>
          <w:szCs w:val="24"/>
        </w:rPr>
        <w:t xml:space="preserve">them </w:t>
      </w:r>
      <w:r w:rsidRPr="00F209B7">
        <w:rPr>
          <w:szCs w:val="24"/>
        </w:rPr>
        <w:t>with a fine</w:t>
      </w:r>
      <w:r>
        <w:rPr>
          <w:szCs w:val="24"/>
        </w:rPr>
        <w:t xml:space="preserve">, and some kinds of non-compliance constitute offences. </w:t>
      </w:r>
      <w:r w:rsidRPr="00F209B7">
        <w:rPr>
          <w:szCs w:val="24"/>
        </w:rPr>
        <w:t xml:space="preserve"> </w:t>
      </w:r>
    </w:p>
    <w:p w14:paraId="489286D6" w14:textId="77777777" w:rsidR="00E41438" w:rsidRPr="00F209B7" w:rsidRDefault="00B071B0" w:rsidP="00D66738">
      <w:pPr>
        <w:jc w:val="both"/>
      </w:pPr>
      <w:r w:rsidRPr="00F209B7">
        <w:t>T</w:t>
      </w:r>
      <w:r w:rsidR="002D06E3" w:rsidRPr="00F209B7">
        <w:t>he skills system was fundamentally reformed in the 1990s in an effort</w:t>
      </w:r>
      <w:r w:rsidRPr="00F209B7">
        <w:t xml:space="preserve"> to redress the inequalities in education and training that formed a pillar of apartheid. It aims:</w:t>
      </w:r>
    </w:p>
    <w:p w14:paraId="384B9EAE" w14:textId="3569AF95" w:rsidR="002D06E3" w:rsidRPr="00F209B7" w:rsidRDefault="002D06E3" w:rsidP="00D66738">
      <w:pPr>
        <w:pStyle w:val="ListParagraph"/>
        <w:numPr>
          <w:ilvl w:val="0"/>
          <w:numId w:val="43"/>
        </w:numPr>
        <w:jc w:val="both"/>
      </w:pPr>
      <w:r w:rsidRPr="00F209B7">
        <w:t>To provide more workers with certified, transferable skills; under apartheid, black workers generally could gain skills on the job, but without certification their skills benefited only their employer, not the broader</w:t>
      </w:r>
      <w:r w:rsidR="00674517">
        <w:t xml:space="preserve"> sector, and did little to promote career mobility. </w:t>
      </w:r>
      <w:r w:rsidRPr="00F209B7">
        <w:t xml:space="preserve"> </w:t>
      </w:r>
    </w:p>
    <w:p w14:paraId="48134065" w14:textId="5FA9CE0E" w:rsidR="002D06E3" w:rsidRPr="00F209B7" w:rsidRDefault="002D06E3" w:rsidP="00D66738">
      <w:pPr>
        <w:pStyle w:val="ListParagraph"/>
        <w:numPr>
          <w:ilvl w:val="0"/>
          <w:numId w:val="43"/>
        </w:numPr>
        <w:jc w:val="both"/>
      </w:pPr>
      <w:r w:rsidRPr="00F209B7">
        <w:t>To ensure that skills development resources benefited all workers, not just managers and professionals</w:t>
      </w:r>
      <w:r w:rsidR="00674517">
        <w:t>.</w:t>
      </w:r>
    </w:p>
    <w:p w14:paraId="259A2B99" w14:textId="77777777" w:rsidR="002D06E3" w:rsidRPr="00F209B7" w:rsidRDefault="002D06E3" w:rsidP="00D66738">
      <w:pPr>
        <w:pStyle w:val="ListParagraph"/>
        <w:numPr>
          <w:ilvl w:val="0"/>
          <w:numId w:val="43"/>
        </w:numPr>
        <w:jc w:val="both"/>
      </w:pPr>
      <w:r w:rsidRPr="00F209B7">
        <w:t xml:space="preserve">To increase the funding of skills development across the formal sector. </w:t>
      </w:r>
    </w:p>
    <w:p w14:paraId="26875C4F" w14:textId="4061907A" w:rsidR="00E41438" w:rsidRPr="00F209B7" w:rsidRDefault="00E41438" w:rsidP="00D66738">
      <w:pPr>
        <w:pStyle w:val="Caption"/>
        <w:jc w:val="both"/>
      </w:pPr>
      <w:bookmarkStart w:id="766" w:name="_Ref469407646"/>
      <w:bookmarkStart w:id="767" w:name="_Toc469410598"/>
      <w:bookmarkStart w:id="768" w:name="_Toc469411191"/>
      <w:bookmarkStart w:id="769" w:name="_Toc469411509"/>
      <w:bookmarkStart w:id="770" w:name="_Toc469485017"/>
      <w:bookmarkStart w:id="771" w:name="_Toc479940974"/>
      <w:r w:rsidRPr="00F209B7">
        <w:lastRenderedPageBreak/>
        <w:t xml:space="preserve">Table </w:t>
      </w:r>
      <w:fldSimple w:instr=" SEQ Table \* ARABIC ">
        <w:r w:rsidR="005062E7">
          <w:rPr>
            <w:noProof/>
          </w:rPr>
          <w:t>17</w:t>
        </w:r>
      </w:fldSimple>
      <w:bookmarkEnd w:id="766"/>
      <w:r w:rsidR="00674517">
        <w:rPr>
          <w:noProof/>
        </w:rPr>
        <w:t>.</w:t>
      </w:r>
      <w:r w:rsidRPr="00F209B7">
        <w:t xml:space="preserve"> </w:t>
      </w:r>
      <w:bookmarkEnd w:id="767"/>
      <w:bookmarkEnd w:id="768"/>
      <w:bookmarkEnd w:id="769"/>
      <w:bookmarkEnd w:id="770"/>
      <w:r w:rsidR="00240665" w:rsidRPr="00F209B7">
        <w:t>The logic behind the UIF, Compensation Fund and skills levy</w:t>
      </w:r>
      <w:bookmarkEnd w:id="771"/>
    </w:p>
    <w:tbl>
      <w:tblPr>
        <w:tblStyle w:val="TableGrid"/>
        <w:tblW w:w="5000" w:type="pct"/>
        <w:tblLook w:val="04A0" w:firstRow="1" w:lastRow="0" w:firstColumn="1" w:lastColumn="0" w:noHBand="0" w:noVBand="1"/>
      </w:tblPr>
      <w:tblGrid>
        <w:gridCol w:w="2660"/>
        <w:gridCol w:w="1843"/>
        <w:gridCol w:w="4739"/>
      </w:tblGrid>
      <w:tr w:rsidR="00240665" w:rsidRPr="00F209B7" w14:paraId="33C2CE22" w14:textId="77777777" w:rsidTr="00A6437C">
        <w:trPr>
          <w:tblHeader/>
        </w:trPr>
        <w:tc>
          <w:tcPr>
            <w:tcW w:w="1439" w:type="pct"/>
          </w:tcPr>
          <w:p w14:paraId="31ED005E" w14:textId="77777777" w:rsidR="00E41438" w:rsidRPr="00F209B7" w:rsidRDefault="00E41438" w:rsidP="00D66738">
            <w:pPr>
              <w:pStyle w:val="charts"/>
              <w:jc w:val="both"/>
              <w:rPr>
                <w:b/>
                <w:sz w:val="20"/>
              </w:rPr>
            </w:pPr>
            <w:r w:rsidRPr="00F209B7">
              <w:rPr>
                <w:b/>
                <w:sz w:val="20"/>
              </w:rPr>
              <w:t xml:space="preserve">Problem </w:t>
            </w:r>
          </w:p>
        </w:tc>
        <w:tc>
          <w:tcPr>
            <w:tcW w:w="997" w:type="pct"/>
          </w:tcPr>
          <w:p w14:paraId="6C33DC6E" w14:textId="77777777" w:rsidR="00E41438" w:rsidRPr="00F209B7" w:rsidRDefault="00E41438" w:rsidP="00D66738">
            <w:pPr>
              <w:pStyle w:val="charts"/>
              <w:jc w:val="both"/>
              <w:rPr>
                <w:b/>
                <w:sz w:val="20"/>
              </w:rPr>
            </w:pPr>
            <w:r w:rsidRPr="00F209B7">
              <w:rPr>
                <w:b/>
                <w:sz w:val="20"/>
              </w:rPr>
              <w:t>Beneficiaries from the problem</w:t>
            </w:r>
          </w:p>
        </w:tc>
        <w:tc>
          <w:tcPr>
            <w:tcW w:w="2564" w:type="pct"/>
          </w:tcPr>
          <w:p w14:paraId="1C9C5057" w14:textId="77777777" w:rsidR="00E41438" w:rsidRPr="00F209B7" w:rsidRDefault="00E41438" w:rsidP="00D66738">
            <w:pPr>
              <w:pStyle w:val="charts"/>
              <w:jc w:val="both"/>
              <w:rPr>
                <w:b/>
                <w:sz w:val="20"/>
              </w:rPr>
            </w:pPr>
            <w:r w:rsidRPr="00F209B7">
              <w:rPr>
                <w:b/>
                <w:sz w:val="20"/>
              </w:rPr>
              <w:t>Cost bearers of the problem</w:t>
            </w:r>
          </w:p>
        </w:tc>
      </w:tr>
      <w:tr w:rsidR="00240665" w:rsidRPr="00F209B7" w14:paraId="062CE624" w14:textId="77777777" w:rsidTr="00A6437C">
        <w:tc>
          <w:tcPr>
            <w:tcW w:w="1439" w:type="pct"/>
          </w:tcPr>
          <w:p w14:paraId="536AAE7D" w14:textId="6628502F" w:rsidR="00240665" w:rsidRPr="00F209B7" w:rsidRDefault="00240665" w:rsidP="00D66738">
            <w:pPr>
              <w:pStyle w:val="charts"/>
              <w:spacing w:after="120"/>
              <w:jc w:val="both"/>
              <w:rPr>
                <w:sz w:val="20"/>
              </w:rPr>
            </w:pPr>
            <w:r w:rsidRPr="00F209B7">
              <w:rPr>
                <w:sz w:val="20"/>
              </w:rPr>
              <w:t xml:space="preserve">Retrenchment imposes costs on society, not just on the </w:t>
            </w:r>
            <w:r w:rsidR="00674517">
              <w:rPr>
                <w:sz w:val="20"/>
              </w:rPr>
              <w:t xml:space="preserve">affected </w:t>
            </w:r>
            <w:r w:rsidRPr="00F209B7">
              <w:rPr>
                <w:sz w:val="20"/>
              </w:rPr>
              <w:t>worker</w:t>
            </w:r>
            <w:r w:rsidR="00674517">
              <w:rPr>
                <w:sz w:val="20"/>
              </w:rPr>
              <w:t>s</w:t>
            </w:r>
          </w:p>
        </w:tc>
        <w:tc>
          <w:tcPr>
            <w:tcW w:w="997" w:type="pct"/>
          </w:tcPr>
          <w:p w14:paraId="3EB4DDD5" w14:textId="77777777" w:rsidR="00240665" w:rsidRPr="00F209B7" w:rsidRDefault="00240665" w:rsidP="00D66738">
            <w:pPr>
              <w:pStyle w:val="charts"/>
              <w:spacing w:after="120"/>
              <w:jc w:val="both"/>
              <w:rPr>
                <w:sz w:val="20"/>
              </w:rPr>
            </w:pPr>
            <w:r w:rsidRPr="00F209B7">
              <w:rPr>
                <w:sz w:val="20"/>
              </w:rPr>
              <w:t>Employers see costs of retrenchment as externalities</w:t>
            </w:r>
          </w:p>
        </w:tc>
        <w:tc>
          <w:tcPr>
            <w:tcW w:w="2564" w:type="pct"/>
          </w:tcPr>
          <w:p w14:paraId="3BAF07DA" w14:textId="77777777" w:rsidR="00240665" w:rsidRPr="00F209B7" w:rsidRDefault="00240665" w:rsidP="00D66738">
            <w:pPr>
              <w:pStyle w:val="charts"/>
              <w:spacing w:after="120"/>
              <w:jc w:val="both"/>
              <w:rPr>
                <w:sz w:val="20"/>
              </w:rPr>
            </w:pPr>
            <w:r w:rsidRPr="00F209B7">
              <w:rPr>
                <w:sz w:val="20"/>
              </w:rPr>
              <w:t>Retrenched workers and their families</w:t>
            </w:r>
          </w:p>
          <w:p w14:paraId="44CCF702" w14:textId="77777777" w:rsidR="00240665" w:rsidRPr="00F209B7" w:rsidRDefault="00240665" w:rsidP="00D66738">
            <w:pPr>
              <w:pStyle w:val="charts"/>
              <w:spacing w:after="120"/>
              <w:jc w:val="both"/>
              <w:rPr>
                <w:sz w:val="20"/>
              </w:rPr>
            </w:pPr>
            <w:r w:rsidRPr="00F209B7">
              <w:rPr>
                <w:sz w:val="20"/>
              </w:rPr>
              <w:t>Society has to pay to support retrenched workers and their families</w:t>
            </w:r>
          </w:p>
        </w:tc>
      </w:tr>
      <w:tr w:rsidR="00240665" w:rsidRPr="00F209B7" w14:paraId="6C7B3589" w14:textId="77777777" w:rsidTr="00A6437C">
        <w:tc>
          <w:tcPr>
            <w:tcW w:w="1439" w:type="pct"/>
          </w:tcPr>
          <w:p w14:paraId="0385A176" w14:textId="77777777" w:rsidR="00240665" w:rsidRPr="00F209B7" w:rsidRDefault="00240665" w:rsidP="00D66738">
            <w:pPr>
              <w:pStyle w:val="charts"/>
              <w:spacing w:after="120"/>
              <w:jc w:val="both"/>
              <w:rPr>
                <w:sz w:val="20"/>
              </w:rPr>
            </w:pPr>
            <w:r w:rsidRPr="00F209B7">
              <w:rPr>
                <w:sz w:val="20"/>
              </w:rPr>
              <w:t>Workplace injuries and disease impose costs on society, not just workers and employers</w:t>
            </w:r>
          </w:p>
        </w:tc>
        <w:tc>
          <w:tcPr>
            <w:tcW w:w="997" w:type="pct"/>
          </w:tcPr>
          <w:p w14:paraId="388FF00D" w14:textId="77777777" w:rsidR="00240665" w:rsidRPr="00F209B7" w:rsidRDefault="00240665" w:rsidP="00D66738">
            <w:pPr>
              <w:pStyle w:val="charts"/>
              <w:spacing w:after="120"/>
              <w:jc w:val="both"/>
              <w:rPr>
                <w:sz w:val="20"/>
              </w:rPr>
            </w:pPr>
            <w:r w:rsidRPr="00F209B7">
              <w:rPr>
                <w:sz w:val="20"/>
              </w:rPr>
              <w:t>Employers do not have to pay full cost of workplace ill health</w:t>
            </w:r>
          </w:p>
        </w:tc>
        <w:tc>
          <w:tcPr>
            <w:tcW w:w="2564" w:type="pct"/>
          </w:tcPr>
          <w:p w14:paraId="04F907CE" w14:textId="77777777" w:rsidR="00240665" w:rsidRPr="00F209B7" w:rsidRDefault="00240665" w:rsidP="00D66738">
            <w:pPr>
              <w:pStyle w:val="charts"/>
              <w:spacing w:after="120"/>
              <w:jc w:val="both"/>
              <w:rPr>
                <w:sz w:val="20"/>
              </w:rPr>
            </w:pPr>
            <w:r w:rsidRPr="00F209B7">
              <w:rPr>
                <w:sz w:val="20"/>
              </w:rPr>
              <w:t>Workers and their families in the case of workplace-based ill health</w:t>
            </w:r>
          </w:p>
          <w:p w14:paraId="60AD1E95" w14:textId="77777777" w:rsidR="00240665" w:rsidRPr="00F209B7" w:rsidRDefault="00240665" w:rsidP="00D66738">
            <w:pPr>
              <w:pStyle w:val="charts"/>
              <w:spacing w:after="120"/>
              <w:jc w:val="both"/>
              <w:rPr>
                <w:sz w:val="20"/>
              </w:rPr>
            </w:pPr>
            <w:r w:rsidRPr="00F209B7">
              <w:rPr>
                <w:sz w:val="20"/>
              </w:rPr>
              <w:t>Society has to support the affected workers and their families</w:t>
            </w:r>
          </w:p>
        </w:tc>
      </w:tr>
      <w:tr w:rsidR="00240665" w:rsidRPr="00F209B7" w14:paraId="357E4F45" w14:textId="77777777" w:rsidTr="00A6437C">
        <w:tc>
          <w:tcPr>
            <w:tcW w:w="1439" w:type="pct"/>
          </w:tcPr>
          <w:p w14:paraId="4DC1A8D4" w14:textId="77777777" w:rsidR="00240665" w:rsidRPr="00F209B7" w:rsidRDefault="00240665" w:rsidP="00D66738">
            <w:pPr>
              <w:pStyle w:val="charts"/>
              <w:spacing w:after="120"/>
              <w:jc w:val="both"/>
              <w:rPr>
                <w:sz w:val="20"/>
              </w:rPr>
            </w:pPr>
            <w:r w:rsidRPr="00F209B7">
              <w:rPr>
                <w:sz w:val="20"/>
              </w:rPr>
              <w:t>Apartheid left South Africa with low skill levels, a lack of training and certification systems for ordinary workers, and inadequate employer spending on training</w:t>
            </w:r>
          </w:p>
        </w:tc>
        <w:tc>
          <w:tcPr>
            <w:tcW w:w="997" w:type="pct"/>
          </w:tcPr>
          <w:p w14:paraId="1976A1C3" w14:textId="77777777" w:rsidR="00240665" w:rsidRPr="00F209B7" w:rsidRDefault="00240665" w:rsidP="00D66738">
            <w:pPr>
              <w:pStyle w:val="charts"/>
              <w:spacing w:after="120"/>
              <w:jc w:val="both"/>
              <w:rPr>
                <w:sz w:val="20"/>
              </w:rPr>
            </w:pPr>
            <w:r w:rsidRPr="00F209B7">
              <w:rPr>
                <w:sz w:val="20"/>
              </w:rPr>
              <w:t>Employers do not have to provide certified training and pay for it</w:t>
            </w:r>
          </w:p>
        </w:tc>
        <w:tc>
          <w:tcPr>
            <w:tcW w:w="2564" w:type="pct"/>
          </w:tcPr>
          <w:p w14:paraId="77287A06" w14:textId="77777777" w:rsidR="00240665" w:rsidRPr="00F209B7" w:rsidRDefault="00240665" w:rsidP="00D66738">
            <w:pPr>
              <w:pStyle w:val="charts"/>
              <w:spacing w:after="120"/>
              <w:jc w:val="both"/>
              <w:rPr>
                <w:sz w:val="20"/>
              </w:rPr>
            </w:pPr>
            <w:r w:rsidRPr="00F209B7">
              <w:rPr>
                <w:sz w:val="20"/>
              </w:rPr>
              <w:t>The economy grows more slowly and creates less employment due to the skills shortage</w:t>
            </w:r>
          </w:p>
          <w:p w14:paraId="66DE1D42" w14:textId="6D830F91" w:rsidR="00240665" w:rsidRPr="00F209B7" w:rsidRDefault="00240665" w:rsidP="00D66738">
            <w:pPr>
              <w:pStyle w:val="charts"/>
              <w:spacing w:after="120"/>
              <w:jc w:val="both"/>
              <w:rPr>
                <w:sz w:val="20"/>
              </w:rPr>
            </w:pPr>
            <w:r w:rsidRPr="00F209B7">
              <w:rPr>
                <w:sz w:val="20"/>
              </w:rPr>
              <w:t>Employers cannot tell if workers are skilled, so they have a smaller poo</w:t>
            </w:r>
            <w:r w:rsidR="00A6437C">
              <w:rPr>
                <w:sz w:val="20"/>
              </w:rPr>
              <w:t>l</w:t>
            </w:r>
            <w:r w:rsidRPr="00F209B7">
              <w:rPr>
                <w:sz w:val="20"/>
              </w:rPr>
              <w:t xml:space="preserve"> to choose from</w:t>
            </w:r>
          </w:p>
          <w:p w14:paraId="72154829" w14:textId="77777777" w:rsidR="00240665" w:rsidRPr="00F209B7" w:rsidRDefault="00240665" w:rsidP="00D66738">
            <w:pPr>
              <w:pStyle w:val="charts"/>
              <w:spacing w:after="120"/>
              <w:jc w:val="both"/>
              <w:rPr>
                <w:sz w:val="20"/>
              </w:rPr>
            </w:pPr>
            <w:r w:rsidRPr="00F209B7">
              <w:rPr>
                <w:sz w:val="20"/>
              </w:rPr>
              <w:t>Workers without certified skills are locked into jobs</w:t>
            </w:r>
          </w:p>
        </w:tc>
      </w:tr>
    </w:tbl>
    <w:p w14:paraId="49B3E601" w14:textId="4B9293AE" w:rsidR="00240665" w:rsidRPr="00F209B7" w:rsidRDefault="00E41438" w:rsidP="00D66738">
      <w:pPr>
        <w:jc w:val="both"/>
        <w:rPr>
          <w:rFonts w:ascii="Calibri" w:eastAsia="Calibri" w:hAnsi="Calibri" w:cs="Times New Roman"/>
        </w:rPr>
      </w:pPr>
      <w:r w:rsidRPr="00F209B7">
        <w:rPr>
          <w:rFonts w:ascii="Calibri" w:eastAsia="Calibri" w:hAnsi="Calibri" w:cs="Times New Roman"/>
        </w:rPr>
        <w:t>The theory of change applied to for the UIF</w:t>
      </w:r>
      <w:r w:rsidR="00240665" w:rsidRPr="00F209B7">
        <w:rPr>
          <w:rFonts w:ascii="Calibri" w:eastAsia="Calibri" w:hAnsi="Calibri" w:cs="Times New Roman"/>
        </w:rPr>
        <w:t xml:space="preserve">, </w:t>
      </w:r>
      <w:r w:rsidR="00F209B7" w:rsidRPr="00F209B7">
        <w:rPr>
          <w:rFonts w:ascii="Calibri" w:eastAsia="Calibri" w:hAnsi="Calibri" w:cs="Times New Roman"/>
        </w:rPr>
        <w:t>Compensation</w:t>
      </w:r>
      <w:r w:rsidR="00240665" w:rsidRPr="00F209B7">
        <w:rPr>
          <w:rFonts w:ascii="Calibri" w:eastAsia="Calibri" w:hAnsi="Calibri" w:cs="Times New Roman"/>
        </w:rPr>
        <w:t xml:space="preserve"> Fund</w:t>
      </w:r>
      <w:r w:rsidRPr="00F209B7">
        <w:rPr>
          <w:rFonts w:ascii="Calibri" w:eastAsia="Calibri" w:hAnsi="Calibri" w:cs="Times New Roman"/>
        </w:rPr>
        <w:t xml:space="preserve"> and </w:t>
      </w:r>
      <w:r w:rsidR="002D06E3" w:rsidRPr="00F209B7">
        <w:rPr>
          <w:rFonts w:ascii="Calibri" w:eastAsia="Calibri" w:hAnsi="Calibri" w:cs="Times New Roman"/>
        </w:rPr>
        <w:t>skills levy</w:t>
      </w:r>
      <w:r w:rsidRPr="00F209B7">
        <w:rPr>
          <w:rFonts w:ascii="Calibri" w:eastAsia="Calibri" w:hAnsi="Calibri" w:cs="Times New Roman"/>
        </w:rPr>
        <w:t xml:space="preserve"> is comparable to the theory of change for taxation. That is</w:t>
      </w:r>
      <w:r w:rsidR="00240665" w:rsidRPr="00F209B7">
        <w:rPr>
          <w:rFonts w:ascii="Calibri" w:eastAsia="Calibri" w:hAnsi="Calibri" w:cs="Times New Roman"/>
        </w:rPr>
        <w:t>,</w:t>
      </w:r>
      <w:r w:rsidRPr="00F209B7">
        <w:rPr>
          <w:rFonts w:ascii="Calibri" w:eastAsia="Calibri" w:hAnsi="Calibri" w:cs="Times New Roman"/>
        </w:rPr>
        <w:t xml:space="preserve"> </w:t>
      </w:r>
      <w:r w:rsidR="00240665" w:rsidRPr="00F209B7">
        <w:rPr>
          <w:rFonts w:ascii="Calibri" w:eastAsia="Calibri" w:hAnsi="Calibri" w:cs="Times New Roman"/>
        </w:rPr>
        <w:t xml:space="preserve">individuals will pay levies if there is a modest penalty combined with an understanding of the direct and indirect benefits </w:t>
      </w:r>
      <w:r w:rsidR="00A6437C">
        <w:rPr>
          <w:rFonts w:ascii="Calibri" w:eastAsia="Calibri" w:hAnsi="Calibri" w:cs="Times New Roman"/>
        </w:rPr>
        <w:t xml:space="preserve">of the schemes </w:t>
      </w:r>
      <w:r w:rsidR="00240665" w:rsidRPr="00F209B7">
        <w:rPr>
          <w:rFonts w:ascii="Calibri" w:eastAsia="Calibri" w:hAnsi="Calibri" w:cs="Times New Roman"/>
        </w:rPr>
        <w:t>for employers and workers</w:t>
      </w:r>
      <w:r w:rsidRPr="00F209B7">
        <w:rPr>
          <w:rFonts w:ascii="Calibri" w:eastAsia="Calibri" w:hAnsi="Calibri" w:cs="Times New Roman"/>
        </w:rPr>
        <w:t xml:space="preserve">. </w:t>
      </w:r>
    </w:p>
    <w:p w14:paraId="158B8956" w14:textId="77777777" w:rsidR="00E41438" w:rsidRPr="00F209B7" w:rsidRDefault="00E41438" w:rsidP="00D66738">
      <w:pPr>
        <w:jc w:val="both"/>
      </w:pPr>
      <w:r w:rsidRPr="00F209B7">
        <w:t xml:space="preserve">The </w:t>
      </w:r>
      <w:r w:rsidR="00240665" w:rsidRPr="00F209B7">
        <w:t>theory of change for the UIF and skills levy involves the following specific steps:</w:t>
      </w:r>
    </w:p>
    <w:p w14:paraId="25205AF8" w14:textId="77777777" w:rsidR="00E41438" w:rsidRPr="00F209B7" w:rsidRDefault="00B071B0" w:rsidP="00D66738">
      <w:pPr>
        <w:pStyle w:val="ListParagraph"/>
        <w:numPr>
          <w:ilvl w:val="0"/>
          <w:numId w:val="44"/>
        </w:numPr>
        <w:jc w:val="both"/>
        <w:rPr>
          <w:szCs w:val="24"/>
        </w:rPr>
      </w:pPr>
      <w:r w:rsidRPr="00F209B7">
        <w:t xml:space="preserve">Employers </w:t>
      </w:r>
      <w:r w:rsidR="00E41438" w:rsidRPr="00F209B7">
        <w:t>are re</w:t>
      </w:r>
      <w:r w:rsidRPr="00F209B7">
        <w:t>quired to register with SARS to pay PAYE</w:t>
      </w:r>
      <w:r w:rsidR="007047B1" w:rsidRPr="00F209B7">
        <w:t>, with the normal penalties</w:t>
      </w:r>
    </w:p>
    <w:p w14:paraId="654EB4CF" w14:textId="77777777" w:rsidR="00B071B0" w:rsidRPr="00F209B7" w:rsidRDefault="003368C5" w:rsidP="00D66738">
      <w:pPr>
        <w:pStyle w:val="ListParagraph"/>
        <w:numPr>
          <w:ilvl w:val="0"/>
          <w:numId w:val="44"/>
        </w:numPr>
        <w:jc w:val="both"/>
        <w:rPr>
          <w:szCs w:val="24"/>
        </w:rPr>
      </w:pPr>
      <w:r w:rsidRPr="00F209B7">
        <w:rPr>
          <w:szCs w:val="24"/>
        </w:rPr>
        <w:t>UIF and the skills levy are included in the PAYE registration and payments</w:t>
      </w:r>
      <w:r w:rsidR="007047B1" w:rsidRPr="00F209B7">
        <w:rPr>
          <w:szCs w:val="24"/>
        </w:rPr>
        <w:t>, with additional penalties for failure to register and pay the levies</w:t>
      </w:r>
    </w:p>
    <w:p w14:paraId="177B4570" w14:textId="77777777" w:rsidR="00E41438" w:rsidRPr="00F209B7" w:rsidRDefault="00E41438" w:rsidP="00D66738">
      <w:pPr>
        <w:pStyle w:val="ListParagraph"/>
        <w:numPr>
          <w:ilvl w:val="0"/>
          <w:numId w:val="44"/>
        </w:numPr>
        <w:jc w:val="both"/>
        <w:rPr>
          <w:szCs w:val="24"/>
        </w:rPr>
      </w:pPr>
      <w:r w:rsidRPr="00F209B7">
        <w:t xml:space="preserve">Employers </w:t>
      </w:r>
      <w:r w:rsidR="007047B1" w:rsidRPr="00F209B7">
        <w:t>comply because it is administratively easy if they are registered for PAYE, to avoid the penalties, and because they see the benefits of the schemes (that is, insurance for retrenched workers and refunds for accredited training)</w:t>
      </w:r>
    </w:p>
    <w:p w14:paraId="6F23A42A" w14:textId="77777777" w:rsidR="003368C5" w:rsidRPr="00F209B7" w:rsidRDefault="003368C5" w:rsidP="00D66738">
      <w:pPr>
        <w:pStyle w:val="ListParagraph"/>
        <w:numPr>
          <w:ilvl w:val="0"/>
          <w:numId w:val="44"/>
        </w:numPr>
        <w:jc w:val="both"/>
        <w:rPr>
          <w:szCs w:val="24"/>
        </w:rPr>
      </w:pPr>
      <w:r w:rsidRPr="00F209B7">
        <w:t>SARS transfers the skills levy to the relevant SETAs and the UIF payments to the UIF</w:t>
      </w:r>
    </w:p>
    <w:p w14:paraId="128F2B7F" w14:textId="2ED0B323" w:rsidR="008F7024" w:rsidRPr="008F7024" w:rsidRDefault="00240665" w:rsidP="00D66738">
      <w:pPr>
        <w:pStyle w:val="ListParagraph"/>
        <w:numPr>
          <w:ilvl w:val="0"/>
          <w:numId w:val="44"/>
        </w:numPr>
        <w:jc w:val="both"/>
        <w:rPr>
          <w:szCs w:val="24"/>
        </w:rPr>
      </w:pPr>
      <w:r w:rsidRPr="00F209B7">
        <w:rPr>
          <w:szCs w:val="24"/>
        </w:rPr>
        <w:t xml:space="preserve">Workers can access the UIF if retrenched, and employers can </w:t>
      </w:r>
      <w:r w:rsidR="008F7024">
        <w:rPr>
          <w:szCs w:val="24"/>
        </w:rPr>
        <w:t>obtain</w:t>
      </w:r>
      <w:r w:rsidRPr="00F209B7">
        <w:rPr>
          <w:szCs w:val="24"/>
        </w:rPr>
        <w:t xml:space="preserve"> funds from the skills levy to pay for accredited training. </w:t>
      </w:r>
    </w:p>
    <w:p w14:paraId="3ABD615C" w14:textId="77777777" w:rsidR="007047B1" w:rsidRPr="00F209B7" w:rsidRDefault="007047B1" w:rsidP="00D66738">
      <w:pPr>
        <w:jc w:val="both"/>
        <w:rPr>
          <w:szCs w:val="24"/>
        </w:rPr>
      </w:pPr>
      <w:r w:rsidRPr="00F209B7">
        <w:rPr>
          <w:szCs w:val="24"/>
        </w:rPr>
        <w:t>The assumptions are:</w:t>
      </w:r>
    </w:p>
    <w:p w14:paraId="0E4CDB8B" w14:textId="77777777" w:rsidR="007047B1" w:rsidRPr="00F209B7" w:rsidRDefault="007047B1" w:rsidP="00D66738">
      <w:pPr>
        <w:pStyle w:val="ListParagraph"/>
        <w:numPr>
          <w:ilvl w:val="0"/>
          <w:numId w:val="46"/>
        </w:numPr>
        <w:jc w:val="both"/>
        <w:rPr>
          <w:szCs w:val="24"/>
        </w:rPr>
      </w:pPr>
      <w:r w:rsidRPr="00F209B7">
        <w:rPr>
          <w:szCs w:val="24"/>
        </w:rPr>
        <w:t>The benefits of the scheme to employers actually materialise</w:t>
      </w:r>
    </w:p>
    <w:p w14:paraId="358F2429" w14:textId="77777777" w:rsidR="007047B1" w:rsidRPr="00F209B7" w:rsidRDefault="007047B1" w:rsidP="00D66738">
      <w:pPr>
        <w:pStyle w:val="ListParagraph"/>
        <w:numPr>
          <w:ilvl w:val="0"/>
          <w:numId w:val="46"/>
        </w:numPr>
        <w:jc w:val="both"/>
        <w:rPr>
          <w:szCs w:val="24"/>
        </w:rPr>
      </w:pPr>
      <w:r w:rsidRPr="00F209B7">
        <w:rPr>
          <w:szCs w:val="24"/>
        </w:rPr>
        <w:t>The benefits are proportionate to the administrative and financial costs.</w:t>
      </w:r>
    </w:p>
    <w:p w14:paraId="4F6B095E" w14:textId="77777777" w:rsidR="00E41438" w:rsidRPr="00F209B7" w:rsidRDefault="00E41438" w:rsidP="00D66738">
      <w:pPr>
        <w:jc w:val="both"/>
        <w:rPr>
          <w:szCs w:val="24"/>
        </w:rPr>
      </w:pPr>
      <w:r w:rsidRPr="00F209B7">
        <w:rPr>
          <w:szCs w:val="24"/>
        </w:rPr>
        <w:t>For COIDA, employees are incentivised to register</w:t>
      </w:r>
      <w:r w:rsidRPr="00F209B7">
        <w:t xml:space="preserve"> in order to avoid being sued for damages in case of an employee injury, disease or death. In addition, employees will encourage employers to register in order to have some form of financial insurance against work related illnesses, diseases and injuries. </w:t>
      </w:r>
      <w:r w:rsidRPr="00F209B7">
        <w:rPr>
          <w:szCs w:val="24"/>
        </w:rPr>
        <w:t>The key steps to achieving this end state are:</w:t>
      </w:r>
    </w:p>
    <w:p w14:paraId="199BC9F3" w14:textId="089F3C75" w:rsidR="00A6437C" w:rsidRDefault="00A6437C" w:rsidP="00D66738">
      <w:pPr>
        <w:pStyle w:val="ListParagraph"/>
        <w:numPr>
          <w:ilvl w:val="0"/>
          <w:numId w:val="76"/>
        </w:numPr>
        <w:jc w:val="both"/>
        <w:rPr>
          <w:szCs w:val="24"/>
        </w:rPr>
      </w:pPr>
      <w:r>
        <w:rPr>
          <w:szCs w:val="24"/>
        </w:rPr>
        <w:t>The Compensation Fund assesses the risks of occupational ill-health by industry</w:t>
      </w:r>
    </w:p>
    <w:p w14:paraId="58533822" w14:textId="62DB7EC9" w:rsidR="00E41438" w:rsidRPr="00A6437C" w:rsidRDefault="00E41438" w:rsidP="00D66738">
      <w:pPr>
        <w:pStyle w:val="ListParagraph"/>
        <w:numPr>
          <w:ilvl w:val="0"/>
          <w:numId w:val="76"/>
        </w:numPr>
        <w:jc w:val="both"/>
        <w:rPr>
          <w:szCs w:val="24"/>
        </w:rPr>
      </w:pPr>
      <w:r w:rsidRPr="00A6437C">
        <w:rPr>
          <w:szCs w:val="24"/>
        </w:rPr>
        <w:t>Enterprises are required to register with the Compensation Fund and pay annual assessment fees</w:t>
      </w:r>
      <w:r w:rsidR="00A6437C">
        <w:rPr>
          <w:szCs w:val="24"/>
        </w:rPr>
        <w:t xml:space="preserve"> based on the assessed risks for their industry</w:t>
      </w:r>
    </w:p>
    <w:p w14:paraId="5BD54AF3" w14:textId="77777777" w:rsidR="00A6437C" w:rsidRDefault="00E41438" w:rsidP="00D66738">
      <w:pPr>
        <w:pStyle w:val="ListParagraph"/>
        <w:numPr>
          <w:ilvl w:val="0"/>
          <w:numId w:val="76"/>
        </w:numPr>
        <w:jc w:val="both"/>
        <w:rPr>
          <w:szCs w:val="24"/>
        </w:rPr>
      </w:pPr>
      <w:r w:rsidRPr="00A6437C">
        <w:rPr>
          <w:szCs w:val="24"/>
        </w:rPr>
        <w:lastRenderedPageBreak/>
        <w:t>In the event of an employee injury, disease or death, the enterprise report</w:t>
      </w:r>
      <w:r w:rsidR="00A6437C">
        <w:rPr>
          <w:szCs w:val="24"/>
        </w:rPr>
        <w:t>s</w:t>
      </w:r>
      <w:r w:rsidRPr="00A6437C">
        <w:rPr>
          <w:szCs w:val="24"/>
        </w:rPr>
        <w:t xml:space="preserve"> to and claim</w:t>
      </w:r>
      <w:r w:rsidR="00A6437C">
        <w:rPr>
          <w:szCs w:val="24"/>
        </w:rPr>
        <w:t>s</w:t>
      </w:r>
      <w:r w:rsidRPr="00A6437C">
        <w:rPr>
          <w:szCs w:val="24"/>
        </w:rPr>
        <w:t xml:space="preserve"> from the Compensation Fund</w:t>
      </w:r>
      <w:r w:rsidR="00A6437C">
        <w:rPr>
          <w:szCs w:val="24"/>
        </w:rPr>
        <w:t>, and cannot be sued by employees who benefit</w:t>
      </w:r>
    </w:p>
    <w:p w14:paraId="0B9D5A27" w14:textId="160B08D9" w:rsidR="00E41438" w:rsidRPr="00A6437C" w:rsidRDefault="00A6437C" w:rsidP="00D66738">
      <w:pPr>
        <w:pStyle w:val="ListParagraph"/>
        <w:numPr>
          <w:ilvl w:val="0"/>
          <w:numId w:val="76"/>
        </w:numPr>
        <w:jc w:val="both"/>
        <w:rPr>
          <w:szCs w:val="24"/>
        </w:rPr>
      </w:pPr>
      <w:r>
        <w:rPr>
          <w:szCs w:val="24"/>
        </w:rPr>
        <w:t xml:space="preserve">Employees obtain support for occupational diseases and injuries without requiring an individual lawsuit against the employer. </w:t>
      </w:r>
      <w:r w:rsidR="00E41438" w:rsidRPr="00A6437C">
        <w:rPr>
          <w:szCs w:val="24"/>
        </w:rPr>
        <w:t xml:space="preserve"> </w:t>
      </w:r>
    </w:p>
    <w:p w14:paraId="243F150F" w14:textId="462373B0" w:rsidR="00E41438" w:rsidRPr="00F209B7" w:rsidRDefault="00E41438" w:rsidP="00D66738">
      <w:pPr>
        <w:jc w:val="both"/>
        <w:rPr>
          <w:szCs w:val="24"/>
        </w:rPr>
      </w:pPr>
      <w:r w:rsidRPr="00F209B7">
        <w:rPr>
          <w:szCs w:val="24"/>
        </w:rPr>
        <w:t>The implicit assumptions relating to this regulation are that the incentives and penalties provided by COIDA are a sufficient mechanism to encourage registration and compliance. That presumes that the cost of fees and paperwork for the Compensation Fund are not excessive</w:t>
      </w:r>
      <w:r w:rsidR="00A6437C">
        <w:rPr>
          <w:szCs w:val="24"/>
        </w:rPr>
        <w:t>, and that payments are reasonably prompt</w:t>
      </w:r>
      <w:r w:rsidRPr="00F209B7">
        <w:rPr>
          <w:szCs w:val="24"/>
        </w:rPr>
        <w:t xml:space="preserve">. It is also assumed that the Compensation Fund has the capacity to assess realistic fees and to ensure that employers register, in order to secure a sufficiently large pool of insured people. </w:t>
      </w:r>
    </w:p>
    <w:p w14:paraId="2317B1C0" w14:textId="77777777" w:rsidR="00E41438" w:rsidRPr="00F209B7" w:rsidRDefault="00E41438" w:rsidP="00D66738">
      <w:pPr>
        <w:pStyle w:val="Heading3"/>
        <w:numPr>
          <w:ilvl w:val="2"/>
          <w:numId w:val="134"/>
        </w:numPr>
        <w:ind w:left="0" w:firstLine="0"/>
        <w:jc w:val="both"/>
      </w:pPr>
      <w:bookmarkStart w:id="772" w:name="_Toc469410876"/>
      <w:bookmarkStart w:id="773" w:name="_Toc469585753"/>
      <w:bookmarkStart w:id="774" w:name="_Toc479843927"/>
      <w:bookmarkStart w:id="775" w:name="_Toc479844551"/>
      <w:bookmarkStart w:id="776" w:name="_Toc479940881"/>
      <w:r w:rsidRPr="00F209B7">
        <w:t>The impact on smaller enterprises</w:t>
      </w:r>
      <w:bookmarkEnd w:id="772"/>
      <w:bookmarkEnd w:id="773"/>
      <w:bookmarkEnd w:id="774"/>
      <w:bookmarkEnd w:id="775"/>
      <w:bookmarkEnd w:id="776"/>
    </w:p>
    <w:p w14:paraId="5F0AC94C" w14:textId="77777777" w:rsidR="00E41438" w:rsidRPr="00F209B7" w:rsidRDefault="00E41438" w:rsidP="00D66738">
      <w:pPr>
        <w:pStyle w:val="Heading4"/>
        <w:numPr>
          <w:ilvl w:val="3"/>
          <w:numId w:val="135"/>
        </w:numPr>
        <w:jc w:val="both"/>
      </w:pPr>
      <w:bookmarkStart w:id="777" w:name="_Toc469410877"/>
      <w:bookmarkStart w:id="778" w:name="_Toc469585754"/>
      <w:r w:rsidRPr="00F209B7">
        <w:t>The cost of implementation</w:t>
      </w:r>
      <w:bookmarkEnd w:id="777"/>
      <w:bookmarkEnd w:id="778"/>
    </w:p>
    <w:p w14:paraId="3BD94B71" w14:textId="68AAC05B" w:rsidR="00E41438" w:rsidRPr="00F209B7" w:rsidRDefault="00E41438" w:rsidP="00D66738">
      <w:pPr>
        <w:jc w:val="both"/>
        <w:rPr>
          <w:szCs w:val="24"/>
        </w:rPr>
      </w:pPr>
      <w:r w:rsidRPr="00F209B7">
        <w:t xml:space="preserve">UIF </w:t>
      </w:r>
      <w:r w:rsidR="00A6437C">
        <w:t xml:space="preserve">is </w:t>
      </w:r>
      <w:r w:rsidRPr="00F209B7">
        <w:t>administered by SA</w:t>
      </w:r>
      <w:r w:rsidR="00114B9A">
        <w:t xml:space="preserve">RS on </w:t>
      </w:r>
      <w:r w:rsidR="00A6437C">
        <w:t xml:space="preserve">behalf of </w:t>
      </w:r>
      <w:r w:rsidR="00114B9A">
        <w:t>the Department of Labour</w:t>
      </w:r>
      <w:r w:rsidRPr="00F209B7">
        <w:t xml:space="preserve">. </w:t>
      </w:r>
      <w:r w:rsidRPr="00F209B7">
        <w:rPr>
          <w:szCs w:val="24"/>
        </w:rPr>
        <w:t>Where an employer is liable to pay UIF contribution, the employer must register with either SARS or the UIF office</w:t>
      </w:r>
      <w:r w:rsidRPr="00F209B7">
        <w:rPr>
          <w:rStyle w:val="FootnoteReference"/>
          <w:rFonts w:ascii="Calibri" w:eastAsia="Calibri" w:hAnsi="Calibri" w:cs="Times New Roman"/>
          <w:szCs w:val="24"/>
        </w:rPr>
        <w:footnoteReference w:id="14"/>
      </w:r>
      <w:r w:rsidRPr="00F209B7">
        <w:rPr>
          <w:szCs w:val="24"/>
        </w:rPr>
        <w:t xml:space="preserve"> of the Department of Labour for the payment of the contributions. </w:t>
      </w:r>
      <w:r w:rsidR="00A6437C">
        <w:rPr>
          <w:szCs w:val="24"/>
        </w:rPr>
        <w:t>They must register all employees</w:t>
      </w:r>
      <w:r w:rsidR="00A6437C" w:rsidRPr="00F209B7">
        <w:rPr>
          <w:szCs w:val="24"/>
        </w:rPr>
        <w:t xml:space="preserve"> who work more than 24 hours in a month for UIF.</w:t>
      </w:r>
    </w:p>
    <w:p w14:paraId="1A2FF7EF" w14:textId="13B531F1" w:rsidR="00E41438" w:rsidRPr="00F209B7" w:rsidRDefault="00A6437C" w:rsidP="00D66738">
      <w:pPr>
        <w:jc w:val="both"/>
        <w:rPr>
          <w:szCs w:val="24"/>
        </w:rPr>
      </w:pPr>
      <w:r>
        <w:rPr>
          <w:szCs w:val="24"/>
        </w:rPr>
        <w:t xml:space="preserve">SARS also administers the skills levy for the Department of Higher Education and Training (DHET) and the SETAs. Employers have to register if they expect to pay </w:t>
      </w:r>
      <w:r w:rsidR="00E41438" w:rsidRPr="00F209B7">
        <w:rPr>
          <w:szCs w:val="24"/>
        </w:rPr>
        <w:t xml:space="preserve">total salaries </w:t>
      </w:r>
      <w:r>
        <w:rPr>
          <w:szCs w:val="24"/>
        </w:rPr>
        <w:t xml:space="preserve">over </w:t>
      </w:r>
      <w:r w:rsidR="00E41438" w:rsidRPr="00F209B7">
        <w:rPr>
          <w:szCs w:val="24"/>
        </w:rPr>
        <w:t xml:space="preserve">R500 000 </w:t>
      </w:r>
      <w:r>
        <w:rPr>
          <w:szCs w:val="24"/>
        </w:rPr>
        <w:t>a year</w:t>
      </w:r>
      <w:r w:rsidR="00E41438" w:rsidRPr="00F209B7">
        <w:rPr>
          <w:szCs w:val="24"/>
        </w:rPr>
        <w:t xml:space="preserve">. </w:t>
      </w:r>
      <w:r>
        <w:rPr>
          <w:szCs w:val="24"/>
        </w:rPr>
        <w:t xml:space="preserve">They have to select the SETA that matches their area of </w:t>
      </w:r>
      <w:r w:rsidR="00E41438" w:rsidRPr="00F209B7">
        <w:rPr>
          <w:szCs w:val="24"/>
        </w:rPr>
        <w:t>business</w:t>
      </w:r>
      <w:r>
        <w:rPr>
          <w:szCs w:val="24"/>
        </w:rPr>
        <w:t xml:space="preserve"> – not always an easy task, since some enterprises fall between SETA scopes</w:t>
      </w:r>
      <w:r w:rsidR="00E41438" w:rsidRPr="00F209B7">
        <w:rPr>
          <w:szCs w:val="24"/>
        </w:rPr>
        <w:t>. The payment is made on the same f</w:t>
      </w:r>
      <w:r>
        <w:rPr>
          <w:szCs w:val="24"/>
        </w:rPr>
        <w:t>orm as the PAYE and UIF</w:t>
      </w:r>
      <w:r w:rsidR="00E41438" w:rsidRPr="00F209B7">
        <w:rPr>
          <w:szCs w:val="24"/>
        </w:rPr>
        <w:t>.</w:t>
      </w:r>
    </w:p>
    <w:p w14:paraId="3D47430C" w14:textId="67D01959" w:rsidR="00E41438" w:rsidRDefault="00E41438" w:rsidP="00D66738">
      <w:pPr>
        <w:jc w:val="both"/>
        <w:rPr>
          <w:rFonts w:eastAsia="Times New Roman"/>
          <w:i/>
          <w:szCs w:val="24"/>
          <w:lang w:eastAsia="en-ZA"/>
        </w:rPr>
      </w:pPr>
      <w:r w:rsidRPr="00F209B7">
        <w:rPr>
          <w:szCs w:val="24"/>
        </w:rPr>
        <w:t>With a few exceptions, every employer must register for the Compensation Fund.</w:t>
      </w:r>
      <w:r w:rsidRPr="00F209B7">
        <w:rPr>
          <w:rStyle w:val="FootnoteReference"/>
          <w:rFonts w:ascii="Calibri" w:eastAsia="Calibri" w:hAnsi="Calibri" w:cs="Times New Roman"/>
          <w:szCs w:val="24"/>
        </w:rPr>
        <w:footnoteReference w:id="15"/>
      </w:r>
      <w:r w:rsidRPr="00F209B7">
        <w:rPr>
          <w:szCs w:val="24"/>
        </w:rPr>
        <w:t xml:space="preserve">  For COIDA, employers must fill in a standard form at any labour centre or on the </w:t>
      </w:r>
      <w:r w:rsidR="00A6437C">
        <w:rPr>
          <w:szCs w:val="24"/>
        </w:rPr>
        <w:t xml:space="preserve">Department of Labour </w:t>
      </w:r>
      <w:r w:rsidRPr="00F209B7">
        <w:rPr>
          <w:szCs w:val="24"/>
        </w:rPr>
        <w:t>website</w:t>
      </w:r>
      <w:r w:rsidR="00A6437C">
        <w:rPr>
          <w:szCs w:val="24"/>
        </w:rPr>
        <w:t>, which hosts the Compensation Fund</w:t>
      </w:r>
      <w:r w:rsidRPr="00F209B7">
        <w:rPr>
          <w:szCs w:val="24"/>
        </w:rPr>
        <w:t xml:space="preserve">. </w:t>
      </w:r>
      <w:r w:rsidR="00A6437C">
        <w:rPr>
          <w:szCs w:val="24"/>
        </w:rPr>
        <w:t xml:space="preserve">They have to fill out the average </w:t>
      </w:r>
      <w:r w:rsidRPr="00F209B7">
        <w:rPr>
          <w:szCs w:val="24"/>
        </w:rPr>
        <w:t>number of employees and their estimated earnings. Employers send forms to the Department of Labour with a copy of a registration certificate from the Registrar of Companies (CIPC) if they are a company or closed corporation, or their ID document if they are sole owners of the business</w:t>
      </w:r>
      <w:r w:rsidRPr="00F209B7">
        <w:rPr>
          <w:rFonts w:eastAsia="Times New Roman"/>
          <w:i/>
          <w:szCs w:val="24"/>
          <w:lang w:eastAsia="en-ZA"/>
        </w:rPr>
        <w:t>.</w:t>
      </w:r>
    </w:p>
    <w:p w14:paraId="71E3F82D" w14:textId="77777777" w:rsidR="00E41438" w:rsidRPr="00F209B7" w:rsidRDefault="00E41438" w:rsidP="00D66738">
      <w:pPr>
        <w:pStyle w:val="Heading4"/>
        <w:jc w:val="both"/>
      </w:pPr>
      <w:bookmarkStart w:id="779" w:name="_Toc469410878"/>
      <w:bookmarkStart w:id="780" w:name="_Toc469585755"/>
      <w:r w:rsidRPr="00F209B7">
        <w:t>Administrative costs</w:t>
      </w:r>
      <w:bookmarkEnd w:id="779"/>
      <w:bookmarkEnd w:id="780"/>
    </w:p>
    <w:p w14:paraId="4DB1D505" w14:textId="77777777" w:rsidR="00C83305" w:rsidRDefault="00E41438" w:rsidP="00D66738">
      <w:pPr>
        <w:jc w:val="both"/>
      </w:pPr>
      <w:r w:rsidRPr="00F209B7">
        <w:t xml:space="preserve">The PAYE, </w:t>
      </w:r>
      <w:r w:rsidR="002D06E3" w:rsidRPr="00F209B7">
        <w:t>skills levy</w:t>
      </w:r>
      <w:r w:rsidR="00C83305">
        <w:t xml:space="preserve"> and</w:t>
      </w:r>
      <w:r w:rsidRPr="00F209B7">
        <w:t xml:space="preserve"> UIF amounts that are deducted or withheld must be paid by the employer to SARS on a monthly basis, by completing the Monthly Employer Declaration (EMP201)</w:t>
      </w:r>
      <w:r w:rsidR="00C83305">
        <w:t xml:space="preserve"> through SARS </w:t>
      </w:r>
      <w:proofErr w:type="spellStart"/>
      <w:r w:rsidR="00C83305">
        <w:t>eFiling</w:t>
      </w:r>
      <w:proofErr w:type="spellEnd"/>
      <w:r w:rsidRPr="00F209B7">
        <w:t xml:space="preserve">. </w:t>
      </w:r>
    </w:p>
    <w:p w14:paraId="6583E7E1" w14:textId="029B7F46" w:rsidR="00E41438" w:rsidRPr="00F209B7" w:rsidRDefault="00E41438" w:rsidP="00D66738">
      <w:pPr>
        <w:jc w:val="both"/>
      </w:pPr>
      <w:r w:rsidRPr="00F209B7">
        <w:t xml:space="preserve">To claim for UIF, </w:t>
      </w:r>
      <w:r w:rsidR="00C83305">
        <w:t xml:space="preserve">retrenched </w:t>
      </w:r>
      <w:r w:rsidRPr="00F209B7">
        <w:t xml:space="preserve">workers must apply for benefits at their nearest labour centre in person. </w:t>
      </w:r>
      <w:r w:rsidR="00C83305">
        <w:t xml:space="preserve">Workers may not claim UIF if they resign or are dismissed for ill-discipline or low </w:t>
      </w:r>
      <w:r w:rsidR="00C83305">
        <w:lastRenderedPageBreak/>
        <w:t xml:space="preserve">productivity. </w:t>
      </w:r>
      <w:r w:rsidRPr="00F209B7">
        <w:t>They must be registered as work-seekers and take the necessary documents with them, which include:</w:t>
      </w:r>
    </w:p>
    <w:p w14:paraId="10639681" w14:textId="32A7D33F" w:rsidR="00E41438" w:rsidRPr="00F209B7" w:rsidRDefault="00C83305" w:rsidP="00D66738">
      <w:pPr>
        <w:pStyle w:val="ListParagraph"/>
        <w:numPr>
          <w:ilvl w:val="0"/>
          <w:numId w:val="77"/>
        </w:numPr>
        <w:jc w:val="both"/>
      </w:pPr>
      <w:r>
        <w:t>Bar</w:t>
      </w:r>
      <w:r w:rsidR="00E41438" w:rsidRPr="00F209B7">
        <w:t>-coded ID or passport;</w:t>
      </w:r>
    </w:p>
    <w:p w14:paraId="57919EB1" w14:textId="0D69DAA0" w:rsidR="00E41438" w:rsidRPr="00F209B7" w:rsidRDefault="00C83305" w:rsidP="00D66738">
      <w:pPr>
        <w:pStyle w:val="ListParagraph"/>
        <w:numPr>
          <w:ilvl w:val="0"/>
          <w:numId w:val="77"/>
        </w:numPr>
        <w:jc w:val="both"/>
      </w:pPr>
      <w:r>
        <w:t>B</w:t>
      </w:r>
      <w:r w:rsidR="00E41438" w:rsidRPr="00F209B7">
        <w:t>anking details;</w:t>
      </w:r>
    </w:p>
    <w:p w14:paraId="0881BF40" w14:textId="3F3B3136" w:rsidR="00E41438" w:rsidRPr="00F209B7" w:rsidRDefault="00C83305" w:rsidP="00D66738">
      <w:pPr>
        <w:pStyle w:val="ListParagraph"/>
        <w:numPr>
          <w:ilvl w:val="0"/>
          <w:numId w:val="77"/>
        </w:numPr>
        <w:jc w:val="both"/>
      </w:pPr>
      <w:r>
        <w:t>F</w:t>
      </w:r>
      <w:r w:rsidR="00E41438" w:rsidRPr="00F209B7">
        <w:t>orm UI-19 to show that you are no longer working for your employer; and</w:t>
      </w:r>
    </w:p>
    <w:p w14:paraId="7492B0A5" w14:textId="72889E4E" w:rsidR="00E41438" w:rsidRPr="00F209B7" w:rsidRDefault="00C83305" w:rsidP="00D66738">
      <w:pPr>
        <w:pStyle w:val="ListParagraph"/>
        <w:numPr>
          <w:ilvl w:val="0"/>
          <w:numId w:val="77"/>
        </w:numPr>
        <w:jc w:val="both"/>
      </w:pPr>
      <w:r>
        <w:t>P</w:t>
      </w:r>
      <w:r w:rsidR="00E41438" w:rsidRPr="00F209B7">
        <w:t>roof of registration as a work-seeker.</w:t>
      </w:r>
    </w:p>
    <w:p w14:paraId="3A8FA533" w14:textId="5A73CD6F" w:rsidR="00E41438" w:rsidRPr="00F209B7" w:rsidRDefault="00E41438" w:rsidP="00D66738">
      <w:pPr>
        <w:jc w:val="both"/>
      </w:pPr>
      <w:r w:rsidRPr="00F209B7">
        <w:t>To claim SETA</w:t>
      </w:r>
      <w:r w:rsidR="00C83305">
        <w:t xml:space="preserve"> support for training</w:t>
      </w:r>
      <w:r w:rsidRPr="00F209B7">
        <w:t xml:space="preserve">, </w:t>
      </w:r>
      <w:r w:rsidR="00C83305">
        <w:t xml:space="preserve">an </w:t>
      </w:r>
      <w:r w:rsidRPr="00F209B7">
        <w:t>enterprise need</w:t>
      </w:r>
      <w:r w:rsidR="00C83305">
        <w:t>s</w:t>
      </w:r>
      <w:r w:rsidRPr="00F209B7">
        <w:t xml:space="preserve"> to compile a Workplace Skills Plan</w:t>
      </w:r>
      <w:r w:rsidR="00C83305">
        <w:t>. In return they can receive</w:t>
      </w:r>
      <w:r w:rsidRPr="00F209B7">
        <w:t xml:space="preserve"> mandatory and discretionary grant repayments </w:t>
      </w:r>
      <w:r w:rsidR="00C83305">
        <w:t xml:space="preserve">equal to half </w:t>
      </w:r>
      <w:r w:rsidRPr="00F209B7">
        <w:t xml:space="preserve">their annual skills levy contribution. </w:t>
      </w:r>
      <w:r w:rsidR="00C83305">
        <w:t xml:space="preserve">If companies send their employees for training on accredited courses approved by their SETA, the SETA will pay the service provider directly.  </w:t>
      </w:r>
    </w:p>
    <w:p w14:paraId="6C8D5008" w14:textId="77777777" w:rsidR="00A823A9" w:rsidRDefault="00E41438" w:rsidP="00D66738">
      <w:pPr>
        <w:jc w:val="both"/>
      </w:pPr>
      <w:r w:rsidRPr="00F209B7">
        <w:t>According to the provisions of Section 82(1) of the COIDA, it is incumbent upon an employer to render a return of earnings before or on the 31st of March of each year. From April every year, the Compensation Fund sends employers notices of assessments that tell them how much to pay</w:t>
      </w:r>
      <w:r w:rsidR="00C83305">
        <w:t>, depending on the industry to which they are assigned</w:t>
      </w:r>
      <w:r w:rsidRPr="00F209B7">
        <w:t xml:space="preserve">. </w:t>
      </w:r>
    </w:p>
    <w:p w14:paraId="33C167BA" w14:textId="0C1C0313" w:rsidR="00E41438" w:rsidRPr="00F209B7" w:rsidRDefault="00A823A9" w:rsidP="00D66738">
      <w:pPr>
        <w:jc w:val="both"/>
      </w:pPr>
      <w:r>
        <w:t xml:space="preserve">The notification process occurs </w:t>
      </w:r>
      <w:r w:rsidR="00E41438" w:rsidRPr="00F209B7">
        <w:t>throughout the year, and it is not possible to predict when employers will</w:t>
      </w:r>
      <w:r>
        <w:t xml:space="preserve"> receive their notices. The date</w:t>
      </w:r>
      <w:r w:rsidR="00E41438" w:rsidRPr="00F209B7">
        <w:t xml:space="preserve"> of the notice determines when employers must pay, making the process somewhat unpredictable. Typically, employers are required to pay within 30 days of when the notice was sent. Employers can pay by cheque, direct debit or internet banking. An employer that does not receive an assessment for a whole year </w:t>
      </w:r>
      <w:r w:rsidR="00C83305">
        <w:t xml:space="preserve">is expected to </w:t>
      </w:r>
      <w:r w:rsidR="00E41438" w:rsidRPr="00F209B7">
        <w:t>contact the Compensation Fund to find out if there is a problem.</w:t>
      </w:r>
    </w:p>
    <w:p w14:paraId="1DB50804" w14:textId="77777777" w:rsidR="00E41438" w:rsidRPr="00F209B7" w:rsidRDefault="00E41438" w:rsidP="00D66738">
      <w:pPr>
        <w:jc w:val="both"/>
      </w:pPr>
      <w:r w:rsidRPr="00F209B7">
        <w:t xml:space="preserve">An employee needs to keep records of Compensation Fund payment for up to four years of the date of last entry. A health and safety representative will inspect the register, records or documentation maintained by the employee for compliance. </w:t>
      </w:r>
    </w:p>
    <w:p w14:paraId="450132D5" w14:textId="2C785FBC" w:rsidR="00E41438" w:rsidRDefault="00C83305" w:rsidP="00D66738">
      <w:pPr>
        <w:jc w:val="both"/>
      </w:pPr>
      <w:r>
        <w:t xml:space="preserve">Employers </w:t>
      </w:r>
      <w:r w:rsidR="00E41438" w:rsidRPr="00F209B7">
        <w:t xml:space="preserve">must submit </w:t>
      </w:r>
      <w:r>
        <w:t xml:space="preserve">their claim </w:t>
      </w:r>
      <w:r w:rsidR="00E41438" w:rsidRPr="00F209B7">
        <w:t>to the Compensation Commissioner </w:t>
      </w:r>
      <w:r w:rsidR="00E41438" w:rsidRPr="00F209B7">
        <w:rPr>
          <w:bCs/>
        </w:rPr>
        <w:t>within seven days after an injury</w:t>
      </w:r>
      <w:r w:rsidR="00E41438" w:rsidRPr="00F209B7">
        <w:t> and </w:t>
      </w:r>
      <w:r w:rsidR="00E41438" w:rsidRPr="00F209B7">
        <w:rPr>
          <w:bCs/>
        </w:rPr>
        <w:t>14 days</w:t>
      </w:r>
      <w:r w:rsidR="00E41438" w:rsidRPr="00F209B7">
        <w:t> of being notified </w:t>
      </w:r>
      <w:r w:rsidR="00E41438" w:rsidRPr="00F209B7">
        <w:rPr>
          <w:bCs/>
        </w:rPr>
        <w:t>of the diagnosis of a disease</w:t>
      </w:r>
      <w:r w:rsidR="00E41438" w:rsidRPr="00F209B7">
        <w:t xml:space="preserve">. </w:t>
      </w:r>
      <w:r>
        <w:t xml:space="preserve">Validated claims – the vast majority – are </w:t>
      </w:r>
      <w:r w:rsidR="00E41438" w:rsidRPr="00F209B7">
        <w:t>paid through the National Revenue Fund, which is later compensated by the Compensation Fund.</w:t>
      </w:r>
      <w:r>
        <w:t xml:space="preserve"> In 2015/6, the Compensation Fund registered 129 000 claims and adjudicated 80% of them. A quarter of claims take two months to adjudicate. The Fund blamed the delays on slow computer systems and high vacancies in its provincial offices. (Compensation Fund 2016, pp. 42-43)</w:t>
      </w:r>
    </w:p>
    <w:p w14:paraId="0B2552DD" w14:textId="29AEA314" w:rsidR="00C83305" w:rsidRPr="00F209B7" w:rsidRDefault="00C83305" w:rsidP="00D66738">
      <w:pPr>
        <w:jc w:val="both"/>
      </w:pPr>
      <w:r>
        <w:rPr>
          <w:rFonts w:eastAsia="Times New Roman"/>
          <w:lang w:eastAsia="en-ZA"/>
        </w:rPr>
        <w:t xml:space="preserve">The Compensation Fund systems were computerised only a few years ago, and are still not fully on-line. In particular, the Fund does not have a computerised case management system that is integrated with the registration system. This situation led to significant delays and backlogs in 2013, which have since reportedly been largely overcome. </w:t>
      </w:r>
    </w:p>
    <w:p w14:paraId="5A07E3C1" w14:textId="77777777" w:rsidR="00E41438" w:rsidRPr="00F209B7" w:rsidRDefault="00E41438" w:rsidP="00D66738">
      <w:pPr>
        <w:pStyle w:val="Heading4"/>
        <w:jc w:val="both"/>
      </w:pPr>
      <w:bookmarkStart w:id="781" w:name="_Toc469410879"/>
      <w:bookmarkStart w:id="782" w:name="_Toc469585756"/>
      <w:r w:rsidRPr="00F209B7">
        <w:t>Costs that are integral to the desired outcome</w:t>
      </w:r>
      <w:bookmarkEnd w:id="781"/>
      <w:bookmarkEnd w:id="782"/>
    </w:p>
    <w:p w14:paraId="177521F4" w14:textId="77777777" w:rsidR="008F7024" w:rsidRDefault="00E41438" w:rsidP="00D66738">
      <w:pPr>
        <w:jc w:val="both"/>
      </w:pPr>
      <w:r w:rsidRPr="00F209B7">
        <w:t xml:space="preserve">The </w:t>
      </w:r>
      <w:r w:rsidR="00A823A9">
        <w:t xml:space="preserve">levies paid by employers are an </w:t>
      </w:r>
      <w:r w:rsidRPr="00F209B7">
        <w:t xml:space="preserve">integral </w:t>
      </w:r>
      <w:r w:rsidR="00A823A9">
        <w:t xml:space="preserve">cost </w:t>
      </w:r>
      <w:r w:rsidRPr="00F209B7">
        <w:t xml:space="preserve">to the desired outcome for </w:t>
      </w:r>
      <w:r w:rsidR="00A823A9">
        <w:t xml:space="preserve">funds as well as </w:t>
      </w:r>
      <w:r w:rsidRPr="00F209B7">
        <w:t xml:space="preserve">the </w:t>
      </w:r>
      <w:r w:rsidR="002D06E3" w:rsidRPr="00F209B7">
        <w:t>skills levy</w:t>
      </w:r>
      <w:r w:rsidRPr="00F209B7">
        <w:t xml:space="preserve">. </w:t>
      </w:r>
      <w:r w:rsidR="00A823A9">
        <w:t xml:space="preserve">The total for the UIF and the skills levy equals 3% of payroll, with 1% of that paid by employees for the UIF. </w:t>
      </w:r>
    </w:p>
    <w:p w14:paraId="52D565DE" w14:textId="523E3398" w:rsidR="008F7024" w:rsidRDefault="008F7024" w:rsidP="00D66738">
      <w:pPr>
        <w:jc w:val="both"/>
      </w:pPr>
      <w:r>
        <w:t>The current regulations on the skills levy provide that t</w:t>
      </w:r>
    </w:p>
    <w:p w14:paraId="312D659A" w14:textId="03A45820" w:rsidR="00A823A9" w:rsidRDefault="00A823A9" w:rsidP="00D66738">
      <w:pPr>
        <w:jc w:val="both"/>
      </w:pPr>
      <w:r>
        <w:t xml:space="preserve">In contrast, COIDA does not levy a flat amount. Instead, it bases its fees on the anticipated risk as well as workers’ earnings. </w:t>
      </w:r>
    </w:p>
    <w:p w14:paraId="2ADFA31C" w14:textId="77777777" w:rsidR="00A823A9" w:rsidRDefault="00A823A9" w:rsidP="00D66738">
      <w:pPr>
        <w:jc w:val="both"/>
      </w:pPr>
      <w:r>
        <w:lastRenderedPageBreak/>
        <w:t>COIDA has established over a hundred risk classes for e</w:t>
      </w:r>
      <w:r w:rsidR="00E41438" w:rsidRPr="00F209B7">
        <w:t>mployers</w:t>
      </w:r>
      <w:r>
        <w:t xml:space="preserve"> based mostly on the type of industry</w:t>
      </w:r>
      <w:r w:rsidR="00E41438" w:rsidRPr="00F209B7">
        <w:t>, each with its own assessment tariff</w:t>
      </w:r>
      <w:r>
        <w:t xml:space="preserve">. If an employer has higher </w:t>
      </w:r>
      <w:r w:rsidR="00E41438" w:rsidRPr="00F209B7">
        <w:t>accident costs than others in the same subclass, the assessment tariff may be increased.  If costs are lower, the rate may be reduced.</w:t>
      </w:r>
      <w:r>
        <w:t xml:space="preserve"> The assessment system is currently lagging behind in the dates for new assessments. </w:t>
      </w:r>
    </w:p>
    <w:p w14:paraId="1DC4B8AC" w14:textId="338C92FF" w:rsidR="00E41438" w:rsidRPr="00F209B7" w:rsidRDefault="00E41438" w:rsidP="00D66738">
      <w:pPr>
        <w:jc w:val="both"/>
      </w:pPr>
      <w:r w:rsidRPr="00F209B7">
        <w:t xml:space="preserve">The Compensation Commissioner may refund employers with a merit rebate if employers actively prevent accidents; employers </w:t>
      </w:r>
      <w:r w:rsidR="00A823A9">
        <w:t>moderate</w:t>
      </w:r>
      <w:r w:rsidRPr="00F209B7">
        <w:t xml:space="preserve"> costs over a three-year cycle; and there are excess funds.</w:t>
      </w:r>
      <w:r w:rsidR="00A823A9">
        <w:t xml:space="preserve"> In the event, as discussed in the following section, the Compensation Fund has an extraordinarily large surplus from payments. </w:t>
      </w:r>
    </w:p>
    <w:p w14:paraId="1EED6BF6" w14:textId="77777777" w:rsidR="00E41438" w:rsidRDefault="00E41438" w:rsidP="00D66738">
      <w:pPr>
        <w:pStyle w:val="Heading3"/>
        <w:numPr>
          <w:ilvl w:val="2"/>
          <w:numId w:val="134"/>
        </w:numPr>
        <w:ind w:left="0" w:firstLine="0"/>
        <w:jc w:val="both"/>
      </w:pPr>
      <w:bookmarkStart w:id="783" w:name="_Toc479843928"/>
      <w:bookmarkStart w:id="784" w:name="_Toc479844552"/>
      <w:bookmarkStart w:id="785" w:name="_Toc479940882"/>
      <w:r w:rsidRPr="00F209B7">
        <w:t>Assessment of costs on small enterprises</w:t>
      </w:r>
      <w:bookmarkEnd w:id="783"/>
      <w:bookmarkEnd w:id="784"/>
      <w:bookmarkEnd w:id="785"/>
    </w:p>
    <w:p w14:paraId="1BA65924" w14:textId="3FCB637F" w:rsidR="00E14235" w:rsidRPr="00E14235" w:rsidRDefault="00E14235" w:rsidP="00D66738">
      <w:pPr>
        <w:jc w:val="both"/>
      </w:pPr>
      <w:r>
        <w:t xml:space="preserve">Informants and other research raised concerns principally around the limited ability of small businesses to benefit from the skills levy; the unpredictability of COIDA risk assessments and the general overpayment built into the system; and the relatively onerous registration requirements for private employment agencies. </w:t>
      </w:r>
    </w:p>
    <w:p w14:paraId="47AD91C9" w14:textId="60F71384" w:rsidR="00A823A9" w:rsidRDefault="000B6B25" w:rsidP="00D66738">
      <w:pPr>
        <w:jc w:val="both"/>
      </w:pPr>
      <w:r>
        <w:t>The</w:t>
      </w:r>
      <w:r w:rsidR="00A823A9" w:rsidRPr="00F209B7">
        <w:t xml:space="preserve"> current SETA refund system has been criticised for extracting funds from small business </w:t>
      </w:r>
      <w:r w:rsidR="00E14235">
        <w:t xml:space="preserve">without </w:t>
      </w:r>
      <w:r>
        <w:t xml:space="preserve">providing </w:t>
      </w:r>
      <w:r w:rsidR="00A823A9" w:rsidRPr="00F209B7">
        <w:t xml:space="preserve">them with </w:t>
      </w:r>
      <w:r>
        <w:t xml:space="preserve">appropriate </w:t>
      </w:r>
      <w:r w:rsidR="00A823A9" w:rsidRPr="00F209B7">
        <w:t xml:space="preserve">training. This position </w:t>
      </w:r>
      <w:r>
        <w:t xml:space="preserve">was </w:t>
      </w:r>
      <w:r w:rsidR="00A823A9" w:rsidRPr="00F209B7">
        <w:t>articulated by the D</w:t>
      </w:r>
      <w:r>
        <w:t xml:space="preserve">avis </w:t>
      </w:r>
      <w:r w:rsidR="00A823A9" w:rsidRPr="00F209B7">
        <w:t>T</w:t>
      </w:r>
      <w:r>
        <w:t xml:space="preserve">ax </w:t>
      </w:r>
      <w:r w:rsidR="00A823A9" w:rsidRPr="00F209B7">
        <w:t>C</w:t>
      </w:r>
      <w:r>
        <w:t xml:space="preserve">ommission </w:t>
      </w:r>
      <w:r w:rsidR="00A823A9" w:rsidRPr="00F209B7">
        <w:t>(2016) recently</w:t>
      </w:r>
      <w:r w:rsidR="00E14235">
        <w:t>, but it</w:t>
      </w:r>
      <w:r w:rsidR="00A823A9" w:rsidRPr="00F209B7">
        <w:t xml:space="preserve"> has been a consistent concern from small business associations, </w:t>
      </w:r>
      <w:r>
        <w:t xml:space="preserve">as </w:t>
      </w:r>
      <w:r w:rsidR="00A823A9">
        <w:t xml:space="preserve">cited </w:t>
      </w:r>
      <w:r>
        <w:t xml:space="preserve">for instance </w:t>
      </w:r>
      <w:r w:rsidR="00A823A9">
        <w:t>in</w:t>
      </w:r>
      <w:r w:rsidR="00A823A9" w:rsidRPr="00F209B7">
        <w:t xml:space="preserve"> </w:t>
      </w:r>
      <w:proofErr w:type="spellStart"/>
      <w:r w:rsidR="00A823A9" w:rsidRPr="00F209B7">
        <w:t>Fetola</w:t>
      </w:r>
      <w:proofErr w:type="spellEnd"/>
      <w:r w:rsidR="00A823A9" w:rsidRPr="00F209B7">
        <w:t xml:space="preserve"> (2013).</w:t>
      </w:r>
      <w:r>
        <w:t xml:space="preserve"> In this context, the main concerns arise about the low exemption ceiling and the </w:t>
      </w:r>
      <w:r w:rsidR="00E14235">
        <w:t xml:space="preserve">high standards set for accredited </w:t>
      </w:r>
      <w:r>
        <w:t xml:space="preserve">training. </w:t>
      </w:r>
      <w:r w:rsidR="00A823A9" w:rsidRPr="00F209B7">
        <w:t xml:space="preserve"> </w:t>
      </w:r>
    </w:p>
    <w:p w14:paraId="797FCBCE" w14:textId="615BD57D" w:rsidR="00DE65BA" w:rsidRDefault="00DE65BA" w:rsidP="00D66738">
      <w:pPr>
        <w:jc w:val="both"/>
      </w:pPr>
      <w:r>
        <w:t xml:space="preserve">Companies have to pay the skills levy if they have a payroll of R500 000 or more. Based on 2015 rates, that would mean the number of employees could range from a single professional worker to around ten formal employees earning the median wage of R3500 a month. By extension, it would mean most micro-enterprises are expected to pay the skills levy. </w:t>
      </w:r>
    </w:p>
    <w:p w14:paraId="68BEB97D" w14:textId="24875FB1" w:rsidR="00A823A9" w:rsidRPr="00F209B7" w:rsidRDefault="000B6B25" w:rsidP="00D66738">
      <w:pPr>
        <w:jc w:val="both"/>
      </w:pPr>
      <w:r>
        <w:t>Estimates suggest that</w:t>
      </w:r>
      <w:r w:rsidR="00A823A9" w:rsidRPr="00F209B7">
        <w:t xml:space="preserve"> only 37% of </w:t>
      </w:r>
      <w:r>
        <w:t xml:space="preserve">small businesses that pay </w:t>
      </w:r>
      <w:r w:rsidR="00A823A9" w:rsidRPr="00F209B7">
        <w:t>the levy are receiving the training benefits. Only 10% of those small business</w:t>
      </w:r>
      <w:r w:rsidR="00A823A9">
        <w:t>es</w:t>
      </w:r>
      <w:r w:rsidR="00A823A9" w:rsidRPr="00F209B7">
        <w:t xml:space="preserve"> </w:t>
      </w:r>
      <w:r>
        <w:t xml:space="preserve">claimed </w:t>
      </w:r>
      <w:r w:rsidR="00A823A9" w:rsidRPr="00F209B7">
        <w:t>through the</w:t>
      </w:r>
      <w:r>
        <w:t xml:space="preserve"> workplace skills plan, while the rest utilised </w:t>
      </w:r>
      <w:r w:rsidR="00A823A9" w:rsidRPr="00F209B7">
        <w:t xml:space="preserve">SETA accredited training courses. </w:t>
      </w:r>
    </w:p>
    <w:p w14:paraId="59AD83C3" w14:textId="1A4D4291" w:rsidR="003A2506" w:rsidRDefault="003A2506" w:rsidP="00D66738">
      <w:pPr>
        <w:jc w:val="both"/>
      </w:pPr>
      <w:r>
        <w:t xml:space="preserve">Various factors explain </w:t>
      </w:r>
      <w:r w:rsidR="00DE65BA">
        <w:t>this situation</w:t>
      </w:r>
      <w:r>
        <w:t>.</w:t>
      </w:r>
    </w:p>
    <w:p w14:paraId="3B2C91F6" w14:textId="510AB1A7" w:rsidR="00A823A9" w:rsidRDefault="003A2506" w:rsidP="00D66738">
      <w:pPr>
        <w:jc w:val="both"/>
      </w:pPr>
      <w:r>
        <w:t>First</w:t>
      </w:r>
      <w:r w:rsidR="00A823A9" w:rsidRPr="00F209B7">
        <w:t xml:space="preserve">, many </w:t>
      </w:r>
      <w:r>
        <w:t xml:space="preserve">small </w:t>
      </w:r>
      <w:r w:rsidR="00876660">
        <w:t>businesses</w:t>
      </w:r>
      <w:r>
        <w:t xml:space="preserve"> do not have capacity to </w:t>
      </w:r>
      <w:r w:rsidR="00A823A9" w:rsidRPr="00F209B7">
        <w:t xml:space="preserve">comply with </w:t>
      </w:r>
      <w:r w:rsidR="00DE65BA">
        <w:t xml:space="preserve">the </w:t>
      </w:r>
      <w:r>
        <w:t xml:space="preserve">requirements </w:t>
      </w:r>
      <w:r w:rsidR="00DE65BA">
        <w:t>for workplace skills plan, which were designed essentially for relatively large enterprises. Amongst others, t</w:t>
      </w:r>
      <w:r w:rsidR="00DE65BA" w:rsidRPr="00F209B7">
        <w:t xml:space="preserve">he workplace skills plan requires an enterprise to set up a consultative committee </w:t>
      </w:r>
      <w:r w:rsidR="00DE65BA">
        <w:t xml:space="preserve">with employees and to </w:t>
      </w:r>
      <w:r w:rsidR="00DE65BA" w:rsidRPr="00F209B7">
        <w:t>have monitoring systems</w:t>
      </w:r>
      <w:r w:rsidR="00DE65BA">
        <w:t xml:space="preserve"> in place. But most small and micro </w:t>
      </w:r>
      <w:r>
        <w:t>businesses do not have a separate human-relations component, so that the burden falls on the owner or senior managers</w:t>
      </w:r>
      <w:r w:rsidR="00DE65BA">
        <w:t xml:space="preserve">. Moreover, if they have only a handful of employees, the required committee becomes only a bureaucratic requirement. </w:t>
      </w:r>
    </w:p>
    <w:p w14:paraId="374E2643" w14:textId="296B2287" w:rsidR="008F7024" w:rsidRPr="00F209B7" w:rsidRDefault="008F7024" w:rsidP="00D66738">
      <w:pPr>
        <w:jc w:val="both"/>
      </w:pPr>
      <w:r>
        <w:t>The difficulty of developing a workplace skills plan has to be offset against the benefits. From 2016, the share of levies returned for an approved skills plan was reduced to 20%. For a company with a payroll of R500 000, that means a refund of R1000 – almost certainly less than the cost of developing the plan in the first place. Before 2016, the mandatory grant was half the levy, which would come to R5000 for a company with a payroll of R500 000. Again, that sum would not justify sign</w:t>
      </w:r>
      <w:r w:rsidR="003A6773">
        <w:t xml:space="preserve">ificant administrative effort. </w:t>
      </w:r>
      <w:r>
        <w:t xml:space="preserve"> </w:t>
      </w:r>
    </w:p>
    <w:p w14:paraId="37E86E19" w14:textId="04EBA96A" w:rsidR="00A823A9" w:rsidRPr="00F209B7" w:rsidRDefault="00A823A9" w:rsidP="00D66738">
      <w:pPr>
        <w:jc w:val="both"/>
      </w:pPr>
      <w:r w:rsidRPr="00F209B7">
        <w:t>Second,</w:t>
      </w:r>
      <w:r w:rsidR="003A2506">
        <w:t xml:space="preserve"> SETA</w:t>
      </w:r>
      <w:r w:rsidRPr="00F209B7">
        <w:t xml:space="preserve">-accredited training </w:t>
      </w:r>
      <w:r w:rsidR="003A2506">
        <w:t>provide</w:t>
      </w:r>
      <w:r w:rsidR="00DE65BA">
        <w:t>s</w:t>
      </w:r>
      <w:r w:rsidR="003A2506">
        <w:t xml:space="preserve"> courses that fall within the </w:t>
      </w:r>
      <w:r w:rsidRPr="00F209B7">
        <w:t xml:space="preserve">South African Qualifications Authority (SAQA) </w:t>
      </w:r>
      <w:r w:rsidR="003A2506">
        <w:t xml:space="preserve">framework. The aim is to enable employees to accumulate </w:t>
      </w:r>
      <w:r w:rsidR="003A2506">
        <w:lastRenderedPageBreak/>
        <w:t xml:space="preserve">credit toward a recognised certification. That in turn requires substantial time on theoretical understanding and </w:t>
      </w:r>
      <w:r w:rsidR="00DE65BA">
        <w:t xml:space="preserve">transferable </w:t>
      </w:r>
      <w:r w:rsidR="003A2506">
        <w:t xml:space="preserve">skills. For small businesses, however, </w:t>
      </w:r>
      <w:r w:rsidR="00DE65BA">
        <w:t xml:space="preserve">this may be seen requiring a significant amount of lost </w:t>
      </w:r>
      <w:r w:rsidR="003A2506">
        <w:t xml:space="preserve">time in return for theoretical benefits </w:t>
      </w:r>
      <w:r w:rsidR="00DE65BA">
        <w:t xml:space="preserve">to </w:t>
      </w:r>
      <w:r w:rsidR="003A2506">
        <w:t>the employee but only limited practical training</w:t>
      </w:r>
      <w:r w:rsidR="00DE65BA">
        <w:t xml:space="preserve"> to benefit the employer</w:t>
      </w:r>
      <w:r w:rsidR="003A2506">
        <w:t xml:space="preserve">. </w:t>
      </w:r>
    </w:p>
    <w:p w14:paraId="6AD485DA" w14:textId="4F9D3907" w:rsidR="00A823A9" w:rsidRDefault="00A823A9" w:rsidP="00D66738">
      <w:pPr>
        <w:jc w:val="both"/>
      </w:pPr>
      <w:r w:rsidRPr="00F209B7">
        <w:t>Third, accredited learnership</w:t>
      </w:r>
      <w:r w:rsidR="003A2506">
        <w:t>s generally entail at least a year’s commitment</w:t>
      </w:r>
      <w:r w:rsidR="00EB0702">
        <w:t xml:space="preserve"> with specified theoretical as well as practical training</w:t>
      </w:r>
      <w:r w:rsidR="003A2506">
        <w:t xml:space="preserve">. Small businesses with very limited staffing </w:t>
      </w:r>
      <w:r w:rsidRPr="00F209B7">
        <w:t xml:space="preserve">may </w:t>
      </w:r>
      <w:r w:rsidR="003A2506">
        <w:t xml:space="preserve">find that this leads to disruption and undesirable rigidities. They may </w:t>
      </w:r>
      <w:r w:rsidRPr="00F209B7">
        <w:t xml:space="preserve">prefer shorter </w:t>
      </w:r>
      <w:r w:rsidR="00EB0702">
        <w:t xml:space="preserve">and more informal </w:t>
      </w:r>
      <w:r w:rsidRPr="00F209B7">
        <w:t>internship</w:t>
      </w:r>
      <w:r w:rsidR="003A2506">
        <w:t>s</w:t>
      </w:r>
      <w:r w:rsidRPr="00F209B7">
        <w:t xml:space="preserve"> </w:t>
      </w:r>
      <w:r w:rsidR="003A2506">
        <w:t xml:space="preserve">in order to maintain flexibility to respond to changing conditions and needs. </w:t>
      </w:r>
    </w:p>
    <w:p w14:paraId="6FC475A9" w14:textId="0E019CEF" w:rsidR="003A2506" w:rsidRDefault="00D57249" w:rsidP="00D66738">
      <w:pPr>
        <w:jc w:val="both"/>
      </w:pPr>
      <w:r>
        <w:t xml:space="preserve">In terms of the Compensation Fund, the main issues relate to the risk assessment process and to the </w:t>
      </w:r>
      <w:r w:rsidR="00EB0702">
        <w:t xml:space="preserve">unjustifiably high </w:t>
      </w:r>
      <w:r>
        <w:t xml:space="preserve">levies. </w:t>
      </w:r>
    </w:p>
    <w:p w14:paraId="55F35BA0" w14:textId="77777777" w:rsidR="00D57249" w:rsidRDefault="00D57249" w:rsidP="00D66738">
      <w:pPr>
        <w:jc w:val="both"/>
      </w:pPr>
      <w:r>
        <w:t xml:space="preserve">As noted above, risk assessments have been delayed and unpredictable. Moreover, informants argue that </w:t>
      </w:r>
    </w:p>
    <w:p w14:paraId="6201A6F5" w14:textId="411C9AA1" w:rsidR="00D57249" w:rsidRDefault="00D57249" w:rsidP="00D66738">
      <w:pPr>
        <w:pStyle w:val="ListParagraph"/>
        <w:numPr>
          <w:ilvl w:val="0"/>
          <w:numId w:val="78"/>
        </w:numPr>
        <w:jc w:val="both"/>
      </w:pPr>
      <w:r>
        <w:t>companies that span more than one industry are inevitably assigned to the higher-risk, and higher-cost, category</w:t>
      </w:r>
    </w:p>
    <w:p w14:paraId="7E2DE0F9" w14:textId="59D30F9F" w:rsidR="00D57249" w:rsidRDefault="00D57249" w:rsidP="00D66738">
      <w:pPr>
        <w:pStyle w:val="ListParagraph"/>
        <w:numPr>
          <w:ilvl w:val="0"/>
          <w:numId w:val="78"/>
        </w:numPr>
        <w:jc w:val="both"/>
      </w:pPr>
      <w:r>
        <w:t xml:space="preserve">improvements in health and safety at sectoral level are not adequately reflected in assessment, in part </w:t>
      </w:r>
      <w:r w:rsidR="008A44A6">
        <w:t>because</w:t>
      </w:r>
      <w:r>
        <w:t xml:space="preserve"> the assessments themselves are delayed, and</w:t>
      </w:r>
    </w:p>
    <w:p w14:paraId="0164FB2B" w14:textId="0A932945" w:rsidR="00D57249" w:rsidRPr="00F209B7" w:rsidRDefault="00D57249" w:rsidP="00D66738">
      <w:pPr>
        <w:pStyle w:val="ListParagraph"/>
        <w:numPr>
          <w:ilvl w:val="0"/>
          <w:numId w:val="78"/>
        </w:numPr>
        <w:jc w:val="both"/>
      </w:pPr>
      <w:r>
        <w:t xml:space="preserve">it is difficult, time-consuming and often futile to appeal an inappropriate assessment. </w:t>
      </w:r>
    </w:p>
    <w:p w14:paraId="3604363F" w14:textId="073C6958" w:rsidR="00D57249" w:rsidRDefault="00DE65BA" w:rsidP="00D66738">
      <w:pPr>
        <w:jc w:val="both"/>
      </w:pPr>
      <w:r>
        <w:t xml:space="preserve">The concerns around risk assessment underpin the evidence of considerable over-payment by </w:t>
      </w:r>
      <w:r w:rsidR="00EB0702">
        <w:t xml:space="preserve">companies. As the following table shows, </w:t>
      </w:r>
      <w:r w:rsidR="00E14235">
        <w:t xml:space="preserve">the Compensation Fund has consistently received far more in assessed payments from employers than it has spent on employee needs. As a result, it has built up a substantial surplus, from which it now receives an income in excess of both payments from employers and </w:t>
      </w:r>
      <w:proofErr w:type="spellStart"/>
      <w:r w:rsidR="00E14235">
        <w:t>payouts</w:t>
      </w:r>
      <w:proofErr w:type="spellEnd"/>
      <w:r w:rsidR="00E14235">
        <w:t xml:space="preserve"> to employees. That means the surplus is likely to continue to grow for the foreseeable future. </w:t>
      </w:r>
      <w:r w:rsidR="00965755">
        <w:t xml:space="preserve">Its </w:t>
      </w:r>
      <w:proofErr w:type="spellStart"/>
      <w:r w:rsidR="00965755">
        <w:t>payouts</w:t>
      </w:r>
      <w:proofErr w:type="spellEnd"/>
      <w:r w:rsidR="00965755">
        <w:t xml:space="preserve"> are now around a fifth of its total income.</w:t>
      </w:r>
    </w:p>
    <w:p w14:paraId="37D119AF" w14:textId="2D5F382C" w:rsidR="00965755" w:rsidRDefault="00965755" w:rsidP="00D66738">
      <w:pPr>
        <w:pStyle w:val="Caption"/>
        <w:jc w:val="both"/>
      </w:pPr>
      <w:bookmarkStart w:id="786" w:name="_Toc479845231"/>
      <w:bookmarkStart w:id="787" w:name="_Toc479940956"/>
      <w:r>
        <w:t xml:space="preserve">Figure </w:t>
      </w:r>
      <w:fldSimple w:instr=" SEQ Figure \* ARABIC ">
        <w:r w:rsidR="005062E7">
          <w:rPr>
            <w:noProof/>
          </w:rPr>
          <w:t>14</w:t>
        </w:r>
      </w:fldSimple>
      <w:r>
        <w:t>. Compensation Fund revenues and benefit payments</w:t>
      </w:r>
      <w:bookmarkEnd w:id="786"/>
      <w:bookmarkEnd w:id="787"/>
    </w:p>
    <w:p w14:paraId="33A216E8" w14:textId="7B8C1CBB" w:rsidR="00965755" w:rsidRDefault="00965755" w:rsidP="00D66738">
      <w:pPr>
        <w:pStyle w:val="charts"/>
        <w:jc w:val="both"/>
      </w:pPr>
      <w:r w:rsidRPr="00965755">
        <w:rPr>
          <w:noProof/>
          <w:lang w:eastAsia="en-ZA"/>
        </w:rPr>
        <w:drawing>
          <wp:inline distT="0" distB="0" distL="0" distR="0" wp14:anchorId="27EE0630" wp14:editId="5839ADE5">
            <wp:extent cx="5731510" cy="2396920"/>
            <wp:effectExtent l="0" t="0" r="254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2396920"/>
                    </a:xfrm>
                    <a:prstGeom prst="rect">
                      <a:avLst/>
                    </a:prstGeom>
                    <a:noFill/>
                    <a:ln>
                      <a:noFill/>
                    </a:ln>
                  </pic:spPr>
                </pic:pic>
              </a:graphicData>
            </a:graphic>
          </wp:inline>
        </w:drawing>
      </w:r>
    </w:p>
    <w:p w14:paraId="05E904E6" w14:textId="4685B477" w:rsidR="00965755" w:rsidRPr="00965755" w:rsidRDefault="00965755" w:rsidP="00D66738">
      <w:pPr>
        <w:pStyle w:val="source"/>
        <w:jc w:val="both"/>
      </w:pPr>
      <w:r>
        <w:rPr>
          <w:i/>
        </w:rPr>
        <w:t xml:space="preserve">Source: </w:t>
      </w:r>
      <w:r>
        <w:t xml:space="preserve">Department of Labour. Report to Parliamentary Labour Portfolio Committee on 17 May 2016. Downloaded from </w:t>
      </w:r>
      <w:r w:rsidRPr="0065619D">
        <w:t>www.pmg.org.za</w:t>
      </w:r>
      <w:r>
        <w:t xml:space="preserve"> in April 2017. </w:t>
      </w:r>
    </w:p>
    <w:p w14:paraId="3660F426" w14:textId="728CCA03" w:rsidR="00E14235" w:rsidRDefault="00E14235" w:rsidP="00D66738">
      <w:pPr>
        <w:jc w:val="both"/>
      </w:pPr>
      <w:r>
        <w:t xml:space="preserve">In effect, this situation means that COIDA has become a forced saving scheme for employers, both small and large. A similar argument applies to the UIF, which also has an </w:t>
      </w:r>
      <w:r>
        <w:lastRenderedPageBreak/>
        <w:t xml:space="preserve">extraordinarily large annual surplus and </w:t>
      </w:r>
      <w:r w:rsidR="008A44A6">
        <w:t>investments</w:t>
      </w:r>
      <w:r>
        <w:t xml:space="preserve"> worth well over R100 billion. (See Makgetla 2016)</w:t>
      </w:r>
    </w:p>
    <w:p w14:paraId="380A9649" w14:textId="03A887CB" w:rsidR="00965755" w:rsidRDefault="00965755" w:rsidP="00D66738">
      <w:pPr>
        <w:jc w:val="both"/>
      </w:pPr>
      <w:r>
        <w:t xml:space="preserve">Finally, </w:t>
      </w:r>
      <w:r w:rsidR="008A44A6">
        <w:t>representatives</w:t>
      </w:r>
      <w:r>
        <w:t xml:space="preserve"> of private employment agencies have raised concerns around their specific r</w:t>
      </w:r>
      <w:r w:rsidR="00E41438" w:rsidRPr="00F209B7">
        <w:t xml:space="preserve">egistration </w:t>
      </w:r>
      <w:r>
        <w:t xml:space="preserve">requirements for </w:t>
      </w:r>
      <w:r w:rsidR="00E41438" w:rsidRPr="00F209B7">
        <w:t xml:space="preserve">UIF, </w:t>
      </w:r>
      <w:r>
        <w:t xml:space="preserve">the </w:t>
      </w:r>
      <w:r w:rsidR="002D06E3" w:rsidRPr="00F209B7">
        <w:t>skills levy</w:t>
      </w:r>
      <w:r>
        <w:t xml:space="preserve"> and COIDA. A </w:t>
      </w:r>
      <w:r w:rsidR="00E41438" w:rsidRPr="00F209B7">
        <w:t>representative of</w:t>
      </w:r>
      <w:r w:rsidR="00114B9A" w:rsidRPr="00114B9A">
        <w:t xml:space="preserve"> </w:t>
      </w:r>
      <w:r w:rsidR="00114B9A">
        <w:t>t</w:t>
      </w:r>
      <w:r w:rsidR="00114B9A" w:rsidRPr="00114B9A">
        <w:t>he Federation of African Professional Staffing Organisations</w:t>
      </w:r>
      <w:r w:rsidR="00E41438" w:rsidRPr="00F209B7">
        <w:t xml:space="preserve"> </w:t>
      </w:r>
      <w:r w:rsidR="00114B9A">
        <w:t>(</w:t>
      </w:r>
      <w:r w:rsidR="00E41438" w:rsidRPr="00F209B7">
        <w:t>APSO</w:t>
      </w:r>
      <w:r w:rsidR="00114B9A">
        <w:t>)</w:t>
      </w:r>
      <w:r w:rsidR="00E41438" w:rsidRPr="00F209B7">
        <w:t>, an industry association</w:t>
      </w:r>
      <w:r>
        <w:t>, brought these issues to our attention</w:t>
      </w:r>
      <w:r w:rsidR="00E41438" w:rsidRPr="00F209B7">
        <w:t xml:space="preserve">. </w:t>
      </w:r>
    </w:p>
    <w:p w14:paraId="15538F2A" w14:textId="3AEE7290" w:rsidR="00E41438" w:rsidRPr="00F209B7" w:rsidRDefault="00E41438" w:rsidP="00D66738">
      <w:pPr>
        <w:jc w:val="both"/>
      </w:pPr>
      <w:r w:rsidRPr="00F209B7">
        <w:t>In order to register for as a formal employment for gain company, an enterprise requires a Private Employment Agency (PEA) certificate.</w:t>
      </w:r>
      <w:r w:rsidR="00965755">
        <w:t xml:space="preserve"> That in turn requires that the enterprise undergo a site visit and submit: </w:t>
      </w:r>
    </w:p>
    <w:p w14:paraId="41A80D15" w14:textId="77777777" w:rsidR="00E41438" w:rsidRPr="00F209B7" w:rsidRDefault="00E41438" w:rsidP="00D66738">
      <w:pPr>
        <w:pStyle w:val="ListParagraph"/>
        <w:numPr>
          <w:ilvl w:val="0"/>
          <w:numId w:val="79"/>
        </w:numPr>
        <w:jc w:val="both"/>
      </w:pPr>
      <w:r w:rsidRPr="00F209B7">
        <w:t>VAT registration</w:t>
      </w:r>
    </w:p>
    <w:p w14:paraId="670ABBC3" w14:textId="77777777" w:rsidR="00E41438" w:rsidRPr="00F209B7" w:rsidRDefault="00E41438" w:rsidP="00D66738">
      <w:pPr>
        <w:pStyle w:val="ListParagraph"/>
        <w:numPr>
          <w:ilvl w:val="0"/>
          <w:numId w:val="79"/>
        </w:numPr>
        <w:jc w:val="both"/>
      </w:pPr>
      <w:r w:rsidRPr="00F209B7">
        <w:t>Skills Development Levy registration</w:t>
      </w:r>
    </w:p>
    <w:p w14:paraId="21D21F94" w14:textId="77777777" w:rsidR="00E41438" w:rsidRPr="00F209B7" w:rsidRDefault="00E41438" w:rsidP="00D66738">
      <w:pPr>
        <w:pStyle w:val="ListParagraph"/>
        <w:numPr>
          <w:ilvl w:val="0"/>
          <w:numId w:val="79"/>
        </w:numPr>
        <w:jc w:val="both"/>
      </w:pPr>
      <w:r w:rsidRPr="00F209B7">
        <w:t>Income Tax registration (and tax clearance certificate)</w:t>
      </w:r>
    </w:p>
    <w:p w14:paraId="15122E49" w14:textId="77777777" w:rsidR="00E41438" w:rsidRPr="00F209B7" w:rsidRDefault="00E41438" w:rsidP="00D66738">
      <w:pPr>
        <w:pStyle w:val="ListParagraph"/>
        <w:numPr>
          <w:ilvl w:val="0"/>
          <w:numId w:val="79"/>
        </w:numPr>
        <w:jc w:val="both"/>
      </w:pPr>
      <w:r w:rsidRPr="00F209B7">
        <w:t>Proof of payment of COIDA and UIF</w:t>
      </w:r>
    </w:p>
    <w:p w14:paraId="75865EDD" w14:textId="77777777" w:rsidR="00E41438" w:rsidRPr="00F209B7" w:rsidRDefault="00E41438" w:rsidP="00D66738">
      <w:pPr>
        <w:pStyle w:val="ListParagraph"/>
        <w:numPr>
          <w:ilvl w:val="0"/>
          <w:numId w:val="79"/>
        </w:numPr>
        <w:jc w:val="both"/>
      </w:pPr>
      <w:r w:rsidRPr="00F209B7">
        <w:t>Letter of good standing from UIF and COIDA</w:t>
      </w:r>
    </w:p>
    <w:p w14:paraId="65B679E8" w14:textId="0B458CCA" w:rsidR="00E41438" w:rsidRPr="00F209B7" w:rsidRDefault="00E41438" w:rsidP="00D66738">
      <w:pPr>
        <w:jc w:val="both"/>
      </w:pPr>
      <w:r w:rsidRPr="00F209B7">
        <w:t xml:space="preserve">The applications must be submitted </w:t>
      </w:r>
      <w:r w:rsidR="00965755">
        <w:t>by every branch of the employment agency, in person, at</w:t>
      </w:r>
      <w:r w:rsidRPr="00F209B7">
        <w:t xml:space="preserve"> </w:t>
      </w:r>
      <w:r w:rsidR="00965755">
        <w:t>the</w:t>
      </w:r>
      <w:r w:rsidRPr="00F209B7">
        <w:t xml:space="preserve"> nearest Department of Labour office</w:t>
      </w:r>
      <w:r w:rsidR="00965755">
        <w:t xml:space="preserve">. The site visit takes placing following submission of the documents. </w:t>
      </w:r>
      <w:r w:rsidR="005E0820">
        <w:t xml:space="preserve">APSO says </w:t>
      </w:r>
      <w:r w:rsidRPr="00F209B7">
        <w:t xml:space="preserve">that the </w:t>
      </w:r>
      <w:r w:rsidR="00965755">
        <w:t xml:space="preserve">Department of Labour </w:t>
      </w:r>
      <w:r w:rsidR="005E0820">
        <w:t xml:space="preserve">has </w:t>
      </w:r>
      <w:r w:rsidRPr="00F209B7">
        <w:t xml:space="preserve">increasingly </w:t>
      </w:r>
      <w:r w:rsidR="005E0820">
        <w:t xml:space="preserve">insisted on </w:t>
      </w:r>
      <w:r w:rsidRPr="00F209B7">
        <w:t xml:space="preserve">site audits for applications and renewals for PEA certificates. </w:t>
      </w:r>
      <w:r w:rsidR="005E0820">
        <w:t>The s</w:t>
      </w:r>
      <w:r w:rsidRPr="00F209B7">
        <w:t xml:space="preserve">ite inspections </w:t>
      </w:r>
      <w:r w:rsidR="005E0820">
        <w:t xml:space="preserve">cover amongst others the </w:t>
      </w:r>
      <w:r w:rsidRPr="00F209B7">
        <w:t>company letterhead, founding documents, a utility bill</w:t>
      </w:r>
      <w:r w:rsidR="005E0820">
        <w:t xml:space="preserve"> as well as compliance with the </w:t>
      </w:r>
      <w:r w:rsidRPr="00F209B7">
        <w:t xml:space="preserve">Basic Conditions of Employment </w:t>
      </w:r>
      <w:r w:rsidR="005E0820">
        <w:t xml:space="preserve">Act, the </w:t>
      </w:r>
      <w:r w:rsidRPr="00F209B7">
        <w:t xml:space="preserve">Occupational Health and Safety </w:t>
      </w:r>
      <w:r w:rsidR="005E0820">
        <w:t xml:space="preserve">Act and the </w:t>
      </w:r>
      <w:r w:rsidRPr="00F209B7">
        <w:t xml:space="preserve">Employment Equity Act. The inspector </w:t>
      </w:r>
      <w:r w:rsidR="005E0820">
        <w:t xml:space="preserve">may </w:t>
      </w:r>
      <w:r w:rsidRPr="00F209B7">
        <w:t>also ask about the nature of employment services work conducted.</w:t>
      </w:r>
    </w:p>
    <w:p w14:paraId="67FE7756" w14:textId="2A1936A1" w:rsidR="00E41438" w:rsidRPr="00F209B7" w:rsidRDefault="005E0820" w:rsidP="00D66738">
      <w:pPr>
        <w:jc w:val="both"/>
      </w:pPr>
      <w:r>
        <w:t xml:space="preserve">After the Department of Labour has issued a </w:t>
      </w:r>
      <w:r w:rsidR="00E41438" w:rsidRPr="00F209B7">
        <w:t>PEA certificate</w:t>
      </w:r>
      <w:r>
        <w:t xml:space="preserve">, the agency has to renew it every two years. It must also renew the certificate if it moves or </w:t>
      </w:r>
      <w:r w:rsidR="00E41438" w:rsidRPr="00F209B7">
        <w:t xml:space="preserve">makes </w:t>
      </w:r>
      <w:r>
        <w:t xml:space="preserve">a </w:t>
      </w:r>
      <w:r w:rsidR="00E41438" w:rsidRPr="00F209B7">
        <w:t xml:space="preserve">fundamental change to </w:t>
      </w:r>
      <w:r>
        <w:t xml:space="preserve">its </w:t>
      </w:r>
      <w:r w:rsidR="00E41438" w:rsidRPr="00F209B7">
        <w:t>operation</w:t>
      </w:r>
      <w:r>
        <w:t>s</w:t>
      </w:r>
      <w:r w:rsidR="00E41438" w:rsidRPr="00F209B7">
        <w:t>.</w:t>
      </w:r>
    </w:p>
    <w:p w14:paraId="701CFABD" w14:textId="77777777" w:rsidR="005E0820" w:rsidRDefault="00E41438" w:rsidP="00D66738">
      <w:pPr>
        <w:jc w:val="both"/>
      </w:pPr>
      <w:r w:rsidRPr="00F209B7">
        <w:t>APSO argues that the process is tedious and onerous for small enterprises in the industry. The Letters of Good Standing for UIF and COIDA, in particular, are manage</w:t>
      </w:r>
      <w:r w:rsidR="005E0820">
        <w:t xml:space="preserve">d through a paper-based system at </w:t>
      </w:r>
      <w:r w:rsidRPr="00F209B7">
        <w:t xml:space="preserve">regional </w:t>
      </w:r>
      <w:r w:rsidR="005E0820">
        <w:t xml:space="preserve">Department of Labour </w:t>
      </w:r>
      <w:r w:rsidRPr="00F209B7">
        <w:t xml:space="preserve">offices. </w:t>
      </w:r>
      <w:r w:rsidR="005E0820">
        <w:t xml:space="preserve">That leads to reported delays of </w:t>
      </w:r>
      <w:r w:rsidRPr="00F209B7">
        <w:t xml:space="preserve">up to 18 months. </w:t>
      </w:r>
    </w:p>
    <w:p w14:paraId="532340EE" w14:textId="58CE8107" w:rsidR="00E41438" w:rsidRPr="00F209B7" w:rsidRDefault="005E0820" w:rsidP="00D66738">
      <w:pPr>
        <w:jc w:val="both"/>
      </w:pPr>
      <w:r>
        <w:t>APSO contends</w:t>
      </w:r>
      <w:r w:rsidR="00E41438" w:rsidRPr="00F209B7">
        <w:t xml:space="preserve"> that the onerous registration </w:t>
      </w:r>
      <w:r>
        <w:t xml:space="preserve">process means </w:t>
      </w:r>
      <w:r w:rsidR="00E41438" w:rsidRPr="00F209B7">
        <w:t xml:space="preserve">a large number of </w:t>
      </w:r>
      <w:proofErr w:type="gramStart"/>
      <w:r w:rsidR="00E41438" w:rsidRPr="00F209B7">
        <w:t>enterprise</w:t>
      </w:r>
      <w:proofErr w:type="gramEnd"/>
      <w:r w:rsidR="00E41438" w:rsidRPr="00F209B7">
        <w:t xml:space="preserve"> to operate illegally</w:t>
      </w:r>
      <w:r>
        <w:t>, without the PEA certificate</w:t>
      </w:r>
      <w:r w:rsidR="00E41438" w:rsidRPr="00F209B7">
        <w:t xml:space="preserve">. </w:t>
      </w:r>
      <w:r>
        <w:t xml:space="preserve">It </w:t>
      </w:r>
      <w:r w:rsidR="00E41438" w:rsidRPr="00F209B7">
        <w:t xml:space="preserve">estimates that there are approximately 3000 companies operating in the industry, most of which may be unlicensed. APSO </w:t>
      </w:r>
      <w:r>
        <w:t xml:space="preserve">itself </w:t>
      </w:r>
      <w:r w:rsidR="00E41438" w:rsidRPr="00F209B7">
        <w:t xml:space="preserve">has </w:t>
      </w:r>
      <w:r>
        <w:t xml:space="preserve">only </w:t>
      </w:r>
      <w:r w:rsidR="00E41438" w:rsidRPr="00F209B7">
        <w:t>about 750 members.</w:t>
      </w:r>
    </w:p>
    <w:p w14:paraId="006CA9FF" w14:textId="3CD5AB7F" w:rsidR="00E41438" w:rsidRPr="00F209B7" w:rsidRDefault="00777101" w:rsidP="00D66738">
      <w:pPr>
        <w:pStyle w:val="Heading3"/>
        <w:numPr>
          <w:ilvl w:val="2"/>
          <w:numId w:val="134"/>
        </w:numPr>
        <w:ind w:left="0" w:firstLine="0"/>
        <w:jc w:val="both"/>
      </w:pPr>
      <w:bookmarkStart w:id="788" w:name="_Toc479843929"/>
      <w:bookmarkStart w:id="789" w:name="_Toc479844553"/>
      <w:bookmarkStart w:id="790" w:name="_Toc479940883"/>
      <w:r>
        <w:t>Options</w:t>
      </w:r>
      <w:bookmarkEnd w:id="788"/>
      <w:bookmarkEnd w:id="789"/>
      <w:bookmarkEnd w:id="790"/>
    </w:p>
    <w:p w14:paraId="63C25913" w14:textId="61159AFC" w:rsidR="00E41438" w:rsidRPr="00F209B7" w:rsidRDefault="005E0820" w:rsidP="00D66738">
      <w:pPr>
        <w:spacing w:after="160"/>
        <w:jc w:val="both"/>
        <w:rPr>
          <w:rFonts w:ascii="Calibri" w:eastAsia="Calibri" w:hAnsi="Calibri" w:cs="Times New Roman"/>
          <w:szCs w:val="24"/>
        </w:rPr>
      </w:pPr>
      <w:r>
        <w:rPr>
          <w:rFonts w:ascii="Calibri" w:eastAsia="Calibri" w:hAnsi="Calibri" w:cs="Times New Roman"/>
          <w:szCs w:val="24"/>
        </w:rPr>
        <w:t>We here assess options to address:</w:t>
      </w:r>
    </w:p>
    <w:p w14:paraId="522549CA" w14:textId="5CF536D8" w:rsidR="005E0820" w:rsidRDefault="005E0820" w:rsidP="00D66738">
      <w:pPr>
        <w:pStyle w:val="ListParagraph"/>
        <w:numPr>
          <w:ilvl w:val="0"/>
          <w:numId w:val="80"/>
        </w:numPr>
        <w:jc w:val="both"/>
      </w:pPr>
      <w:r>
        <w:t>The failure of SETAs to provide support to small business in line with levy payments;</w:t>
      </w:r>
    </w:p>
    <w:p w14:paraId="7B8CA079" w14:textId="4645E418" w:rsidR="005E0820" w:rsidRDefault="005E0820" w:rsidP="00D66738">
      <w:pPr>
        <w:pStyle w:val="ListParagraph"/>
        <w:numPr>
          <w:ilvl w:val="0"/>
          <w:numId w:val="80"/>
        </w:numPr>
        <w:jc w:val="both"/>
      </w:pPr>
      <w:r>
        <w:t>The unpredictability and high level of COIDA payments; and</w:t>
      </w:r>
    </w:p>
    <w:p w14:paraId="446F3FC9" w14:textId="77777777" w:rsidR="005E0820" w:rsidRPr="005E0820" w:rsidRDefault="00E41438" w:rsidP="00D66738">
      <w:pPr>
        <w:pStyle w:val="ListParagraph"/>
        <w:numPr>
          <w:ilvl w:val="0"/>
          <w:numId w:val="80"/>
        </w:numPr>
        <w:jc w:val="both"/>
        <w:rPr>
          <w:rFonts w:ascii="Calibri" w:eastAsia="Calibri" w:hAnsi="Calibri" w:cs="Times New Roman"/>
          <w:szCs w:val="24"/>
        </w:rPr>
      </w:pPr>
      <w:r w:rsidRPr="00F209B7">
        <w:t>The onerous procedures and delays with obtaining PEA certificate</w:t>
      </w:r>
      <w:r w:rsidR="005E0820">
        <w:t xml:space="preserve">. </w:t>
      </w:r>
    </w:p>
    <w:p w14:paraId="7B09EF38" w14:textId="14B12FA9" w:rsidR="005E0820" w:rsidRPr="00A215BF" w:rsidRDefault="005E0820" w:rsidP="00D66738">
      <w:pPr>
        <w:pStyle w:val="Heading4"/>
        <w:numPr>
          <w:ilvl w:val="3"/>
          <w:numId w:val="136"/>
        </w:numPr>
        <w:jc w:val="both"/>
        <w:rPr>
          <w:rFonts w:eastAsia="Calibri"/>
        </w:rPr>
      </w:pPr>
      <w:r w:rsidRPr="00A215BF">
        <w:rPr>
          <w:rFonts w:eastAsia="Calibri"/>
        </w:rPr>
        <w:lastRenderedPageBreak/>
        <w:t>The skills levy</w:t>
      </w:r>
    </w:p>
    <w:p w14:paraId="08F406AF" w14:textId="4A7ED5FB" w:rsidR="005E0820" w:rsidRDefault="005E0820" w:rsidP="00D66738">
      <w:pPr>
        <w:jc w:val="both"/>
      </w:pPr>
      <w:r>
        <w:t>The following options have been considered for ensuring that small business</w:t>
      </w:r>
      <w:r w:rsidR="003A6773">
        <w:t>es</w:t>
      </w:r>
      <w:r>
        <w:t xml:space="preserve"> benefit more from the skills levy system. </w:t>
      </w:r>
    </w:p>
    <w:p w14:paraId="6ADC9749" w14:textId="70DD3D98" w:rsidR="005E0820" w:rsidRPr="00F209B7" w:rsidRDefault="005E0820" w:rsidP="00D66738">
      <w:pPr>
        <w:pStyle w:val="ListParagraph"/>
        <w:numPr>
          <w:ilvl w:val="0"/>
          <w:numId w:val="81"/>
        </w:numPr>
        <w:jc w:val="both"/>
      </w:pPr>
      <w:r w:rsidRPr="00F209B7">
        <w:t>Option 1: Raise</w:t>
      </w:r>
      <w:r>
        <w:t xml:space="preserve"> the payroll</w:t>
      </w:r>
      <w:r w:rsidRPr="00F209B7">
        <w:t xml:space="preserve"> threshold for </w:t>
      </w:r>
      <w:r>
        <w:t xml:space="preserve">payment of the </w:t>
      </w:r>
      <w:r w:rsidRPr="00F209B7">
        <w:t>skills levy</w:t>
      </w:r>
      <w:r>
        <w:t>, for instance to R1 million (equivalent to two or three professionals or up to 20 semi-skilled formal workers)</w:t>
      </w:r>
    </w:p>
    <w:p w14:paraId="2BA4AD4D" w14:textId="7D498E16" w:rsidR="005E0820" w:rsidRPr="00F209B7" w:rsidRDefault="005E0820" w:rsidP="00D66738">
      <w:pPr>
        <w:pStyle w:val="ListParagraph"/>
        <w:numPr>
          <w:ilvl w:val="0"/>
          <w:numId w:val="81"/>
        </w:numPr>
        <w:jc w:val="both"/>
      </w:pPr>
      <w:r w:rsidRPr="00F209B7">
        <w:t xml:space="preserve">Option 2: Develop </w:t>
      </w:r>
      <w:r>
        <w:t xml:space="preserve">a simplified </w:t>
      </w:r>
      <w:r w:rsidRPr="00F209B7">
        <w:t xml:space="preserve">workplace skills plan </w:t>
      </w:r>
      <w:r>
        <w:t>for small businesses</w:t>
      </w:r>
    </w:p>
    <w:p w14:paraId="67993E75" w14:textId="4912761E" w:rsidR="005E0820" w:rsidRPr="00F209B7" w:rsidRDefault="005E0820" w:rsidP="00D66738">
      <w:pPr>
        <w:pStyle w:val="ListParagraph"/>
        <w:numPr>
          <w:ilvl w:val="0"/>
          <w:numId w:val="81"/>
        </w:numPr>
        <w:jc w:val="both"/>
      </w:pPr>
      <w:r w:rsidRPr="00F209B7">
        <w:t xml:space="preserve">Option 3: Develop </w:t>
      </w:r>
      <w:r>
        <w:t>specific modules and curricula for training for small businesses</w:t>
      </w:r>
    </w:p>
    <w:p w14:paraId="533184B2" w14:textId="061DD410" w:rsidR="00E41438" w:rsidRPr="000468A4" w:rsidRDefault="00E41438" w:rsidP="00D66738">
      <w:pPr>
        <w:pStyle w:val="Caption"/>
        <w:jc w:val="both"/>
      </w:pPr>
      <w:bookmarkStart w:id="791" w:name="_Toc479940975"/>
      <w:r w:rsidRPr="000468A4">
        <w:t xml:space="preserve">Table </w:t>
      </w:r>
      <w:fldSimple w:instr=" SEQ Table \* ARABIC ">
        <w:r w:rsidR="005062E7">
          <w:rPr>
            <w:noProof/>
          </w:rPr>
          <w:t>18</w:t>
        </w:r>
      </w:fldSimple>
      <w:r w:rsidR="005E0820">
        <w:rPr>
          <w:noProof/>
        </w:rPr>
        <w:t>.</w:t>
      </w:r>
      <w:r w:rsidRPr="000468A4">
        <w:t xml:space="preserve"> Costs, benefits and risks </w:t>
      </w:r>
      <w:r w:rsidR="005E0820">
        <w:t>around the skills levy</w:t>
      </w:r>
      <w:bookmarkEnd w:id="791"/>
    </w:p>
    <w:tbl>
      <w:tblPr>
        <w:tblStyle w:val="TableGrid"/>
        <w:tblW w:w="5000" w:type="pct"/>
        <w:tblLook w:val="04A0" w:firstRow="1" w:lastRow="0" w:firstColumn="1" w:lastColumn="0" w:noHBand="0" w:noVBand="1"/>
      </w:tblPr>
      <w:tblGrid>
        <w:gridCol w:w="1093"/>
        <w:gridCol w:w="2135"/>
        <w:gridCol w:w="1843"/>
        <w:gridCol w:w="1896"/>
        <w:gridCol w:w="2275"/>
      </w:tblGrid>
      <w:tr w:rsidR="008F7024" w:rsidRPr="005E0820" w14:paraId="0317F187" w14:textId="06FE302B" w:rsidTr="008F7024">
        <w:trPr>
          <w:cantSplit/>
          <w:tblHeader/>
        </w:trPr>
        <w:tc>
          <w:tcPr>
            <w:tcW w:w="591" w:type="pct"/>
            <w:vAlign w:val="bottom"/>
          </w:tcPr>
          <w:p w14:paraId="2DBC7BEE" w14:textId="27C13756" w:rsidR="008F7024" w:rsidRPr="005E0820" w:rsidRDefault="008F7024" w:rsidP="00D66738">
            <w:pPr>
              <w:pStyle w:val="charts"/>
              <w:jc w:val="both"/>
              <w:rPr>
                <w:b/>
                <w:sz w:val="20"/>
              </w:rPr>
            </w:pPr>
          </w:p>
        </w:tc>
        <w:tc>
          <w:tcPr>
            <w:tcW w:w="1155" w:type="pct"/>
            <w:vAlign w:val="bottom"/>
          </w:tcPr>
          <w:p w14:paraId="32EB1614" w14:textId="153B8746" w:rsidR="008F7024" w:rsidRPr="005E0820" w:rsidRDefault="008F7024" w:rsidP="00D66738">
            <w:pPr>
              <w:pStyle w:val="charts"/>
              <w:jc w:val="both"/>
              <w:rPr>
                <w:b/>
                <w:sz w:val="20"/>
              </w:rPr>
            </w:pPr>
            <w:r>
              <w:rPr>
                <w:b/>
                <w:sz w:val="20"/>
              </w:rPr>
              <w:t>S</w:t>
            </w:r>
            <w:r w:rsidRPr="005E0820">
              <w:rPr>
                <w:b/>
                <w:sz w:val="20"/>
              </w:rPr>
              <w:t>mall business</w:t>
            </w:r>
          </w:p>
        </w:tc>
        <w:tc>
          <w:tcPr>
            <w:tcW w:w="997" w:type="pct"/>
            <w:vAlign w:val="bottom"/>
          </w:tcPr>
          <w:p w14:paraId="3D8D5BF9" w14:textId="2B9ADE37" w:rsidR="008F7024" w:rsidRPr="005E0820" w:rsidRDefault="008F7024" w:rsidP="00D66738">
            <w:pPr>
              <w:pStyle w:val="charts"/>
              <w:jc w:val="both"/>
              <w:rPr>
                <w:b/>
                <w:sz w:val="20"/>
              </w:rPr>
            </w:pPr>
            <w:r>
              <w:rPr>
                <w:b/>
                <w:sz w:val="20"/>
              </w:rPr>
              <w:t>Department of Higher Education and Training</w:t>
            </w:r>
          </w:p>
        </w:tc>
        <w:tc>
          <w:tcPr>
            <w:tcW w:w="1026" w:type="pct"/>
            <w:vAlign w:val="bottom"/>
          </w:tcPr>
          <w:p w14:paraId="696C8869" w14:textId="1A553DAD" w:rsidR="008F7024" w:rsidRPr="005E0820" w:rsidRDefault="008F7024" w:rsidP="00D66738">
            <w:pPr>
              <w:pStyle w:val="charts"/>
              <w:jc w:val="both"/>
              <w:rPr>
                <w:b/>
                <w:sz w:val="20"/>
              </w:rPr>
            </w:pPr>
            <w:r>
              <w:rPr>
                <w:b/>
                <w:sz w:val="20"/>
              </w:rPr>
              <w:t>SETAs</w:t>
            </w:r>
          </w:p>
        </w:tc>
        <w:tc>
          <w:tcPr>
            <w:tcW w:w="1231" w:type="pct"/>
            <w:vAlign w:val="bottom"/>
          </w:tcPr>
          <w:p w14:paraId="608A9146" w14:textId="534F1D4F" w:rsidR="008F7024" w:rsidRPr="005E0820" w:rsidRDefault="008F7024" w:rsidP="00D66738">
            <w:pPr>
              <w:pStyle w:val="charts"/>
              <w:jc w:val="both"/>
              <w:rPr>
                <w:b/>
                <w:sz w:val="20"/>
              </w:rPr>
            </w:pPr>
            <w:r>
              <w:rPr>
                <w:b/>
                <w:sz w:val="20"/>
              </w:rPr>
              <w:t>Workers in small business</w:t>
            </w:r>
          </w:p>
        </w:tc>
      </w:tr>
      <w:tr w:rsidR="008F7024" w:rsidRPr="005E0820" w14:paraId="6705F5D3" w14:textId="3EF4185A" w:rsidTr="008F7024">
        <w:trPr>
          <w:cantSplit/>
        </w:trPr>
        <w:tc>
          <w:tcPr>
            <w:tcW w:w="591" w:type="pct"/>
          </w:tcPr>
          <w:p w14:paraId="48997BD1" w14:textId="0AC98AC4" w:rsidR="008F7024" w:rsidRPr="005E0820" w:rsidRDefault="008F7024" w:rsidP="00D66738">
            <w:pPr>
              <w:pStyle w:val="charts"/>
              <w:keepNext w:val="0"/>
              <w:spacing w:after="120"/>
              <w:jc w:val="both"/>
              <w:rPr>
                <w:sz w:val="20"/>
              </w:rPr>
            </w:pPr>
            <w:r w:rsidRPr="005E0820">
              <w:rPr>
                <w:sz w:val="20"/>
              </w:rPr>
              <w:t xml:space="preserve">Option 1: Raise </w:t>
            </w:r>
            <w:r>
              <w:rPr>
                <w:sz w:val="20"/>
              </w:rPr>
              <w:t xml:space="preserve">the payroll </w:t>
            </w:r>
            <w:r w:rsidRPr="005E0820">
              <w:rPr>
                <w:sz w:val="20"/>
              </w:rPr>
              <w:t>threshold for skills levy</w:t>
            </w:r>
          </w:p>
        </w:tc>
        <w:tc>
          <w:tcPr>
            <w:tcW w:w="1155" w:type="pct"/>
          </w:tcPr>
          <w:p w14:paraId="432FEE79" w14:textId="4344B987" w:rsidR="008F7024" w:rsidRPr="005E0820" w:rsidRDefault="008F7024" w:rsidP="00D66738">
            <w:pPr>
              <w:pStyle w:val="charts"/>
              <w:keepNext w:val="0"/>
              <w:spacing w:after="120"/>
              <w:jc w:val="both"/>
              <w:rPr>
                <w:sz w:val="20"/>
                <w:szCs w:val="20"/>
              </w:rPr>
            </w:pPr>
            <w:r w:rsidRPr="005E0820">
              <w:rPr>
                <w:sz w:val="20"/>
                <w:szCs w:val="20"/>
              </w:rPr>
              <w:t xml:space="preserve">C: </w:t>
            </w:r>
            <w:r>
              <w:rPr>
                <w:sz w:val="20"/>
                <w:szCs w:val="20"/>
              </w:rPr>
              <w:t>Lose the chance of financing training through the ordinary SETA process</w:t>
            </w:r>
          </w:p>
          <w:p w14:paraId="20DC77DE" w14:textId="47A7ADCE" w:rsidR="008F7024" w:rsidRPr="005E0820" w:rsidRDefault="008F7024" w:rsidP="00D66738">
            <w:pPr>
              <w:pStyle w:val="charts"/>
              <w:keepNext w:val="0"/>
              <w:spacing w:after="120"/>
              <w:jc w:val="both"/>
              <w:rPr>
                <w:sz w:val="20"/>
                <w:szCs w:val="20"/>
              </w:rPr>
            </w:pPr>
            <w:r w:rsidRPr="005E0820">
              <w:rPr>
                <w:sz w:val="20"/>
                <w:szCs w:val="20"/>
              </w:rPr>
              <w:t xml:space="preserve">B: </w:t>
            </w:r>
            <w:r>
              <w:rPr>
                <w:sz w:val="20"/>
                <w:szCs w:val="20"/>
              </w:rPr>
              <w:t>Lower direct costs</w:t>
            </w:r>
          </w:p>
          <w:p w14:paraId="44EF464E" w14:textId="616EA768" w:rsidR="008F7024" w:rsidRPr="005E0820" w:rsidRDefault="008F7024" w:rsidP="00D66738">
            <w:pPr>
              <w:pStyle w:val="charts"/>
              <w:keepNext w:val="0"/>
              <w:spacing w:after="120"/>
              <w:jc w:val="both"/>
              <w:rPr>
                <w:sz w:val="20"/>
                <w:szCs w:val="20"/>
              </w:rPr>
            </w:pPr>
            <w:r w:rsidRPr="005E0820">
              <w:rPr>
                <w:sz w:val="20"/>
                <w:szCs w:val="20"/>
              </w:rPr>
              <w:t xml:space="preserve">R: </w:t>
            </w:r>
            <w:r>
              <w:rPr>
                <w:sz w:val="20"/>
                <w:szCs w:val="20"/>
              </w:rPr>
              <w:t>Small business may remain at lower skills level, and therefore less dynamic and competitive</w:t>
            </w:r>
          </w:p>
        </w:tc>
        <w:tc>
          <w:tcPr>
            <w:tcW w:w="997" w:type="pct"/>
          </w:tcPr>
          <w:p w14:paraId="3A064A49" w14:textId="6F763338" w:rsidR="008F7024" w:rsidRPr="005E0820" w:rsidRDefault="008F7024" w:rsidP="00D66738">
            <w:pPr>
              <w:pStyle w:val="charts"/>
              <w:keepNext w:val="0"/>
              <w:spacing w:after="120"/>
              <w:jc w:val="both"/>
              <w:rPr>
                <w:sz w:val="20"/>
                <w:szCs w:val="20"/>
              </w:rPr>
            </w:pPr>
            <w:r w:rsidRPr="005E0820">
              <w:rPr>
                <w:sz w:val="20"/>
                <w:szCs w:val="20"/>
              </w:rPr>
              <w:t xml:space="preserve">C: </w:t>
            </w:r>
            <w:r>
              <w:rPr>
                <w:sz w:val="20"/>
                <w:szCs w:val="20"/>
              </w:rPr>
              <w:t>Administrative effort to gazette new exemption level under the Act</w:t>
            </w:r>
          </w:p>
          <w:p w14:paraId="1E5CB1C1" w14:textId="73650954" w:rsidR="008F7024" w:rsidRPr="005E0820" w:rsidRDefault="008F7024" w:rsidP="00D66738">
            <w:pPr>
              <w:pStyle w:val="charts"/>
              <w:keepNext w:val="0"/>
              <w:spacing w:after="120"/>
              <w:jc w:val="both"/>
              <w:rPr>
                <w:sz w:val="20"/>
                <w:szCs w:val="20"/>
              </w:rPr>
            </w:pPr>
            <w:r w:rsidRPr="005E0820">
              <w:rPr>
                <w:sz w:val="20"/>
                <w:szCs w:val="20"/>
              </w:rPr>
              <w:t xml:space="preserve">B: </w:t>
            </w:r>
            <w:r>
              <w:rPr>
                <w:sz w:val="20"/>
                <w:szCs w:val="20"/>
              </w:rPr>
              <w:t>Fewer complaints from small business</w:t>
            </w:r>
          </w:p>
          <w:p w14:paraId="651C0DC8" w14:textId="42EE4706" w:rsidR="008F7024" w:rsidRPr="005E0820" w:rsidRDefault="008F7024" w:rsidP="00D66738">
            <w:pPr>
              <w:pStyle w:val="charts"/>
              <w:keepNext w:val="0"/>
              <w:spacing w:after="120"/>
              <w:jc w:val="both"/>
              <w:rPr>
                <w:sz w:val="20"/>
                <w:szCs w:val="20"/>
              </w:rPr>
            </w:pPr>
            <w:r w:rsidRPr="005E0820">
              <w:rPr>
                <w:sz w:val="20"/>
                <w:szCs w:val="20"/>
              </w:rPr>
              <w:t>R:</w:t>
            </w:r>
            <w:r w:rsidRPr="005E0820">
              <w:rPr>
                <w:sz w:val="20"/>
              </w:rPr>
              <w:t xml:space="preserve"> </w:t>
            </w:r>
            <w:r>
              <w:rPr>
                <w:sz w:val="20"/>
              </w:rPr>
              <w:t>S</w:t>
            </w:r>
            <w:r w:rsidRPr="005E0820">
              <w:rPr>
                <w:sz w:val="20"/>
                <w:szCs w:val="20"/>
              </w:rPr>
              <w:t xml:space="preserve">mall business may not </w:t>
            </w:r>
            <w:r>
              <w:rPr>
                <w:sz w:val="20"/>
                <w:szCs w:val="20"/>
              </w:rPr>
              <w:t xml:space="preserve">access or </w:t>
            </w:r>
            <w:r w:rsidRPr="005E0820">
              <w:rPr>
                <w:sz w:val="20"/>
                <w:szCs w:val="20"/>
              </w:rPr>
              <w:t>invest in training</w:t>
            </w:r>
          </w:p>
        </w:tc>
        <w:tc>
          <w:tcPr>
            <w:tcW w:w="1026" w:type="pct"/>
          </w:tcPr>
          <w:p w14:paraId="33F8951E" w14:textId="77777777" w:rsidR="008F7024" w:rsidRDefault="008F7024" w:rsidP="00D66738">
            <w:pPr>
              <w:pStyle w:val="charts"/>
              <w:keepNext w:val="0"/>
              <w:spacing w:after="120"/>
              <w:jc w:val="both"/>
              <w:rPr>
                <w:sz w:val="20"/>
                <w:szCs w:val="20"/>
              </w:rPr>
            </w:pPr>
            <w:r>
              <w:rPr>
                <w:sz w:val="20"/>
                <w:szCs w:val="20"/>
              </w:rPr>
              <w:t>C: Reduced levy income and fewer constituents</w:t>
            </w:r>
          </w:p>
          <w:p w14:paraId="022FDF49" w14:textId="77777777" w:rsidR="008F7024" w:rsidRDefault="008F7024" w:rsidP="00D66738">
            <w:pPr>
              <w:pStyle w:val="charts"/>
              <w:keepNext w:val="0"/>
              <w:spacing w:after="120"/>
              <w:jc w:val="both"/>
              <w:rPr>
                <w:sz w:val="20"/>
                <w:szCs w:val="20"/>
              </w:rPr>
            </w:pPr>
            <w:r>
              <w:rPr>
                <w:sz w:val="20"/>
                <w:szCs w:val="20"/>
              </w:rPr>
              <w:t>B: Do not have as much administrative burden and less pressure from small business</w:t>
            </w:r>
          </w:p>
          <w:p w14:paraId="1716FBBF" w14:textId="64CCDAF7" w:rsidR="008F7024" w:rsidRPr="005E0820" w:rsidRDefault="008F7024" w:rsidP="00D66738">
            <w:pPr>
              <w:pStyle w:val="charts"/>
              <w:keepNext w:val="0"/>
              <w:spacing w:after="120"/>
              <w:jc w:val="both"/>
              <w:rPr>
                <w:sz w:val="20"/>
                <w:szCs w:val="20"/>
              </w:rPr>
            </w:pPr>
            <w:r>
              <w:rPr>
                <w:sz w:val="20"/>
                <w:szCs w:val="20"/>
              </w:rPr>
              <w:t>R: None</w:t>
            </w:r>
          </w:p>
        </w:tc>
        <w:tc>
          <w:tcPr>
            <w:tcW w:w="1231" w:type="pct"/>
          </w:tcPr>
          <w:p w14:paraId="22BA615A" w14:textId="77777777" w:rsidR="008F7024" w:rsidRPr="005E0820" w:rsidRDefault="008F7024" w:rsidP="00D66738">
            <w:pPr>
              <w:pStyle w:val="charts"/>
              <w:keepNext w:val="0"/>
              <w:spacing w:after="120"/>
              <w:jc w:val="both"/>
              <w:rPr>
                <w:sz w:val="20"/>
                <w:szCs w:val="20"/>
              </w:rPr>
            </w:pPr>
            <w:r w:rsidRPr="005E0820">
              <w:rPr>
                <w:sz w:val="20"/>
                <w:szCs w:val="20"/>
              </w:rPr>
              <w:t xml:space="preserve">C: Workers in </w:t>
            </w:r>
            <w:r>
              <w:rPr>
                <w:sz w:val="20"/>
                <w:szCs w:val="20"/>
              </w:rPr>
              <w:t>small business may not get training or only unaccredited training</w:t>
            </w:r>
          </w:p>
          <w:p w14:paraId="63359089" w14:textId="77777777" w:rsidR="008F7024" w:rsidRPr="005E0820" w:rsidRDefault="008F7024" w:rsidP="00D66738">
            <w:pPr>
              <w:pStyle w:val="charts"/>
              <w:keepNext w:val="0"/>
              <w:spacing w:after="120"/>
              <w:jc w:val="both"/>
              <w:rPr>
                <w:sz w:val="20"/>
                <w:szCs w:val="20"/>
              </w:rPr>
            </w:pPr>
            <w:r w:rsidRPr="005E0820">
              <w:rPr>
                <w:sz w:val="20"/>
                <w:szCs w:val="20"/>
              </w:rPr>
              <w:t xml:space="preserve">B: </w:t>
            </w:r>
            <w:r>
              <w:rPr>
                <w:sz w:val="20"/>
                <w:szCs w:val="20"/>
              </w:rPr>
              <w:t>If boost growth in small business, some spillover benefits</w:t>
            </w:r>
          </w:p>
          <w:p w14:paraId="3556FA14" w14:textId="18F6C59E" w:rsidR="008F7024" w:rsidRPr="005E0820" w:rsidRDefault="008F7024" w:rsidP="00D66738">
            <w:pPr>
              <w:pStyle w:val="charts"/>
              <w:keepNext w:val="0"/>
              <w:spacing w:after="120"/>
              <w:jc w:val="both"/>
              <w:rPr>
                <w:sz w:val="20"/>
                <w:szCs w:val="20"/>
              </w:rPr>
            </w:pPr>
            <w:r w:rsidRPr="005E0820">
              <w:rPr>
                <w:sz w:val="20"/>
                <w:szCs w:val="20"/>
              </w:rPr>
              <w:t xml:space="preserve">R: </w:t>
            </w:r>
            <w:r>
              <w:rPr>
                <w:sz w:val="20"/>
                <w:szCs w:val="20"/>
              </w:rPr>
              <w:t>Slower growth in small business due lower training, with negative spillovers</w:t>
            </w:r>
          </w:p>
        </w:tc>
      </w:tr>
      <w:tr w:rsidR="008F7024" w:rsidRPr="005E0820" w14:paraId="6690E775" w14:textId="64C4B2BF" w:rsidTr="008F7024">
        <w:trPr>
          <w:cantSplit/>
        </w:trPr>
        <w:tc>
          <w:tcPr>
            <w:tcW w:w="591" w:type="pct"/>
          </w:tcPr>
          <w:p w14:paraId="6AB48F85" w14:textId="0195A44D" w:rsidR="008F7024" w:rsidRPr="005E0820" w:rsidRDefault="008F7024" w:rsidP="00D66738">
            <w:pPr>
              <w:pStyle w:val="charts"/>
              <w:keepNext w:val="0"/>
              <w:spacing w:after="120"/>
              <w:jc w:val="both"/>
              <w:rPr>
                <w:sz w:val="20"/>
              </w:rPr>
            </w:pPr>
            <w:r w:rsidRPr="005E0820">
              <w:rPr>
                <w:sz w:val="20"/>
              </w:rPr>
              <w:t xml:space="preserve">Option 2: </w:t>
            </w:r>
            <w:r>
              <w:rPr>
                <w:sz w:val="20"/>
              </w:rPr>
              <w:t>Simplified</w:t>
            </w:r>
            <w:r w:rsidRPr="005E0820">
              <w:rPr>
                <w:sz w:val="20"/>
              </w:rPr>
              <w:t xml:space="preserve"> Workplace Skills Plan</w:t>
            </w:r>
            <w:r>
              <w:rPr>
                <w:sz w:val="20"/>
              </w:rPr>
              <w:t xml:space="preserve"> for small business</w:t>
            </w:r>
            <w:r w:rsidRPr="005E0820">
              <w:rPr>
                <w:sz w:val="20"/>
              </w:rPr>
              <w:t xml:space="preserve"> </w:t>
            </w:r>
          </w:p>
        </w:tc>
        <w:tc>
          <w:tcPr>
            <w:tcW w:w="1155" w:type="pct"/>
          </w:tcPr>
          <w:p w14:paraId="2BF2C26D" w14:textId="18257FD9" w:rsidR="008F7024" w:rsidRPr="005E0820" w:rsidRDefault="008F7024" w:rsidP="00D66738">
            <w:pPr>
              <w:pStyle w:val="charts"/>
              <w:keepNext w:val="0"/>
              <w:spacing w:after="120"/>
              <w:jc w:val="both"/>
              <w:rPr>
                <w:sz w:val="20"/>
                <w:szCs w:val="20"/>
              </w:rPr>
            </w:pPr>
            <w:r w:rsidRPr="005E0820">
              <w:rPr>
                <w:sz w:val="20"/>
                <w:szCs w:val="20"/>
              </w:rPr>
              <w:t xml:space="preserve">C: </w:t>
            </w:r>
            <w:r>
              <w:rPr>
                <w:sz w:val="20"/>
                <w:szCs w:val="20"/>
              </w:rPr>
              <w:t>Still have to complete skills plan to qualify</w:t>
            </w:r>
          </w:p>
          <w:p w14:paraId="1B1992A9" w14:textId="1AA8B1A0" w:rsidR="008F7024" w:rsidRPr="005E0820" w:rsidRDefault="008F7024" w:rsidP="00D66738">
            <w:pPr>
              <w:pStyle w:val="charts"/>
              <w:keepNext w:val="0"/>
              <w:spacing w:after="120"/>
              <w:jc w:val="both"/>
              <w:rPr>
                <w:sz w:val="20"/>
                <w:szCs w:val="20"/>
              </w:rPr>
            </w:pPr>
            <w:r w:rsidRPr="005E0820">
              <w:rPr>
                <w:sz w:val="20"/>
                <w:szCs w:val="20"/>
              </w:rPr>
              <w:t xml:space="preserve">B: </w:t>
            </w:r>
            <w:r>
              <w:rPr>
                <w:sz w:val="20"/>
                <w:szCs w:val="20"/>
              </w:rPr>
              <w:t>Easier to qualify for skills levy refund</w:t>
            </w:r>
          </w:p>
          <w:p w14:paraId="3F1C26AD" w14:textId="567D32A6" w:rsidR="008F7024" w:rsidRPr="005E0820" w:rsidRDefault="008F7024" w:rsidP="00D66738">
            <w:pPr>
              <w:pStyle w:val="charts"/>
              <w:keepNext w:val="0"/>
              <w:spacing w:after="120"/>
              <w:jc w:val="both"/>
              <w:rPr>
                <w:sz w:val="20"/>
                <w:szCs w:val="20"/>
              </w:rPr>
            </w:pPr>
            <w:r w:rsidRPr="005E0820">
              <w:rPr>
                <w:sz w:val="20"/>
                <w:szCs w:val="20"/>
              </w:rPr>
              <w:t xml:space="preserve">R: </w:t>
            </w:r>
            <w:r>
              <w:rPr>
                <w:sz w:val="20"/>
                <w:szCs w:val="20"/>
              </w:rPr>
              <w:t>Plan is still too onerous compared to benefits</w:t>
            </w:r>
            <w:r w:rsidR="003A6773">
              <w:rPr>
                <w:sz w:val="20"/>
                <w:szCs w:val="20"/>
              </w:rPr>
              <w:t xml:space="preserve"> at 20% of levy</w:t>
            </w:r>
          </w:p>
        </w:tc>
        <w:tc>
          <w:tcPr>
            <w:tcW w:w="997" w:type="pct"/>
          </w:tcPr>
          <w:p w14:paraId="6D3C9E22" w14:textId="3B16B554" w:rsidR="008F7024" w:rsidRPr="005E0820" w:rsidRDefault="008F7024" w:rsidP="00D66738">
            <w:pPr>
              <w:pStyle w:val="charts"/>
              <w:keepNext w:val="0"/>
              <w:spacing w:after="120"/>
              <w:jc w:val="both"/>
              <w:rPr>
                <w:sz w:val="20"/>
                <w:szCs w:val="20"/>
              </w:rPr>
            </w:pPr>
            <w:r w:rsidRPr="005E0820">
              <w:rPr>
                <w:sz w:val="20"/>
                <w:szCs w:val="20"/>
              </w:rPr>
              <w:t xml:space="preserve">C: </w:t>
            </w:r>
            <w:r>
              <w:rPr>
                <w:sz w:val="20"/>
                <w:szCs w:val="20"/>
              </w:rPr>
              <w:t>Develop simplified plan and negotiate acceptance by SETAs; communicate to small businesses</w:t>
            </w:r>
          </w:p>
          <w:p w14:paraId="6DE5FC4C" w14:textId="1C0CEE43" w:rsidR="008F7024" w:rsidRDefault="008F7024" w:rsidP="00D66738">
            <w:pPr>
              <w:pStyle w:val="charts"/>
              <w:keepNext w:val="0"/>
              <w:spacing w:after="120"/>
              <w:jc w:val="both"/>
              <w:rPr>
                <w:sz w:val="20"/>
                <w:szCs w:val="20"/>
              </w:rPr>
            </w:pPr>
            <w:r w:rsidRPr="005E0820">
              <w:rPr>
                <w:sz w:val="20"/>
                <w:szCs w:val="20"/>
              </w:rPr>
              <w:t xml:space="preserve">B: </w:t>
            </w:r>
            <w:r>
              <w:rPr>
                <w:sz w:val="20"/>
                <w:szCs w:val="20"/>
              </w:rPr>
              <w:t>Smaller business</w:t>
            </w:r>
            <w:r w:rsidR="003A6773">
              <w:rPr>
                <w:sz w:val="20"/>
                <w:szCs w:val="20"/>
              </w:rPr>
              <w:t>es</w:t>
            </w:r>
            <w:r>
              <w:rPr>
                <w:sz w:val="20"/>
                <w:szCs w:val="20"/>
              </w:rPr>
              <w:t xml:space="preserve"> remain in skills system</w:t>
            </w:r>
          </w:p>
          <w:p w14:paraId="03B74B0D" w14:textId="7D3FA286" w:rsidR="008F7024" w:rsidRPr="005E0820" w:rsidRDefault="008F7024" w:rsidP="00D66738">
            <w:pPr>
              <w:pStyle w:val="charts"/>
              <w:keepNext w:val="0"/>
              <w:spacing w:after="120"/>
              <w:jc w:val="both"/>
              <w:rPr>
                <w:sz w:val="20"/>
                <w:szCs w:val="20"/>
              </w:rPr>
            </w:pPr>
            <w:r w:rsidRPr="005E0820">
              <w:rPr>
                <w:sz w:val="20"/>
                <w:szCs w:val="20"/>
              </w:rPr>
              <w:t>R:</w:t>
            </w:r>
            <w:r w:rsidRPr="005E0820">
              <w:rPr>
                <w:sz w:val="20"/>
              </w:rPr>
              <w:t xml:space="preserve"> </w:t>
            </w:r>
            <w:r w:rsidRPr="005E0820">
              <w:rPr>
                <w:sz w:val="20"/>
                <w:szCs w:val="20"/>
              </w:rPr>
              <w:t xml:space="preserve">Could </w:t>
            </w:r>
            <w:r w:rsidR="003A6773">
              <w:rPr>
                <w:sz w:val="20"/>
                <w:szCs w:val="20"/>
              </w:rPr>
              <w:t>reduce funds from skills system that now finance other DHET programmes</w:t>
            </w:r>
          </w:p>
        </w:tc>
        <w:tc>
          <w:tcPr>
            <w:tcW w:w="1026" w:type="pct"/>
          </w:tcPr>
          <w:p w14:paraId="21F92106" w14:textId="77777777" w:rsidR="008F7024" w:rsidRDefault="008F7024" w:rsidP="00D66738">
            <w:pPr>
              <w:pStyle w:val="charts"/>
              <w:keepNext w:val="0"/>
              <w:spacing w:after="120"/>
              <w:jc w:val="both"/>
              <w:rPr>
                <w:sz w:val="20"/>
                <w:szCs w:val="20"/>
              </w:rPr>
            </w:pPr>
            <w:r>
              <w:rPr>
                <w:sz w:val="20"/>
                <w:szCs w:val="20"/>
              </w:rPr>
              <w:t>C: Adoption of simplified form and more workplace plans submitted for processing</w:t>
            </w:r>
          </w:p>
          <w:p w14:paraId="3048343A" w14:textId="77777777" w:rsidR="008F7024" w:rsidRDefault="008F7024" w:rsidP="00D66738">
            <w:pPr>
              <w:pStyle w:val="charts"/>
              <w:keepNext w:val="0"/>
              <w:spacing w:after="120"/>
              <w:jc w:val="both"/>
              <w:rPr>
                <w:sz w:val="20"/>
                <w:szCs w:val="20"/>
              </w:rPr>
            </w:pPr>
            <w:r>
              <w:rPr>
                <w:sz w:val="20"/>
                <w:szCs w:val="20"/>
              </w:rPr>
              <w:t>B: Smaller businesses remain in skills system</w:t>
            </w:r>
          </w:p>
          <w:p w14:paraId="7D2919BE" w14:textId="0D4AEC1D" w:rsidR="008F7024" w:rsidRPr="005E0820" w:rsidRDefault="008F7024" w:rsidP="00D66738">
            <w:pPr>
              <w:pStyle w:val="charts"/>
              <w:keepNext w:val="0"/>
              <w:spacing w:after="120"/>
              <w:jc w:val="both"/>
              <w:rPr>
                <w:sz w:val="20"/>
                <w:szCs w:val="20"/>
              </w:rPr>
            </w:pPr>
            <w:r>
              <w:rPr>
                <w:sz w:val="20"/>
                <w:szCs w:val="20"/>
              </w:rPr>
              <w:t>R: Worse training outcomes</w:t>
            </w:r>
            <w:r w:rsidR="003A6773">
              <w:rPr>
                <w:sz w:val="20"/>
                <w:szCs w:val="20"/>
              </w:rPr>
              <w:t xml:space="preserve"> due lower quality plans</w:t>
            </w:r>
          </w:p>
        </w:tc>
        <w:tc>
          <w:tcPr>
            <w:tcW w:w="1231" w:type="pct"/>
          </w:tcPr>
          <w:p w14:paraId="4E07FCD0" w14:textId="66D6DA76" w:rsidR="008F7024" w:rsidRPr="005E0820" w:rsidRDefault="008F7024" w:rsidP="00D66738">
            <w:pPr>
              <w:pStyle w:val="charts"/>
              <w:keepNext w:val="0"/>
              <w:spacing w:after="120"/>
              <w:jc w:val="both"/>
              <w:rPr>
                <w:sz w:val="20"/>
                <w:szCs w:val="20"/>
              </w:rPr>
            </w:pPr>
            <w:r w:rsidRPr="005E0820">
              <w:rPr>
                <w:sz w:val="20"/>
                <w:szCs w:val="20"/>
              </w:rPr>
              <w:t xml:space="preserve">C: </w:t>
            </w:r>
            <w:r>
              <w:rPr>
                <w:sz w:val="20"/>
                <w:szCs w:val="20"/>
              </w:rPr>
              <w:t>Worse training outcomes for workers in small business if permit unaccredited training</w:t>
            </w:r>
          </w:p>
          <w:p w14:paraId="237A9D2B" w14:textId="1D243EEF" w:rsidR="008F7024" w:rsidRPr="005E0820" w:rsidRDefault="008F7024" w:rsidP="00D66738">
            <w:pPr>
              <w:pStyle w:val="charts"/>
              <w:keepNext w:val="0"/>
              <w:spacing w:after="120"/>
              <w:jc w:val="both"/>
              <w:rPr>
                <w:sz w:val="20"/>
                <w:szCs w:val="20"/>
              </w:rPr>
            </w:pPr>
            <w:r w:rsidRPr="005E0820">
              <w:rPr>
                <w:sz w:val="20"/>
                <w:szCs w:val="20"/>
              </w:rPr>
              <w:t xml:space="preserve">B: </w:t>
            </w:r>
            <w:r>
              <w:rPr>
                <w:sz w:val="20"/>
                <w:szCs w:val="20"/>
              </w:rPr>
              <w:t>Workers in small business are more likely to benefit from SETA financing</w:t>
            </w:r>
          </w:p>
          <w:p w14:paraId="690A2F49" w14:textId="7BFD68B1" w:rsidR="008F7024" w:rsidRPr="005E0820" w:rsidRDefault="008F7024" w:rsidP="00D66738">
            <w:pPr>
              <w:pStyle w:val="charts"/>
              <w:keepNext w:val="0"/>
              <w:spacing w:after="120"/>
              <w:jc w:val="both"/>
              <w:rPr>
                <w:sz w:val="20"/>
                <w:szCs w:val="20"/>
              </w:rPr>
            </w:pPr>
            <w:r w:rsidRPr="005E0820">
              <w:rPr>
                <w:sz w:val="20"/>
                <w:szCs w:val="20"/>
              </w:rPr>
              <w:t xml:space="preserve">R: </w:t>
            </w:r>
            <w:r w:rsidR="003A6773">
              <w:rPr>
                <w:sz w:val="20"/>
                <w:szCs w:val="20"/>
              </w:rPr>
              <w:t>As under costs</w:t>
            </w:r>
          </w:p>
        </w:tc>
      </w:tr>
      <w:tr w:rsidR="008F7024" w:rsidRPr="005E0820" w14:paraId="4C74F8C5" w14:textId="46C504EC" w:rsidTr="008F7024">
        <w:trPr>
          <w:cantSplit/>
        </w:trPr>
        <w:tc>
          <w:tcPr>
            <w:tcW w:w="591" w:type="pct"/>
          </w:tcPr>
          <w:p w14:paraId="600C52E3" w14:textId="5A8985CA" w:rsidR="008F7024" w:rsidRPr="005E0820" w:rsidRDefault="008F7024" w:rsidP="00D66738">
            <w:pPr>
              <w:pStyle w:val="charts"/>
              <w:keepNext w:val="0"/>
              <w:spacing w:after="120"/>
              <w:jc w:val="both"/>
              <w:rPr>
                <w:sz w:val="20"/>
              </w:rPr>
            </w:pPr>
            <w:r w:rsidRPr="005E0820">
              <w:rPr>
                <w:sz w:val="20"/>
              </w:rPr>
              <w:t xml:space="preserve">Option 3: Develop modules and curriculum for </w:t>
            </w:r>
            <w:r w:rsidR="003A6773">
              <w:rPr>
                <w:sz w:val="20"/>
              </w:rPr>
              <w:t>small business</w:t>
            </w:r>
          </w:p>
        </w:tc>
        <w:tc>
          <w:tcPr>
            <w:tcW w:w="1155" w:type="pct"/>
          </w:tcPr>
          <w:p w14:paraId="53D4B112" w14:textId="39FC9B70" w:rsidR="008F7024" w:rsidRPr="005E0820" w:rsidRDefault="008F7024" w:rsidP="00D66738">
            <w:pPr>
              <w:pStyle w:val="charts"/>
              <w:keepNext w:val="0"/>
              <w:spacing w:after="120"/>
              <w:jc w:val="both"/>
              <w:rPr>
                <w:sz w:val="20"/>
                <w:szCs w:val="20"/>
              </w:rPr>
            </w:pPr>
            <w:r w:rsidRPr="005E0820">
              <w:rPr>
                <w:sz w:val="20"/>
                <w:szCs w:val="20"/>
              </w:rPr>
              <w:t xml:space="preserve">C: </w:t>
            </w:r>
            <w:r w:rsidR="003A6773">
              <w:rPr>
                <w:sz w:val="20"/>
                <w:szCs w:val="20"/>
              </w:rPr>
              <w:t>Still have to meet application requirements</w:t>
            </w:r>
          </w:p>
          <w:p w14:paraId="2199DAE1" w14:textId="0539FF48" w:rsidR="008F7024" w:rsidRPr="005E0820" w:rsidRDefault="008F7024" w:rsidP="00D66738">
            <w:pPr>
              <w:pStyle w:val="charts"/>
              <w:keepNext w:val="0"/>
              <w:spacing w:after="120"/>
              <w:jc w:val="both"/>
              <w:rPr>
                <w:sz w:val="20"/>
                <w:szCs w:val="20"/>
              </w:rPr>
            </w:pPr>
            <w:r w:rsidRPr="005E0820">
              <w:rPr>
                <w:sz w:val="20"/>
                <w:szCs w:val="20"/>
              </w:rPr>
              <w:t xml:space="preserve">B: </w:t>
            </w:r>
            <w:r w:rsidR="003A6773">
              <w:rPr>
                <w:sz w:val="20"/>
                <w:szCs w:val="20"/>
              </w:rPr>
              <w:t xml:space="preserve">More useful </w:t>
            </w:r>
            <w:r w:rsidRPr="005E0820">
              <w:rPr>
                <w:sz w:val="20"/>
                <w:szCs w:val="20"/>
              </w:rPr>
              <w:t>training</w:t>
            </w:r>
          </w:p>
          <w:p w14:paraId="266EAD53" w14:textId="59F5A20B" w:rsidR="008F7024" w:rsidRPr="005E0820" w:rsidRDefault="008F7024" w:rsidP="00D66738">
            <w:pPr>
              <w:pStyle w:val="charts"/>
              <w:keepNext w:val="0"/>
              <w:spacing w:after="120"/>
              <w:jc w:val="both"/>
              <w:rPr>
                <w:sz w:val="20"/>
                <w:szCs w:val="20"/>
              </w:rPr>
            </w:pPr>
            <w:r w:rsidRPr="005E0820">
              <w:rPr>
                <w:sz w:val="20"/>
                <w:szCs w:val="20"/>
              </w:rPr>
              <w:t xml:space="preserve">R: Training </w:t>
            </w:r>
            <w:r w:rsidR="003A6773">
              <w:rPr>
                <w:sz w:val="20"/>
                <w:szCs w:val="20"/>
              </w:rPr>
              <w:t>may still be</w:t>
            </w:r>
            <w:r w:rsidRPr="005E0820">
              <w:rPr>
                <w:sz w:val="20"/>
                <w:szCs w:val="20"/>
              </w:rPr>
              <w:t xml:space="preserve"> misaligned</w:t>
            </w:r>
          </w:p>
        </w:tc>
        <w:tc>
          <w:tcPr>
            <w:tcW w:w="997" w:type="pct"/>
          </w:tcPr>
          <w:p w14:paraId="7D58A9EE" w14:textId="72FA07C9" w:rsidR="008F7024" w:rsidRPr="005E0820" w:rsidRDefault="008F7024" w:rsidP="00D66738">
            <w:pPr>
              <w:pStyle w:val="charts"/>
              <w:keepNext w:val="0"/>
              <w:spacing w:after="120"/>
              <w:jc w:val="both"/>
              <w:rPr>
                <w:sz w:val="20"/>
                <w:szCs w:val="20"/>
              </w:rPr>
            </w:pPr>
            <w:r w:rsidRPr="005E0820">
              <w:rPr>
                <w:sz w:val="20"/>
                <w:szCs w:val="20"/>
              </w:rPr>
              <w:t xml:space="preserve">C: </w:t>
            </w:r>
            <w:r w:rsidR="003A6773">
              <w:rPr>
                <w:sz w:val="20"/>
                <w:szCs w:val="20"/>
              </w:rPr>
              <w:t>Support for development of new modules</w:t>
            </w:r>
          </w:p>
          <w:p w14:paraId="4D7C15F5" w14:textId="7483F918" w:rsidR="008F7024" w:rsidRPr="005E0820" w:rsidRDefault="008F7024" w:rsidP="00D66738">
            <w:pPr>
              <w:pStyle w:val="charts"/>
              <w:keepNext w:val="0"/>
              <w:spacing w:after="120"/>
              <w:jc w:val="both"/>
              <w:rPr>
                <w:sz w:val="20"/>
                <w:szCs w:val="20"/>
              </w:rPr>
            </w:pPr>
            <w:r w:rsidRPr="005E0820">
              <w:rPr>
                <w:sz w:val="20"/>
                <w:szCs w:val="20"/>
              </w:rPr>
              <w:t xml:space="preserve">B: </w:t>
            </w:r>
            <w:r w:rsidR="003A6773">
              <w:rPr>
                <w:sz w:val="20"/>
                <w:szCs w:val="20"/>
              </w:rPr>
              <w:t>Improve outcomes in terms of training</w:t>
            </w:r>
          </w:p>
          <w:p w14:paraId="2C6333A5" w14:textId="1435D6C8" w:rsidR="008F7024" w:rsidRPr="005E0820" w:rsidRDefault="008F7024" w:rsidP="00D66738">
            <w:pPr>
              <w:pStyle w:val="charts"/>
              <w:keepNext w:val="0"/>
              <w:spacing w:after="120"/>
              <w:jc w:val="both"/>
              <w:rPr>
                <w:sz w:val="20"/>
                <w:szCs w:val="20"/>
              </w:rPr>
            </w:pPr>
            <w:r w:rsidRPr="005E0820">
              <w:rPr>
                <w:sz w:val="20"/>
                <w:szCs w:val="20"/>
              </w:rPr>
              <w:t>R:</w:t>
            </w:r>
            <w:r w:rsidRPr="005E0820">
              <w:rPr>
                <w:sz w:val="20"/>
              </w:rPr>
              <w:t xml:space="preserve"> </w:t>
            </w:r>
            <w:r w:rsidR="003A6773">
              <w:rPr>
                <w:sz w:val="20"/>
              </w:rPr>
              <w:t>As with small business</w:t>
            </w:r>
          </w:p>
        </w:tc>
        <w:tc>
          <w:tcPr>
            <w:tcW w:w="1026" w:type="pct"/>
          </w:tcPr>
          <w:p w14:paraId="707D822E" w14:textId="77777777" w:rsidR="008F7024" w:rsidRDefault="003A6773" w:rsidP="00D66738">
            <w:pPr>
              <w:pStyle w:val="charts"/>
              <w:keepNext w:val="0"/>
              <w:spacing w:after="120"/>
              <w:jc w:val="both"/>
              <w:rPr>
                <w:sz w:val="20"/>
                <w:szCs w:val="20"/>
              </w:rPr>
            </w:pPr>
            <w:r>
              <w:rPr>
                <w:sz w:val="20"/>
                <w:szCs w:val="20"/>
              </w:rPr>
              <w:t>C: Development of new modules and identification of service providers</w:t>
            </w:r>
          </w:p>
          <w:p w14:paraId="5F50C28C" w14:textId="77777777" w:rsidR="003A6773" w:rsidRDefault="003A6773" w:rsidP="00D66738">
            <w:pPr>
              <w:pStyle w:val="charts"/>
              <w:keepNext w:val="0"/>
              <w:spacing w:after="120"/>
              <w:jc w:val="both"/>
              <w:rPr>
                <w:sz w:val="20"/>
                <w:szCs w:val="20"/>
              </w:rPr>
            </w:pPr>
            <w:r>
              <w:rPr>
                <w:sz w:val="20"/>
                <w:szCs w:val="20"/>
              </w:rPr>
              <w:t>B: Improve outcomes</w:t>
            </w:r>
          </w:p>
          <w:p w14:paraId="61AB7D49" w14:textId="2FA019CC" w:rsidR="003A6773" w:rsidRPr="005E0820" w:rsidRDefault="003A6773" w:rsidP="00D66738">
            <w:pPr>
              <w:pStyle w:val="charts"/>
              <w:keepNext w:val="0"/>
              <w:spacing w:after="120"/>
              <w:jc w:val="both"/>
              <w:rPr>
                <w:sz w:val="20"/>
                <w:szCs w:val="20"/>
              </w:rPr>
            </w:pPr>
            <w:r>
              <w:rPr>
                <w:sz w:val="20"/>
                <w:szCs w:val="20"/>
              </w:rPr>
              <w:t>R: As with small business</w:t>
            </w:r>
          </w:p>
        </w:tc>
        <w:tc>
          <w:tcPr>
            <w:tcW w:w="1231" w:type="pct"/>
          </w:tcPr>
          <w:p w14:paraId="4E71B294" w14:textId="09DA1911" w:rsidR="008F7024" w:rsidRPr="005E0820" w:rsidRDefault="008F7024" w:rsidP="00D66738">
            <w:pPr>
              <w:pStyle w:val="charts"/>
              <w:keepNext w:val="0"/>
              <w:spacing w:after="120"/>
              <w:jc w:val="both"/>
              <w:rPr>
                <w:sz w:val="20"/>
                <w:szCs w:val="20"/>
              </w:rPr>
            </w:pPr>
            <w:r w:rsidRPr="005E0820">
              <w:rPr>
                <w:sz w:val="20"/>
                <w:szCs w:val="20"/>
              </w:rPr>
              <w:t xml:space="preserve">C: </w:t>
            </w:r>
            <w:r w:rsidR="003A6773">
              <w:rPr>
                <w:sz w:val="20"/>
                <w:szCs w:val="20"/>
              </w:rPr>
              <w:t>End up with unaccredited training or training outside of SAQA</w:t>
            </w:r>
          </w:p>
          <w:p w14:paraId="7ADCBA71" w14:textId="090AEA4D" w:rsidR="008F7024" w:rsidRPr="005E0820" w:rsidRDefault="008F7024" w:rsidP="00D66738">
            <w:pPr>
              <w:pStyle w:val="charts"/>
              <w:keepNext w:val="0"/>
              <w:spacing w:after="120"/>
              <w:jc w:val="both"/>
              <w:rPr>
                <w:sz w:val="20"/>
                <w:szCs w:val="20"/>
              </w:rPr>
            </w:pPr>
            <w:r w:rsidRPr="005E0820">
              <w:rPr>
                <w:sz w:val="20"/>
                <w:szCs w:val="20"/>
              </w:rPr>
              <w:t xml:space="preserve">B: </w:t>
            </w:r>
            <w:r w:rsidR="003A6773">
              <w:rPr>
                <w:sz w:val="20"/>
                <w:szCs w:val="20"/>
              </w:rPr>
              <w:t xml:space="preserve">Greater access to training </w:t>
            </w:r>
          </w:p>
          <w:p w14:paraId="0F5A9FD0" w14:textId="4B33E61A" w:rsidR="008F7024" w:rsidRPr="005E0820" w:rsidRDefault="008F7024" w:rsidP="00D66738">
            <w:pPr>
              <w:pStyle w:val="charts"/>
              <w:keepNext w:val="0"/>
              <w:spacing w:after="120"/>
              <w:jc w:val="both"/>
              <w:rPr>
                <w:sz w:val="20"/>
                <w:szCs w:val="20"/>
              </w:rPr>
            </w:pPr>
            <w:r w:rsidRPr="005E0820">
              <w:rPr>
                <w:sz w:val="20"/>
                <w:szCs w:val="20"/>
              </w:rPr>
              <w:t xml:space="preserve">R: </w:t>
            </w:r>
            <w:r w:rsidR="003A6773">
              <w:rPr>
                <w:sz w:val="20"/>
                <w:szCs w:val="20"/>
              </w:rPr>
              <w:t>As with small business</w:t>
            </w:r>
          </w:p>
        </w:tc>
      </w:tr>
    </w:tbl>
    <w:p w14:paraId="11583800" w14:textId="77777777" w:rsidR="003A6773" w:rsidRDefault="003A6773" w:rsidP="00D66738">
      <w:pPr>
        <w:jc w:val="both"/>
      </w:pPr>
      <w:r>
        <w:t xml:space="preserve">These options for reforming the skills system to meet the needs of small employers generally focus on ensuring more flexible, focused and short-term training that would </w:t>
      </w:r>
      <w:r>
        <w:lastRenderedPageBreak/>
        <w:t xml:space="preserve">effectively do less to ensure accredited training but would reduce the cost to employers. If this trade-off is accepted, then the easiest option is for Treasury and the Department of Higher Education and Training to increase the levy threshold for small business, for instance to R1 million a year. Under the Act, the change need only be gazetted. </w:t>
      </w:r>
    </w:p>
    <w:p w14:paraId="59792EF8" w14:textId="6BD9E644" w:rsidR="003A6773" w:rsidRDefault="003A6773" w:rsidP="00D66738">
      <w:pPr>
        <w:jc w:val="both"/>
      </w:pPr>
      <w:r>
        <w:t xml:space="preserve">On the longer run, it would obviously be helpful if DHET and the SETAs introduced more flexible requirements for training for small business employees, with simplified requirements for workplace plans and shorter modules that are less tied to accreditation and human capital development. DSBD could usefully support development of these models. </w:t>
      </w:r>
    </w:p>
    <w:p w14:paraId="2163A488" w14:textId="3B42F798" w:rsidR="003A6773" w:rsidRDefault="003A6773" w:rsidP="00D66738">
      <w:pPr>
        <w:pStyle w:val="Heading4"/>
        <w:jc w:val="both"/>
        <w:rPr>
          <w:rFonts w:eastAsia="Calibri"/>
        </w:rPr>
      </w:pPr>
      <w:r>
        <w:rPr>
          <w:rFonts w:eastAsia="Calibri"/>
        </w:rPr>
        <w:t>The Compensation Fund</w:t>
      </w:r>
    </w:p>
    <w:p w14:paraId="2177501F" w14:textId="5B6A6E26" w:rsidR="000340AF" w:rsidRDefault="000340AF" w:rsidP="00D66738">
      <w:pPr>
        <w:jc w:val="both"/>
      </w:pPr>
      <w:r>
        <w:t xml:space="preserve">The options examined for the Compensation Fund payments are: </w:t>
      </w:r>
    </w:p>
    <w:p w14:paraId="455DF0C1" w14:textId="4F0D698D" w:rsidR="000340AF" w:rsidRPr="00A557C9" w:rsidRDefault="000340AF" w:rsidP="00D66738">
      <w:pPr>
        <w:pStyle w:val="ListParagraph"/>
        <w:numPr>
          <w:ilvl w:val="0"/>
          <w:numId w:val="82"/>
        </w:numPr>
        <w:jc w:val="both"/>
      </w:pPr>
      <w:r>
        <w:t>Option 1: A payment holiday for micro, small and medium business</w:t>
      </w:r>
    </w:p>
    <w:p w14:paraId="3FE9F8A6" w14:textId="52878288" w:rsidR="000340AF" w:rsidRPr="00A557C9" w:rsidRDefault="000340AF" w:rsidP="00D66738">
      <w:pPr>
        <w:pStyle w:val="ListParagraph"/>
        <w:numPr>
          <w:ilvl w:val="0"/>
          <w:numId w:val="82"/>
        </w:numPr>
        <w:jc w:val="both"/>
      </w:pPr>
      <w:r>
        <w:t>Option 2: Establishment of a tripartite commission to review actuarial requirements and assessment systems for Compensation Fund</w:t>
      </w:r>
    </w:p>
    <w:p w14:paraId="0DF4DEA9" w14:textId="7F0AE099" w:rsidR="000340AF" w:rsidRDefault="000340AF" w:rsidP="00D66738">
      <w:pPr>
        <w:pStyle w:val="ListParagraph"/>
        <w:numPr>
          <w:ilvl w:val="0"/>
          <w:numId w:val="82"/>
        </w:numPr>
        <w:jc w:val="both"/>
      </w:pPr>
      <w:r>
        <w:t>Option 3: Establishment of a more effective and faster appeals and dispute settlement route for assessments.</w:t>
      </w:r>
    </w:p>
    <w:p w14:paraId="75643589" w14:textId="4BFDCD22" w:rsidR="000340AF" w:rsidRDefault="000340AF" w:rsidP="00D66738">
      <w:pPr>
        <w:jc w:val="both"/>
      </w:pPr>
      <w:r>
        <w:t xml:space="preserve">Because the Compensation Fund already has such a large surplus, none of these proposals should affect </w:t>
      </w:r>
      <w:r w:rsidR="00876660">
        <w:t>pay-outs</w:t>
      </w:r>
      <w:r>
        <w:t xml:space="preserve"> to workers. The analysis below therefore focuses only on the implications for larger businesses. </w:t>
      </w:r>
    </w:p>
    <w:p w14:paraId="260CF465" w14:textId="4098BB2B" w:rsidR="000340AF" w:rsidRPr="00A557C9" w:rsidRDefault="000340AF" w:rsidP="00D66738">
      <w:pPr>
        <w:pStyle w:val="Caption"/>
        <w:jc w:val="both"/>
      </w:pPr>
      <w:bookmarkStart w:id="792" w:name="_Toc479940976"/>
      <w:r>
        <w:t xml:space="preserve">Table </w:t>
      </w:r>
      <w:fldSimple w:instr=" SEQ Table \* ARABIC ">
        <w:r w:rsidR="005062E7">
          <w:rPr>
            <w:noProof/>
          </w:rPr>
          <w:t>19</w:t>
        </w:r>
      </w:fldSimple>
      <w:r>
        <w:t>. Costs, benefits and risks of options for the Compensation Fund assessments</w:t>
      </w:r>
      <w:bookmarkEnd w:id="792"/>
    </w:p>
    <w:tbl>
      <w:tblPr>
        <w:tblStyle w:val="TableGrid"/>
        <w:tblW w:w="0" w:type="auto"/>
        <w:tblLook w:val="04A0" w:firstRow="1" w:lastRow="0" w:firstColumn="1" w:lastColumn="0" w:noHBand="0" w:noVBand="1"/>
      </w:tblPr>
      <w:tblGrid>
        <w:gridCol w:w="1526"/>
        <w:gridCol w:w="2410"/>
        <w:gridCol w:w="2976"/>
        <w:gridCol w:w="2330"/>
      </w:tblGrid>
      <w:tr w:rsidR="00A557C9" w:rsidRPr="00A557C9" w14:paraId="3350D448" w14:textId="77777777" w:rsidTr="000340AF">
        <w:trPr>
          <w:cantSplit/>
          <w:tblHeader/>
        </w:trPr>
        <w:tc>
          <w:tcPr>
            <w:tcW w:w="1526" w:type="dxa"/>
          </w:tcPr>
          <w:p w14:paraId="2A00B98C" w14:textId="77777777" w:rsidR="003A6773" w:rsidRPr="00A557C9" w:rsidRDefault="003A6773" w:rsidP="00D66738">
            <w:pPr>
              <w:pStyle w:val="charts"/>
              <w:jc w:val="both"/>
              <w:rPr>
                <w:b/>
                <w:sz w:val="20"/>
              </w:rPr>
            </w:pPr>
          </w:p>
        </w:tc>
        <w:tc>
          <w:tcPr>
            <w:tcW w:w="2410" w:type="dxa"/>
          </w:tcPr>
          <w:p w14:paraId="78DB03DA" w14:textId="08BE3C6D" w:rsidR="003A6773" w:rsidRPr="00A557C9" w:rsidRDefault="00A557C9" w:rsidP="00D66738">
            <w:pPr>
              <w:pStyle w:val="charts"/>
              <w:jc w:val="both"/>
              <w:rPr>
                <w:b/>
                <w:sz w:val="20"/>
              </w:rPr>
            </w:pPr>
            <w:r w:rsidRPr="00A557C9">
              <w:rPr>
                <w:b/>
                <w:sz w:val="20"/>
              </w:rPr>
              <w:t>Small business</w:t>
            </w:r>
          </w:p>
        </w:tc>
        <w:tc>
          <w:tcPr>
            <w:tcW w:w="2976" w:type="dxa"/>
          </w:tcPr>
          <w:p w14:paraId="052FB3CA" w14:textId="145C8CBE" w:rsidR="003A6773" w:rsidRPr="00A557C9" w:rsidRDefault="00A557C9" w:rsidP="00D66738">
            <w:pPr>
              <w:pStyle w:val="charts"/>
              <w:jc w:val="both"/>
              <w:rPr>
                <w:b/>
                <w:sz w:val="20"/>
              </w:rPr>
            </w:pPr>
            <w:r>
              <w:rPr>
                <w:b/>
                <w:sz w:val="20"/>
              </w:rPr>
              <w:t>Compensation Fund</w:t>
            </w:r>
          </w:p>
        </w:tc>
        <w:tc>
          <w:tcPr>
            <w:tcW w:w="2330" w:type="dxa"/>
          </w:tcPr>
          <w:p w14:paraId="12110DF3" w14:textId="0C2AC3CD" w:rsidR="003A6773" w:rsidRPr="00A557C9" w:rsidRDefault="00A557C9" w:rsidP="00D66738">
            <w:pPr>
              <w:pStyle w:val="charts"/>
              <w:jc w:val="both"/>
              <w:rPr>
                <w:b/>
                <w:sz w:val="20"/>
              </w:rPr>
            </w:pPr>
            <w:r>
              <w:rPr>
                <w:b/>
                <w:sz w:val="20"/>
              </w:rPr>
              <w:t>Other stakeholders</w:t>
            </w:r>
          </w:p>
        </w:tc>
      </w:tr>
      <w:tr w:rsidR="00A557C9" w:rsidRPr="00A557C9" w14:paraId="5FE7E1C4" w14:textId="77777777" w:rsidTr="000340AF">
        <w:trPr>
          <w:cantSplit/>
        </w:trPr>
        <w:tc>
          <w:tcPr>
            <w:tcW w:w="1526" w:type="dxa"/>
          </w:tcPr>
          <w:p w14:paraId="3EECA00E" w14:textId="0A883D40" w:rsidR="003A6773" w:rsidRPr="00A557C9" w:rsidRDefault="00A557C9" w:rsidP="00D66738">
            <w:pPr>
              <w:pStyle w:val="charts"/>
              <w:keepNext w:val="0"/>
              <w:spacing w:after="120"/>
              <w:jc w:val="both"/>
              <w:rPr>
                <w:sz w:val="20"/>
              </w:rPr>
            </w:pPr>
            <w:r>
              <w:rPr>
                <w:sz w:val="20"/>
              </w:rPr>
              <w:t>Option 1: Payment holiday for micro, small and medium business</w:t>
            </w:r>
          </w:p>
        </w:tc>
        <w:tc>
          <w:tcPr>
            <w:tcW w:w="2410" w:type="dxa"/>
          </w:tcPr>
          <w:p w14:paraId="474C64C3" w14:textId="77777777" w:rsidR="003A6773" w:rsidRDefault="00A557C9" w:rsidP="00D66738">
            <w:pPr>
              <w:pStyle w:val="charts"/>
              <w:keepNext w:val="0"/>
              <w:spacing w:after="120"/>
              <w:jc w:val="both"/>
              <w:rPr>
                <w:sz w:val="20"/>
              </w:rPr>
            </w:pPr>
            <w:r>
              <w:rPr>
                <w:sz w:val="20"/>
              </w:rPr>
              <w:t>C: None</w:t>
            </w:r>
          </w:p>
          <w:p w14:paraId="3770B5C9" w14:textId="77777777" w:rsidR="00A557C9" w:rsidRDefault="00A557C9" w:rsidP="00D66738">
            <w:pPr>
              <w:pStyle w:val="charts"/>
              <w:keepNext w:val="0"/>
              <w:spacing w:after="120"/>
              <w:jc w:val="both"/>
              <w:rPr>
                <w:sz w:val="20"/>
              </w:rPr>
            </w:pPr>
            <w:r>
              <w:rPr>
                <w:sz w:val="20"/>
              </w:rPr>
              <w:t>B: Reduced costs</w:t>
            </w:r>
          </w:p>
          <w:p w14:paraId="16C50105" w14:textId="21ADAAA0" w:rsidR="00A557C9" w:rsidRPr="00A557C9" w:rsidRDefault="00A557C9" w:rsidP="00D66738">
            <w:pPr>
              <w:pStyle w:val="charts"/>
              <w:keepNext w:val="0"/>
              <w:spacing w:after="120"/>
              <w:jc w:val="both"/>
              <w:rPr>
                <w:sz w:val="20"/>
              </w:rPr>
            </w:pPr>
            <w:r>
              <w:rPr>
                <w:sz w:val="20"/>
              </w:rPr>
              <w:t>R: None</w:t>
            </w:r>
          </w:p>
        </w:tc>
        <w:tc>
          <w:tcPr>
            <w:tcW w:w="2976" w:type="dxa"/>
          </w:tcPr>
          <w:p w14:paraId="37212681" w14:textId="77777777" w:rsidR="00A557C9" w:rsidRDefault="00A557C9" w:rsidP="00D66738">
            <w:pPr>
              <w:pStyle w:val="charts"/>
              <w:keepNext w:val="0"/>
              <w:spacing w:after="120"/>
              <w:jc w:val="both"/>
              <w:rPr>
                <w:sz w:val="20"/>
              </w:rPr>
            </w:pPr>
            <w:r>
              <w:rPr>
                <w:sz w:val="20"/>
              </w:rPr>
              <w:t>C: Legal requirements (likely in form of reduced assessments rather than outright cancellation of payments); slower growth in assets</w:t>
            </w:r>
          </w:p>
          <w:p w14:paraId="4B6B2C80" w14:textId="77777777" w:rsidR="00A557C9" w:rsidRDefault="00A557C9" w:rsidP="00D66738">
            <w:pPr>
              <w:pStyle w:val="charts"/>
              <w:keepNext w:val="0"/>
              <w:spacing w:after="120"/>
              <w:jc w:val="both"/>
              <w:rPr>
                <w:sz w:val="20"/>
              </w:rPr>
            </w:pPr>
            <w:r>
              <w:rPr>
                <w:sz w:val="20"/>
              </w:rPr>
              <w:t>B: Better macro-economic environment overall; improved alignment with mandate</w:t>
            </w:r>
          </w:p>
          <w:p w14:paraId="1EC4DEAE" w14:textId="6476CDC8" w:rsidR="00A557C9" w:rsidRPr="00A557C9" w:rsidRDefault="00A557C9" w:rsidP="00D66738">
            <w:pPr>
              <w:pStyle w:val="charts"/>
              <w:keepNext w:val="0"/>
              <w:spacing w:after="120"/>
              <w:jc w:val="both"/>
              <w:rPr>
                <w:sz w:val="20"/>
              </w:rPr>
            </w:pPr>
            <w:r>
              <w:rPr>
                <w:sz w:val="20"/>
              </w:rPr>
              <w:t xml:space="preserve">R: None (surplus is now so large that lower revenues should not have major impact in the absence of hyperinflation) </w:t>
            </w:r>
          </w:p>
        </w:tc>
        <w:tc>
          <w:tcPr>
            <w:tcW w:w="2330" w:type="dxa"/>
          </w:tcPr>
          <w:p w14:paraId="4A4A8CBF" w14:textId="77777777" w:rsidR="003A6773" w:rsidRDefault="00A557C9" w:rsidP="00D66738">
            <w:pPr>
              <w:pStyle w:val="charts"/>
              <w:keepNext w:val="0"/>
              <w:spacing w:after="120"/>
              <w:jc w:val="both"/>
              <w:rPr>
                <w:sz w:val="20"/>
              </w:rPr>
            </w:pPr>
            <w:r>
              <w:rPr>
                <w:sz w:val="20"/>
              </w:rPr>
              <w:t>C: Risk pool would be smaller for business as a whole, which could lead Fund to increase assessments</w:t>
            </w:r>
          </w:p>
          <w:p w14:paraId="290654A1" w14:textId="1CD09DA8" w:rsidR="00A557C9" w:rsidRDefault="00A557C9" w:rsidP="00D66738">
            <w:pPr>
              <w:pStyle w:val="charts"/>
              <w:keepNext w:val="0"/>
              <w:spacing w:after="120"/>
              <w:jc w:val="both"/>
              <w:rPr>
                <w:sz w:val="20"/>
              </w:rPr>
            </w:pPr>
            <w:r>
              <w:rPr>
                <w:sz w:val="20"/>
              </w:rPr>
              <w:t xml:space="preserve">B: Growth in small business could have </w:t>
            </w:r>
            <w:r w:rsidR="00876660">
              <w:rPr>
                <w:sz w:val="20"/>
              </w:rPr>
              <w:t>spill over</w:t>
            </w:r>
            <w:r>
              <w:rPr>
                <w:sz w:val="20"/>
              </w:rPr>
              <w:t xml:space="preserve"> effects</w:t>
            </w:r>
          </w:p>
          <w:p w14:paraId="019F8617" w14:textId="7ECBFA49" w:rsidR="00A557C9" w:rsidRPr="00A557C9" w:rsidRDefault="00A557C9" w:rsidP="00D66738">
            <w:pPr>
              <w:pStyle w:val="charts"/>
              <w:keepNext w:val="0"/>
              <w:spacing w:after="120"/>
              <w:jc w:val="both"/>
              <w:rPr>
                <w:sz w:val="20"/>
              </w:rPr>
            </w:pPr>
            <w:r>
              <w:rPr>
                <w:sz w:val="20"/>
              </w:rPr>
              <w:t>R: As with Compensation Fund</w:t>
            </w:r>
          </w:p>
        </w:tc>
      </w:tr>
      <w:tr w:rsidR="00A557C9" w:rsidRPr="00A557C9" w14:paraId="093A08D2" w14:textId="77777777" w:rsidTr="000340AF">
        <w:trPr>
          <w:cantSplit/>
        </w:trPr>
        <w:tc>
          <w:tcPr>
            <w:tcW w:w="1526" w:type="dxa"/>
          </w:tcPr>
          <w:p w14:paraId="5DCD0BFF" w14:textId="1E0B4305" w:rsidR="003A6773" w:rsidRPr="00A557C9" w:rsidRDefault="00A557C9" w:rsidP="00D66738">
            <w:pPr>
              <w:pStyle w:val="charts"/>
              <w:keepNext w:val="0"/>
              <w:spacing w:after="120"/>
              <w:jc w:val="both"/>
              <w:rPr>
                <w:sz w:val="20"/>
              </w:rPr>
            </w:pPr>
            <w:r>
              <w:rPr>
                <w:sz w:val="20"/>
              </w:rPr>
              <w:t>Option 2: Commission to review actuarial requirements and assessment systems for Compensation Fund</w:t>
            </w:r>
          </w:p>
        </w:tc>
        <w:tc>
          <w:tcPr>
            <w:tcW w:w="2410" w:type="dxa"/>
          </w:tcPr>
          <w:p w14:paraId="724DB42F" w14:textId="32F32250" w:rsidR="003A6773" w:rsidRDefault="00A557C9" w:rsidP="00D66738">
            <w:pPr>
              <w:pStyle w:val="charts"/>
              <w:keepNext w:val="0"/>
              <w:spacing w:after="120"/>
              <w:jc w:val="both"/>
              <w:rPr>
                <w:sz w:val="20"/>
              </w:rPr>
            </w:pPr>
            <w:r>
              <w:rPr>
                <w:sz w:val="20"/>
              </w:rPr>
              <w:t xml:space="preserve">C: Engagement with </w:t>
            </w:r>
            <w:r w:rsidR="008A44A6">
              <w:rPr>
                <w:sz w:val="20"/>
              </w:rPr>
              <w:t>Commission</w:t>
            </w:r>
          </w:p>
          <w:p w14:paraId="5152A649" w14:textId="77777777" w:rsidR="00A557C9" w:rsidRDefault="00A557C9" w:rsidP="00D66738">
            <w:pPr>
              <w:pStyle w:val="charts"/>
              <w:keepNext w:val="0"/>
              <w:spacing w:after="120"/>
              <w:jc w:val="both"/>
              <w:rPr>
                <w:sz w:val="20"/>
              </w:rPr>
            </w:pPr>
            <w:r>
              <w:rPr>
                <w:sz w:val="20"/>
              </w:rPr>
              <w:t>B: Reduced assessments</w:t>
            </w:r>
          </w:p>
          <w:p w14:paraId="1E521B3E" w14:textId="32783B3E" w:rsidR="00A557C9" w:rsidRPr="00A557C9" w:rsidRDefault="00A557C9" w:rsidP="00D66738">
            <w:pPr>
              <w:pStyle w:val="charts"/>
              <w:keepNext w:val="0"/>
              <w:spacing w:after="120"/>
              <w:jc w:val="both"/>
              <w:rPr>
                <w:sz w:val="20"/>
              </w:rPr>
            </w:pPr>
            <w:r>
              <w:rPr>
                <w:sz w:val="20"/>
              </w:rPr>
              <w:t xml:space="preserve">R: Commission is very </w:t>
            </w:r>
            <w:proofErr w:type="gramStart"/>
            <w:r>
              <w:rPr>
                <w:sz w:val="20"/>
              </w:rPr>
              <w:t>slow</w:t>
            </w:r>
            <w:proofErr w:type="gramEnd"/>
            <w:r>
              <w:rPr>
                <w:sz w:val="20"/>
              </w:rPr>
              <w:t xml:space="preserve"> and findings lead to higher assessments (seems unlikely)</w:t>
            </w:r>
          </w:p>
        </w:tc>
        <w:tc>
          <w:tcPr>
            <w:tcW w:w="2976" w:type="dxa"/>
          </w:tcPr>
          <w:p w14:paraId="18823590" w14:textId="728502CB" w:rsidR="003A6773" w:rsidRDefault="00A557C9" w:rsidP="00D66738">
            <w:pPr>
              <w:pStyle w:val="charts"/>
              <w:keepNext w:val="0"/>
              <w:spacing w:after="120"/>
              <w:jc w:val="both"/>
              <w:rPr>
                <w:sz w:val="20"/>
              </w:rPr>
            </w:pPr>
            <w:r>
              <w:rPr>
                <w:sz w:val="20"/>
              </w:rPr>
              <w:t>C: Support for Commission</w:t>
            </w:r>
          </w:p>
          <w:p w14:paraId="3116D109" w14:textId="77777777" w:rsidR="00A557C9" w:rsidRDefault="00A557C9" w:rsidP="00D66738">
            <w:pPr>
              <w:pStyle w:val="charts"/>
              <w:keepNext w:val="0"/>
              <w:spacing w:after="120"/>
              <w:jc w:val="both"/>
              <w:rPr>
                <w:sz w:val="20"/>
              </w:rPr>
            </w:pPr>
            <w:r>
              <w:rPr>
                <w:sz w:val="20"/>
              </w:rPr>
              <w:t>B: Empirical test for basis of assessments; improvements in assessment systems</w:t>
            </w:r>
          </w:p>
          <w:p w14:paraId="4EEBD8B0" w14:textId="5A9EB455" w:rsidR="00A557C9" w:rsidRPr="00A557C9" w:rsidRDefault="00A557C9" w:rsidP="00D66738">
            <w:pPr>
              <w:pStyle w:val="charts"/>
              <w:keepNext w:val="0"/>
              <w:spacing w:after="120"/>
              <w:jc w:val="both"/>
              <w:rPr>
                <w:sz w:val="20"/>
              </w:rPr>
            </w:pPr>
            <w:r>
              <w:rPr>
                <w:sz w:val="20"/>
              </w:rPr>
              <w:t>R: Commission gets it wrong</w:t>
            </w:r>
          </w:p>
        </w:tc>
        <w:tc>
          <w:tcPr>
            <w:tcW w:w="2330" w:type="dxa"/>
          </w:tcPr>
          <w:p w14:paraId="7BD154AE" w14:textId="77777777" w:rsidR="003A6773" w:rsidRDefault="00A557C9" w:rsidP="00D66738">
            <w:pPr>
              <w:pStyle w:val="charts"/>
              <w:keepNext w:val="0"/>
              <w:spacing w:after="120"/>
              <w:jc w:val="both"/>
              <w:rPr>
                <w:sz w:val="20"/>
              </w:rPr>
            </w:pPr>
            <w:r>
              <w:rPr>
                <w:sz w:val="20"/>
              </w:rPr>
              <w:t>C: Engagement with Commission</w:t>
            </w:r>
          </w:p>
          <w:p w14:paraId="0AE5685A" w14:textId="77777777" w:rsidR="00A557C9" w:rsidRDefault="00A557C9" w:rsidP="00D66738">
            <w:pPr>
              <w:pStyle w:val="charts"/>
              <w:keepNext w:val="0"/>
              <w:spacing w:after="120"/>
              <w:jc w:val="both"/>
              <w:rPr>
                <w:sz w:val="20"/>
              </w:rPr>
            </w:pPr>
            <w:r>
              <w:rPr>
                <w:sz w:val="20"/>
              </w:rPr>
              <w:t>B: More appropriate and responsive assessments for all businesses</w:t>
            </w:r>
          </w:p>
          <w:p w14:paraId="48E4B67F" w14:textId="3229A5CF" w:rsidR="00A557C9" w:rsidRPr="00A557C9" w:rsidRDefault="00A557C9" w:rsidP="00D66738">
            <w:pPr>
              <w:pStyle w:val="charts"/>
              <w:keepNext w:val="0"/>
              <w:spacing w:after="120"/>
              <w:jc w:val="both"/>
              <w:rPr>
                <w:sz w:val="20"/>
              </w:rPr>
            </w:pPr>
            <w:r>
              <w:rPr>
                <w:sz w:val="20"/>
              </w:rPr>
              <w:t>R: As with Competition Commission</w:t>
            </w:r>
          </w:p>
        </w:tc>
      </w:tr>
      <w:tr w:rsidR="00A557C9" w:rsidRPr="00A557C9" w14:paraId="55185E69" w14:textId="77777777" w:rsidTr="000340AF">
        <w:trPr>
          <w:cantSplit/>
        </w:trPr>
        <w:tc>
          <w:tcPr>
            <w:tcW w:w="1526" w:type="dxa"/>
          </w:tcPr>
          <w:p w14:paraId="12711C3C" w14:textId="5DB5B7DE" w:rsidR="003A6773" w:rsidRPr="00A557C9" w:rsidRDefault="00A557C9" w:rsidP="00D66738">
            <w:pPr>
              <w:pStyle w:val="charts"/>
              <w:keepNext w:val="0"/>
              <w:spacing w:after="120"/>
              <w:jc w:val="both"/>
              <w:rPr>
                <w:sz w:val="20"/>
              </w:rPr>
            </w:pPr>
            <w:r>
              <w:rPr>
                <w:sz w:val="20"/>
              </w:rPr>
              <w:lastRenderedPageBreak/>
              <w:t>Option 3: More effective and faster appeals and dispute settlement route for assessments</w:t>
            </w:r>
          </w:p>
        </w:tc>
        <w:tc>
          <w:tcPr>
            <w:tcW w:w="2410" w:type="dxa"/>
          </w:tcPr>
          <w:p w14:paraId="058DA80A" w14:textId="77777777" w:rsidR="003A6773" w:rsidRDefault="00A557C9" w:rsidP="00D66738">
            <w:pPr>
              <w:pStyle w:val="charts"/>
              <w:keepNext w:val="0"/>
              <w:spacing w:after="120"/>
              <w:jc w:val="both"/>
              <w:rPr>
                <w:sz w:val="20"/>
              </w:rPr>
            </w:pPr>
            <w:r>
              <w:rPr>
                <w:sz w:val="20"/>
              </w:rPr>
              <w:t>C: No change in existing inefficient system for setting assessments</w:t>
            </w:r>
          </w:p>
          <w:p w14:paraId="66BBDAA6" w14:textId="77777777" w:rsidR="00A557C9" w:rsidRDefault="00A557C9" w:rsidP="00D66738">
            <w:pPr>
              <w:pStyle w:val="charts"/>
              <w:keepNext w:val="0"/>
              <w:spacing w:after="120"/>
              <w:jc w:val="both"/>
              <w:rPr>
                <w:sz w:val="20"/>
              </w:rPr>
            </w:pPr>
            <w:r>
              <w:rPr>
                <w:sz w:val="20"/>
              </w:rPr>
              <w:t>B: May see improvements where assessments are inappropriate</w:t>
            </w:r>
          </w:p>
          <w:p w14:paraId="1854E944" w14:textId="16F2AFC4" w:rsidR="00A557C9" w:rsidRPr="00A557C9" w:rsidRDefault="00A557C9" w:rsidP="00D66738">
            <w:pPr>
              <w:pStyle w:val="charts"/>
              <w:keepNext w:val="0"/>
              <w:spacing w:after="120"/>
              <w:jc w:val="both"/>
              <w:rPr>
                <w:sz w:val="20"/>
              </w:rPr>
            </w:pPr>
            <w:r>
              <w:rPr>
                <w:sz w:val="20"/>
              </w:rPr>
              <w:t xml:space="preserve">R: New system </w:t>
            </w:r>
            <w:proofErr w:type="gramStart"/>
            <w:r>
              <w:rPr>
                <w:sz w:val="20"/>
              </w:rPr>
              <w:t>doesn’t</w:t>
            </w:r>
            <w:proofErr w:type="gramEnd"/>
            <w:r>
              <w:rPr>
                <w:sz w:val="20"/>
              </w:rPr>
              <w:t xml:space="preserve"> work well</w:t>
            </w:r>
          </w:p>
        </w:tc>
        <w:tc>
          <w:tcPr>
            <w:tcW w:w="2976" w:type="dxa"/>
          </w:tcPr>
          <w:p w14:paraId="579FA60C" w14:textId="77777777" w:rsidR="003A6773" w:rsidRDefault="00A557C9" w:rsidP="00D66738">
            <w:pPr>
              <w:pStyle w:val="charts"/>
              <w:keepNext w:val="0"/>
              <w:spacing w:after="120"/>
              <w:jc w:val="both"/>
              <w:rPr>
                <w:sz w:val="20"/>
              </w:rPr>
            </w:pPr>
            <w:r>
              <w:rPr>
                <w:sz w:val="20"/>
              </w:rPr>
              <w:t>C: Have to respond timeously to appeals and be more accountable about assessments; could lead to lower revenues and consequently slower growth in assets</w:t>
            </w:r>
          </w:p>
          <w:p w14:paraId="22873C75" w14:textId="77777777" w:rsidR="00A557C9" w:rsidRDefault="00A557C9" w:rsidP="00D66738">
            <w:pPr>
              <w:pStyle w:val="charts"/>
              <w:keepNext w:val="0"/>
              <w:spacing w:after="120"/>
              <w:jc w:val="both"/>
              <w:rPr>
                <w:sz w:val="20"/>
              </w:rPr>
            </w:pPr>
            <w:r>
              <w:rPr>
                <w:sz w:val="20"/>
              </w:rPr>
              <w:t>B: More satisfied constituencies and more appropriate assessments</w:t>
            </w:r>
          </w:p>
          <w:p w14:paraId="0C85836A" w14:textId="2B07E73C" w:rsidR="00A557C9" w:rsidRPr="00A557C9" w:rsidRDefault="00A557C9" w:rsidP="00D66738">
            <w:pPr>
              <w:pStyle w:val="charts"/>
              <w:keepNext w:val="0"/>
              <w:spacing w:after="120"/>
              <w:jc w:val="both"/>
              <w:rPr>
                <w:sz w:val="20"/>
              </w:rPr>
            </w:pPr>
            <w:r>
              <w:rPr>
                <w:sz w:val="20"/>
              </w:rPr>
              <w:t>R: As with small business</w:t>
            </w:r>
          </w:p>
        </w:tc>
        <w:tc>
          <w:tcPr>
            <w:tcW w:w="2330" w:type="dxa"/>
          </w:tcPr>
          <w:p w14:paraId="790F2556" w14:textId="44663E78" w:rsidR="003A6773" w:rsidRPr="00A557C9" w:rsidRDefault="000340AF" w:rsidP="00D66738">
            <w:pPr>
              <w:pStyle w:val="charts"/>
              <w:keepNext w:val="0"/>
              <w:spacing w:after="120"/>
              <w:jc w:val="both"/>
              <w:rPr>
                <w:sz w:val="20"/>
              </w:rPr>
            </w:pPr>
            <w:r>
              <w:rPr>
                <w:sz w:val="20"/>
              </w:rPr>
              <w:t>For all business, the analysis for small business applies</w:t>
            </w:r>
          </w:p>
        </w:tc>
      </w:tr>
    </w:tbl>
    <w:p w14:paraId="13215B3D" w14:textId="42F180B9" w:rsidR="003A6773" w:rsidRPr="003A6773" w:rsidRDefault="000340AF" w:rsidP="00D66738">
      <w:pPr>
        <w:jc w:val="both"/>
      </w:pPr>
      <w:r>
        <w:t xml:space="preserve">The preferred option would provide for a limited payment holiday, say for two years, during which time a tripartite commission would review the actuarial basis of the Compensation Fund’s assessments. This approach would ensure a longer-term solution to the problem of excessive surpluses. In addition to analysing the level of assessments, it should review the Compensation Fund’s payment systems. Workers and healthcare workers contend that the existing benefit levels are inadequate and that payments are often delayed. </w:t>
      </w:r>
    </w:p>
    <w:p w14:paraId="65597812" w14:textId="3DB65127" w:rsidR="003A6773" w:rsidRDefault="000E2A9B" w:rsidP="00D66738">
      <w:pPr>
        <w:pStyle w:val="Caption"/>
        <w:jc w:val="both"/>
        <w:rPr>
          <w:b w:val="0"/>
        </w:rPr>
      </w:pPr>
      <w:r>
        <w:rPr>
          <w:b w:val="0"/>
        </w:rPr>
        <w:t xml:space="preserve">In addition, establishment of a more responsive appeals and dispute resolution system would assist in improving the legitimacy of the compensation assessment system while reducing inappropriate charges to companies. Such a system could for instance involve fixed turnaround times for responses to appeals and some possibility of independent arbitration.  </w:t>
      </w:r>
    </w:p>
    <w:p w14:paraId="16541724" w14:textId="4A648159" w:rsidR="000E2A9B" w:rsidRDefault="000E2A9B" w:rsidP="00D66738">
      <w:pPr>
        <w:pStyle w:val="Heading4"/>
        <w:jc w:val="both"/>
      </w:pPr>
      <w:r>
        <w:t>PEA certificates</w:t>
      </w:r>
    </w:p>
    <w:p w14:paraId="6A61F0EC" w14:textId="7F6C5CF1" w:rsidR="000E2A9B" w:rsidRDefault="00EE37BA" w:rsidP="00D66738">
      <w:pPr>
        <w:jc w:val="both"/>
      </w:pPr>
      <w:r>
        <w:t xml:space="preserve">The following options were analysed to reduce the </w:t>
      </w:r>
      <w:r w:rsidR="008A44A6">
        <w:t>burden</w:t>
      </w:r>
      <w:r>
        <w:t xml:space="preserve"> of obtaining a PEA certificate. </w:t>
      </w:r>
    </w:p>
    <w:p w14:paraId="7D70E55C" w14:textId="2D50184D" w:rsidR="00EE37BA" w:rsidRPr="00EE37BA" w:rsidRDefault="00EE37BA" w:rsidP="00D66738">
      <w:pPr>
        <w:pStyle w:val="ListParagraph"/>
        <w:numPr>
          <w:ilvl w:val="0"/>
          <w:numId w:val="83"/>
        </w:numPr>
        <w:jc w:val="both"/>
      </w:pPr>
      <w:r w:rsidRPr="00EE37BA">
        <w:t xml:space="preserve">Option 1: Exempt </w:t>
      </w:r>
      <w:r>
        <w:t>employment agencies that count as small businesses,</w:t>
      </w:r>
      <w:r w:rsidRPr="00EE37BA">
        <w:t xml:space="preserve"> and do site visits by exception   </w:t>
      </w:r>
    </w:p>
    <w:p w14:paraId="6F1BF35B" w14:textId="334C537E" w:rsidR="00EE37BA" w:rsidRPr="00EE37BA" w:rsidRDefault="00EE37BA" w:rsidP="00D66738">
      <w:pPr>
        <w:pStyle w:val="ListParagraph"/>
        <w:numPr>
          <w:ilvl w:val="0"/>
          <w:numId w:val="83"/>
        </w:numPr>
        <w:jc w:val="both"/>
      </w:pPr>
      <w:r w:rsidRPr="00EE37BA">
        <w:t xml:space="preserve">Option 2: </w:t>
      </w:r>
      <w:r>
        <w:t xml:space="preserve">Set a </w:t>
      </w:r>
      <w:r w:rsidRPr="00EE37BA">
        <w:t>standard turnaround times and time frames –</w:t>
      </w:r>
      <w:r>
        <w:t xml:space="preserve"> for instance, i</w:t>
      </w:r>
      <w:r w:rsidRPr="00EE37BA">
        <w:t xml:space="preserve">f an inspection is not conducted in </w:t>
      </w:r>
      <w:r>
        <w:t>two</w:t>
      </w:r>
      <w:r w:rsidRPr="00EE37BA">
        <w:t xml:space="preserve"> weeks then certificate will be provided automatically</w:t>
      </w:r>
    </w:p>
    <w:p w14:paraId="1E53CA58" w14:textId="77777777" w:rsidR="00EE37BA" w:rsidRPr="00EE37BA" w:rsidRDefault="00EE37BA" w:rsidP="00D66738">
      <w:pPr>
        <w:pStyle w:val="ListParagraph"/>
        <w:numPr>
          <w:ilvl w:val="0"/>
          <w:numId w:val="83"/>
        </w:numPr>
        <w:jc w:val="both"/>
      </w:pPr>
      <w:r w:rsidRPr="00EE37BA">
        <w:t xml:space="preserve">Option 3: Digitise certification </w:t>
      </w:r>
    </w:p>
    <w:p w14:paraId="0B60DCF7" w14:textId="03153BB5" w:rsidR="005E0820" w:rsidRPr="000468A4" w:rsidRDefault="005E0820" w:rsidP="00D66738">
      <w:pPr>
        <w:pStyle w:val="Caption"/>
        <w:jc w:val="both"/>
      </w:pPr>
      <w:bookmarkStart w:id="793" w:name="_Toc479940977"/>
      <w:r w:rsidRPr="000468A4">
        <w:t xml:space="preserve">Table </w:t>
      </w:r>
      <w:fldSimple w:instr=" SEQ Table \* ARABIC ">
        <w:r w:rsidR="005062E7">
          <w:rPr>
            <w:noProof/>
          </w:rPr>
          <w:t>20</w:t>
        </w:r>
      </w:fldSimple>
      <w:r>
        <w:rPr>
          <w:noProof/>
        </w:rPr>
        <w:t>.</w:t>
      </w:r>
      <w:r w:rsidRPr="000468A4">
        <w:t xml:space="preserve"> Costs, benefits and risks for PEA certificate</w:t>
      </w:r>
      <w:r w:rsidR="00EE37BA">
        <w:t xml:space="preserve"> options</w:t>
      </w:r>
      <w:bookmarkEnd w:id="793"/>
    </w:p>
    <w:tbl>
      <w:tblPr>
        <w:tblStyle w:val="TableGrid"/>
        <w:tblW w:w="5000" w:type="pct"/>
        <w:tblLook w:val="04A0" w:firstRow="1" w:lastRow="0" w:firstColumn="1" w:lastColumn="0" w:noHBand="0" w:noVBand="1"/>
      </w:tblPr>
      <w:tblGrid>
        <w:gridCol w:w="1667"/>
        <w:gridCol w:w="1985"/>
        <w:gridCol w:w="3100"/>
        <w:gridCol w:w="2490"/>
      </w:tblGrid>
      <w:tr w:rsidR="00A557C9" w:rsidRPr="00EE37BA" w14:paraId="4493B6DB" w14:textId="77777777" w:rsidTr="00EE37BA">
        <w:trPr>
          <w:cantSplit/>
          <w:tblHeader/>
        </w:trPr>
        <w:tc>
          <w:tcPr>
            <w:tcW w:w="902" w:type="pct"/>
            <w:vAlign w:val="bottom"/>
          </w:tcPr>
          <w:p w14:paraId="1E09ACCD" w14:textId="68D1BBEB" w:rsidR="00A557C9" w:rsidRPr="00EE37BA" w:rsidRDefault="00A557C9" w:rsidP="00D66738">
            <w:pPr>
              <w:pStyle w:val="charts"/>
              <w:keepNext w:val="0"/>
              <w:jc w:val="both"/>
              <w:rPr>
                <w:b/>
                <w:sz w:val="20"/>
              </w:rPr>
            </w:pPr>
          </w:p>
        </w:tc>
        <w:tc>
          <w:tcPr>
            <w:tcW w:w="1074" w:type="pct"/>
            <w:vAlign w:val="bottom"/>
          </w:tcPr>
          <w:p w14:paraId="7436E95F" w14:textId="4B7D733B" w:rsidR="00A557C9" w:rsidRPr="00EE37BA" w:rsidRDefault="00A557C9" w:rsidP="00D66738">
            <w:pPr>
              <w:pStyle w:val="charts"/>
              <w:keepNext w:val="0"/>
              <w:jc w:val="both"/>
              <w:rPr>
                <w:b/>
                <w:sz w:val="20"/>
              </w:rPr>
            </w:pPr>
            <w:r w:rsidRPr="00EE37BA">
              <w:rPr>
                <w:b/>
                <w:sz w:val="20"/>
              </w:rPr>
              <w:t>Small business</w:t>
            </w:r>
          </w:p>
        </w:tc>
        <w:tc>
          <w:tcPr>
            <w:tcW w:w="1677" w:type="pct"/>
            <w:vAlign w:val="bottom"/>
          </w:tcPr>
          <w:p w14:paraId="1AB5EDAB" w14:textId="779DD202" w:rsidR="00A557C9" w:rsidRPr="00EE37BA" w:rsidRDefault="00EE37BA" w:rsidP="00D66738">
            <w:pPr>
              <w:pStyle w:val="charts"/>
              <w:keepNext w:val="0"/>
              <w:jc w:val="both"/>
              <w:rPr>
                <w:b/>
                <w:sz w:val="20"/>
              </w:rPr>
            </w:pPr>
            <w:r w:rsidRPr="00EE37BA">
              <w:rPr>
                <w:b/>
                <w:sz w:val="20"/>
              </w:rPr>
              <w:t>Department of Labour</w:t>
            </w:r>
          </w:p>
        </w:tc>
        <w:tc>
          <w:tcPr>
            <w:tcW w:w="1347" w:type="pct"/>
            <w:vAlign w:val="bottom"/>
          </w:tcPr>
          <w:p w14:paraId="506B6F25" w14:textId="53CC0076" w:rsidR="00A557C9" w:rsidRPr="00EE37BA" w:rsidRDefault="00EE37BA" w:rsidP="00D66738">
            <w:pPr>
              <w:pStyle w:val="charts"/>
              <w:keepNext w:val="0"/>
              <w:jc w:val="both"/>
              <w:rPr>
                <w:b/>
                <w:sz w:val="20"/>
              </w:rPr>
            </w:pPr>
            <w:r>
              <w:rPr>
                <w:b/>
                <w:sz w:val="20"/>
              </w:rPr>
              <w:t>Employees of employment agencies</w:t>
            </w:r>
          </w:p>
        </w:tc>
      </w:tr>
      <w:tr w:rsidR="00A557C9" w:rsidRPr="00EE37BA" w14:paraId="212518D9" w14:textId="77777777" w:rsidTr="00EE37BA">
        <w:trPr>
          <w:cantSplit/>
        </w:trPr>
        <w:tc>
          <w:tcPr>
            <w:tcW w:w="902" w:type="pct"/>
          </w:tcPr>
          <w:p w14:paraId="71DAD648" w14:textId="4D4254E2" w:rsidR="00A557C9" w:rsidRPr="00EE37BA" w:rsidRDefault="00A557C9" w:rsidP="00D66738">
            <w:pPr>
              <w:pStyle w:val="charts"/>
              <w:keepNext w:val="0"/>
              <w:spacing w:after="120"/>
              <w:jc w:val="both"/>
              <w:rPr>
                <w:sz w:val="20"/>
              </w:rPr>
            </w:pPr>
            <w:r w:rsidRPr="00EE37BA">
              <w:rPr>
                <w:sz w:val="20"/>
              </w:rPr>
              <w:t xml:space="preserve">Option 1: </w:t>
            </w:r>
            <w:r w:rsidR="00EE37BA">
              <w:rPr>
                <w:sz w:val="20"/>
              </w:rPr>
              <w:t>Conduct s</w:t>
            </w:r>
            <w:r w:rsidRPr="00EE37BA">
              <w:rPr>
                <w:sz w:val="20"/>
              </w:rPr>
              <w:t xml:space="preserve">ite visits </w:t>
            </w:r>
            <w:r w:rsidR="00EE37BA">
              <w:rPr>
                <w:sz w:val="20"/>
              </w:rPr>
              <w:t>after certification and only where some evidence of need</w:t>
            </w:r>
            <w:r w:rsidRPr="00EE37BA">
              <w:rPr>
                <w:sz w:val="20"/>
              </w:rPr>
              <w:t xml:space="preserve">   </w:t>
            </w:r>
          </w:p>
        </w:tc>
        <w:tc>
          <w:tcPr>
            <w:tcW w:w="1074" w:type="pct"/>
          </w:tcPr>
          <w:p w14:paraId="735B897B" w14:textId="57FC860D" w:rsidR="00A557C9" w:rsidRPr="00EE37BA" w:rsidRDefault="00A557C9" w:rsidP="00D66738">
            <w:pPr>
              <w:pStyle w:val="charts"/>
              <w:keepNext w:val="0"/>
              <w:spacing w:after="120"/>
              <w:jc w:val="both"/>
              <w:rPr>
                <w:sz w:val="20"/>
                <w:szCs w:val="20"/>
              </w:rPr>
            </w:pPr>
            <w:r w:rsidRPr="00EE37BA">
              <w:rPr>
                <w:sz w:val="20"/>
                <w:szCs w:val="20"/>
              </w:rPr>
              <w:t xml:space="preserve">C: No </w:t>
            </w:r>
            <w:r w:rsidR="00EE37BA">
              <w:rPr>
                <w:sz w:val="20"/>
                <w:szCs w:val="20"/>
              </w:rPr>
              <w:t xml:space="preserve">additional </w:t>
            </w:r>
            <w:r w:rsidRPr="00EE37BA">
              <w:rPr>
                <w:sz w:val="20"/>
                <w:szCs w:val="20"/>
              </w:rPr>
              <w:t>costs</w:t>
            </w:r>
            <w:r w:rsidR="00EE37BA">
              <w:rPr>
                <w:sz w:val="20"/>
                <w:szCs w:val="20"/>
              </w:rPr>
              <w:t>, but other elements of registration remain</w:t>
            </w:r>
          </w:p>
          <w:p w14:paraId="19B62128" w14:textId="77777777" w:rsidR="00A557C9" w:rsidRPr="00EE37BA" w:rsidRDefault="00A557C9" w:rsidP="00D66738">
            <w:pPr>
              <w:pStyle w:val="charts"/>
              <w:keepNext w:val="0"/>
              <w:spacing w:after="120"/>
              <w:jc w:val="both"/>
              <w:rPr>
                <w:sz w:val="20"/>
                <w:szCs w:val="20"/>
              </w:rPr>
            </w:pPr>
            <w:r w:rsidRPr="00EE37BA">
              <w:rPr>
                <w:sz w:val="20"/>
                <w:szCs w:val="20"/>
              </w:rPr>
              <w:t>B: Can have accreditation more rapidly</w:t>
            </w:r>
          </w:p>
          <w:p w14:paraId="7B22BD8A" w14:textId="04911CD5" w:rsidR="00A557C9" w:rsidRPr="00EE37BA" w:rsidRDefault="00A557C9" w:rsidP="00D66738">
            <w:pPr>
              <w:pStyle w:val="charts"/>
              <w:keepNext w:val="0"/>
              <w:spacing w:after="120"/>
              <w:jc w:val="both"/>
              <w:rPr>
                <w:sz w:val="20"/>
                <w:szCs w:val="20"/>
              </w:rPr>
            </w:pPr>
            <w:r w:rsidRPr="00EE37BA">
              <w:rPr>
                <w:sz w:val="20"/>
                <w:szCs w:val="20"/>
              </w:rPr>
              <w:t>R:</w:t>
            </w:r>
            <w:r w:rsidR="00EE37BA">
              <w:rPr>
                <w:sz w:val="20"/>
                <w:szCs w:val="20"/>
              </w:rPr>
              <w:t xml:space="preserve"> Criteria that trigger inspection set very broadly</w:t>
            </w:r>
            <w:r w:rsidRPr="00EE37BA">
              <w:rPr>
                <w:sz w:val="20"/>
                <w:szCs w:val="20"/>
              </w:rPr>
              <w:t xml:space="preserve"> </w:t>
            </w:r>
          </w:p>
        </w:tc>
        <w:tc>
          <w:tcPr>
            <w:tcW w:w="1677" w:type="pct"/>
          </w:tcPr>
          <w:p w14:paraId="333512CA" w14:textId="380FC719" w:rsidR="00A557C9" w:rsidRPr="00EE37BA" w:rsidRDefault="00A557C9" w:rsidP="00D66738">
            <w:pPr>
              <w:pStyle w:val="charts"/>
              <w:keepNext w:val="0"/>
              <w:spacing w:after="120"/>
              <w:jc w:val="both"/>
              <w:rPr>
                <w:sz w:val="20"/>
                <w:szCs w:val="20"/>
              </w:rPr>
            </w:pPr>
            <w:r w:rsidRPr="00EE37BA">
              <w:rPr>
                <w:sz w:val="20"/>
                <w:szCs w:val="20"/>
              </w:rPr>
              <w:t xml:space="preserve">C: </w:t>
            </w:r>
            <w:r w:rsidR="00EE37BA">
              <w:rPr>
                <w:sz w:val="20"/>
                <w:szCs w:val="20"/>
              </w:rPr>
              <w:t>None</w:t>
            </w:r>
          </w:p>
          <w:p w14:paraId="161E8F99" w14:textId="09D94920" w:rsidR="00A557C9" w:rsidRPr="00EE37BA" w:rsidRDefault="00A557C9" w:rsidP="00D66738">
            <w:pPr>
              <w:pStyle w:val="charts"/>
              <w:keepNext w:val="0"/>
              <w:spacing w:after="120"/>
              <w:jc w:val="both"/>
              <w:rPr>
                <w:sz w:val="20"/>
                <w:szCs w:val="20"/>
              </w:rPr>
            </w:pPr>
            <w:r w:rsidRPr="00EE37BA">
              <w:rPr>
                <w:sz w:val="20"/>
                <w:szCs w:val="20"/>
              </w:rPr>
              <w:t xml:space="preserve">B: </w:t>
            </w:r>
            <w:r w:rsidR="00EE37BA">
              <w:rPr>
                <w:sz w:val="20"/>
                <w:szCs w:val="20"/>
              </w:rPr>
              <w:t>Reduced inspection requirements</w:t>
            </w:r>
          </w:p>
          <w:p w14:paraId="2D77AD9C" w14:textId="35D0EFBC" w:rsidR="00A557C9" w:rsidRPr="00EE37BA" w:rsidRDefault="00A557C9" w:rsidP="00D66738">
            <w:pPr>
              <w:pStyle w:val="charts"/>
              <w:keepNext w:val="0"/>
              <w:spacing w:after="120"/>
              <w:jc w:val="both"/>
              <w:rPr>
                <w:sz w:val="20"/>
                <w:szCs w:val="20"/>
              </w:rPr>
            </w:pPr>
            <w:r w:rsidRPr="00EE37BA">
              <w:rPr>
                <w:sz w:val="20"/>
                <w:szCs w:val="20"/>
              </w:rPr>
              <w:t xml:space="preserve">R:Companies may use </w:t>
            </w:r>
            <w:r w:rsidR="00EE37BA">
              <w:rPr>
                <w:sz w:val="20"/>
                <w:szCs w:val="20"/>
              </w:rPr>
              <w:t xml:space="preserve">the </w:t>
            </w:r>
            <w:r w:rsidRPr="00EE37BA">
              <w:rPr>
                <w:sz w:val="20"/>
                <w:szCs w:val="20"/>
              </w:rPr>
              <w:t>opportunity to avoid regulation</w:t>
            </w:r>
            <w:r w:rsidR="00EE37BA">
              <w:rPr>
                <w:sz w:val="20"/>
                <w:szCs w:val="20"/>
              </w:rPr>
              <w:t xml:space="preserve"> at the cost of their workers and customers</w:t>
            </w:r>
            <w:r w:rsidR="006666AD">
              <w:rPr>
                <w:sz w:val="20"/>
                <w:szCs w:val="20"/>
              </w:rPr>
              <w:t>; regional offices oppose change</w:t>
            </w:r>
          </w:p>
        </w:tc>
        <w:tc>
          <w:tcPr>
            <w:tcW w:w="1347" w:type="pct"/>
          </w:tcPr>
          <w:p w14:paraId="634C0905" w14:textId="69863786" w:rsidR="00A557C9" w:rsidRPr="00EE37BA" w:rsidRDefault="00A557C9" w:rsidP="00D66738">
            <w:pPr>
              <w:pStyle w:val="charts"/>
              <w:keepNext w:val="0"/>
              <w:spacing w:after="120"/>
              <w:jc w:val="both"/>
              <w:rPr>
                <w:sz w:val="20"/>
                <w:szCs w:val="20"/>
              </w:rPr>
            </w:pPr>
            <w:r w:rsidRPr="00EE37BA">
              <w:rPr>
                <w:sz w:val="20"/>
                <w:szCs w:val="20"/>
              </w:rPr>
              <w:t xml:space="preserve">C: </w:t>
            </w:r>
            <w:r w:rsidR="00EE37BA">
              <w:rPr>
                <w:sz w:val="20"/>
                <w:szCs w:val="20"/>
              </w:rPr>
              <w:t>None</w:t>
            </w:r>
          </w:p>
          <w:p w14:paraId="7702EC5D" w14:textId="1E19180A" w:rsidR="00A557C9" w:rsidRPr="00EE37BA" w:rsidRDefault="00A557C9" w:rsidP="00D66738">
            <w:pPr>
              <w:pStyle w:val="charts"/>
              <w:keepNext w:val="0"/>
              <w:spacing w:after="120"/>
              <w:jc w:val="both"/>
              <w:rPr>
                <w:sz w:val="20"/>
                <w:szCs w:val="20"/>
              </w:rPr>
            </w:pPr>
            <w:r w:rsidRPr="00EE37BA">
              <w:rPr>
                <w:sz w:val="20"/>
                <w:szCs w:val="20"/>
              </w:rPr>
              <w:t xml:space="preserve">B: </w:t>
            </w:r>
            <w:r w:rsidR="00EE37BA">
              <w:rPr>
                <w:sz w:val="20"/>
                <w:szCs w:val="20"/>
              </w:rPr>
              <w:t>If more companies register, then workers’ conditions would also improve</w:t>
            </w:r>
          </w:p>
          <w:p w14:paraId="4632AD09" w14:textId="27DCE0A0" w:rsidR="00A557C9" w:rsidRPr="00EE37BA" w:rsidRDefault="00A557C9" w:rsidP="00D66738">
            <w:pPr>
              <w:pStyle w:val="charts"/>
              <w:keepNext w:val="0"/>
              <w:spacing w:after="120"/>
              <w:jc w:val="both"/>
              <w:rPr>
                <w:sz w:val="20"/>
                <w:szCs w:val="20"/>
              </w:rPr>
            </w:pPr>
            <w:r w:rsidRPr="00EE37BA">
              <w:rPr>
                <w:sz w:val="20"/>
                <w:szCs w:val="20"/>
              </w:rPr>
              <w:t xml:space="preserve">R: </w:t>
            </w:r>
            <w:r w:rsidR="00EE37BA">
              <w:rPr>
                <w:sz w:val="20"/>
                <w:szCs w:val="20"/>
              </w:rPr>
              <w:t>More likely to be deprived of benefits or defrauded</w:t>
            </w:r>
            <w:r w:rsidR="00EE37BA" w:rsidRPr="00EE37BA">
              <w:rPr>
                <w:sz w:val="20"/>
                <w:szCs w:val="20"/>
              </w:rPr>
              <w:t xml:space="preserve"> </w:t>
            </w:r>
            <w:r w:rsidR="00EE37BA">
              <w:rPr>
                <w:sz w:val="20"/>
                <w:szCs w:val="20"/>
              </w:rPr>
              <w:t>(not clear how big this risk is)</w:t>
            </w:r>
          </w:p>
        </w:tc>
      </w:tr>
      <w:tr w:rsidR="00A557C9" w:rsidRPr="00EE37BA" w14:paraId="138AC661" w14:textId="77777777" w:rsidTr="00EE37BA">
        <w:trPr>
          <w:cantSplit/>
        </w:trPr>
        <w:tc>
          <w:tcPr>
            <w:tcW w:w="902" w:type="pct"/>
          </w:tcPr>
          <w:p w14:paraId="273709DC" w14:textId="6817AEF3" w:rsidR="00A557C9" w:rsidRPr="00EE37BA" w:rsidRDefault="00A557C9" w:rsidP="00D66738">
            <w:pPr>
              <w:pStyle w:val="charts"/>
              <w:keepNext w:val="0"/>
              <w:spacing w:after="120"/>
              <w:jc w:val="both"/>
              <w:rPr>
                <w:sz w:val="20"/>
              </w:rPr>
            </w:pPr>
            <w:r w:rsidRPr="00EE37BA">
              <w:rPr>
                <w:sz w:val="20"/>
              </w:rPr>
              <w:lastRenderedPageBreak/>
              <w:t xml:space="preserve">Option 2: </w:t>
            </w:r>
            <w:r w:rsidR="00EE37BA">
              <w:rPr>
                <w:sz w:val="20"/>
              </w:rPr>
              <w:t xml:space="preserve">Set </w:t>
            </w:r>
            <w:r w:rsidRPr="00EE37BA">
              <w:rPr>
                <w:sz w:val="20"/>
              </w:rPr>
              <w:t xml:space="preserve">standard turnaround times and time frames </w:t>
            </w:r>
          </w:p>
        </w:tc>
        <w:tc>
          <w:tcPr>
            <w:tcW w:w="1074" w:type="pct"/>
          </w:tcPr>
          <w:p w14:paraId="05820C46" w14:textId="6F9F911E" w:rsidR="00A557C9" w:rsidRPr="00EE37BA" w:rsidRDefault="00A557C9" w:rsidP="00D66738">
            <w:pPr>
              <w:pStyle w:val="charts"/>
              <w:keepNext w:val="0"/>
              <w:spacing w:after="120"/>
              <w:jc w:val="both"/>
              <w:rPr>
                <w:sz w:val="20"/>
                <w:szCs w:val="20"/>
              </w:rPr>
            </w:pPr>
            <w:r w:rsidRPr="00EE37BA">
              <w:rPr>
                <w:sz w:val="20"/>
                <w:szCs w:val="20"/>
              </w:rPr>
              <w:t>C: No costs</w:t>
            </w:r>
            <w:r w:rsidR="00EE37BA">
              <w:rPr>
                <w:sz w:val="20"/>
                <w:szCs w:val="20"/>
              </w:rPr>
              <w:t>, but other costs of registration remain</w:t>
            </w:r>
          </w:p>
          <w:p w14:paraId="691D9A9D" w14:textId="77777777" w:rsidR="00A557C9" w:rsidRPr="00EE37BA" w:rsidRDefault="00A557C9" w:rsidP="00D66738">
            <w:pPr>
              <w:pStyle w:val="charts"/>
              <w:keepNext w:val="0"/>
              <w:spacing w:after="120"/>
              <w:jc w:val="both"/>
              <w:rPr>
                <w:sz w:val="20"/>
                <w:szCs w:val="20"/>
              </w:rPr>
            </w:pPr>
            <w:r w:rsidRPr="00EE37BA">
              <w:rPr>
                <w:sz w:val="20"/>
                <w:szCs w:val="20"/>
              </w:rPr>
              <w:t xml:space="preserve">B: Can have accreditation more rapidly </w:t>
            </w:r>
          </w:p>
          <w:p w14:paraId="2FC17A4A" w14:textId="77777777" w:rsidR="00A557C9" w:rsidRPr="00EE37BA" w:rsidRDefault="00A557C9" w:rsidP="00D66738">
            <w:pPr>
              <w:pStyle w:val="charts"/>
              <w:keepNext w:val="0"/>
              <w:spacing w:after="120"/>
              <w:jc w:val="both"/>
              <w:rPr>
                <w:sz w:val="20"/>
                <w:szCs w:val="20"/>
              </w:rPr>
            </w:pPr>
            <w:r w:rsidRPr="00EE37BA">
              <w:rPr>
                <w:sz w:val="20"/>
                <w:szCs w:val="20"/>
              </w:rPr>
              <w:t>R: No risks</w:t>
            </w:r>
          </w:p>
        </w:tc>
        <w:tc>
          <w:tcPr>
            <w:tcW w:w="1677" w:type="pct"/>
          </w:tcPr>
          <w:p w14:paraId="4FFB9BAA" w14:textId="6F91C35C" w:rsidR="00A557C9" w:rsidRPr="00EE37BA" w:rsidRDefault="00A557C9" w:rsidP="00D66738">
            <w:pPr>
              <w:pStyle w:val="charts"/>
              <w:keepNext w:val="0"/>
              <w:spacing w:after="120"/>
              <w:jc w:val="both"/>
              <w:rPr>
                <w:sz w:val="20"/>
                <w:szCs w:val="20"/>
              </w:rPr>
            </w:pPr>
            <w:r w:rsidRPr="00EE37BA">
              <w:rPr>
                <w:sz w:val="20"/>
                <w:szCs w:val="20"/>
              </w:rPr>
              <w:t>C: Determine time frames; change procedures</w:t>
            </w:r>
            <w:r w:rsidR="00EE37BA">
              <w:rPr>
                <w:sz w:val="20"/>
                <w:szCs w:val="20"/>
              </w:rPr>
              <w:t xml:space="preserve"> to meet timeframes</w:t>
            </w:r>
          </w:p>
          <w:p w14:paraId="280690F0" w14:textId="46009742" w:rsidR="00EE37BA" w:rsidRDefault="00A557C9" w:rsidP="00D66738">
            <w:pPr>
              <w:pStyle w:val="charts"/>
              <w:keepNext w:val="0"/>
              <w:spacing w:after="120"/>
              <w:jc w:val="both"/>
              <w:rPr>
                <w:sz w:val="20"/>
                <w:szCs w:val="20"/>
              </w:rPr>
            </w:pPr>
            <w:r w:rsidRPr="00EE37BA">
              <w:rPr>
                <w:sz w:val="20"/>
                <w:szCs w:val="20"/>
              </w:rPr>
              <w:t xml:space="preserve">B: </w:t>
            </w:r>
            <w:r w:rsidR="00EE37BA">
              <w:rPr>
                <w:sz w:val="20"/>
                <w:szCs w:val="20"/>
              </w:rPr>
              <w:t>Greater compliance</w:t>
            </w:r>
          </w:p>
          <w:p w14:paraId="5C0CF15D" w14:textId="24FF7D9F" w:rsidR="00A557C9" w:rsidRPr="00EE37BA" w:rsidRDefault="00A557C9" w:rsidP="00D66738">
            <w:pPr>
              <w:pStyle w:val="charts"/>
              <w:keepNext w:val="0"/>
              <w:spacing w:after="120"/>
              <w:jc w:val="both"/>
              <w:rPr>
                <w:sz w:val="20"/>
                <w:szCs w:val="20"/>
              </w:rPr>
            </w:pPr>
            <w:r w:rsidRPr="00EE37BA">
              <w:rPr>
                <w:sz w:val="20"/>
                <w:szCs w:val="20"/>
              </w:rPr>
              <w:t xml:space="preserve">R: </w:t>
            </w:r>
            <w:r w:rsidR="006666AD">
              <w:rPr>
                <w:sz w:val="20"/>
                <w:szCs w:val="20"/>
              </w:rPr>
              <w:t>Regional office are u</w:t>
            </w:r>
            <w:r w:rsidR="00EE37BA">
              <w:rPr>
                <w:sz w:val="20"/>
                <w:szCs w:val="20"/>
              </w:rPr>
              <w:t>nable to adhere to timeframes</w:t>
            </w:r>
            <w:r w:rsidR="006666AD">
              <w:rPr>
                <w:sz w:val="20"/>
                <w:szCs w:val="20"/>
              </w:rPr>
              <w:t xml:space="preserve"> </w:t>
            </w:r>
          </w:p>
        </w:tc>
        <w:tc>
          <w:tcPr>
            <w:tcW w:w="1347" w:type="pct"/>
          </w:tcPr>
          <w:p w14:paraId="77946755" w14:textId="12E74B25" w:rsidR="00A557C9" w:rsidRPr="00EE37BA" w:rsidRDefault="00A557C9" w:rsidP="00D66738">
            <w:pPr>
              <w:pStyle w:val="charts"/>
              <w:keepNext w:val="0"/>
              <w:spacing w:after="120"/>
              <w:jc w:val="both"/>
              <w:rPr>
                <w:sz w:val="20"/>
                <w:szCs w:val="20"/>
              </w:rPr>
            </w:pPr>
            <w:r w:rsidRPr="00EE37BA">
              <w:rPr>
                <w:sz w:val="20"/>
                <w:szCs w:val="20"/>
              </w:rPr>
              <w:t xml:space="preserve">C: </w:t>
            </w:r>
            <w:r w:rsidR="00EE37BA">
              <w:rPr>
                <w:sz w:val="20"/>
                <w:szCs w:val="20"/>
              </w:rPr>
              <w:t>None</w:t>
            </w:r>
          </w:p>
          <w:p w14:paraId="0E254098" w14:textId="002371A8" w:rsidR="00EE37BA" w:rsidRPr="00EE37BA" w:rsidRDefault="00A557C9" w:rsidP="00D66738">
            <w:pPr>
              <w:pStyle w:val="charts"/>
              <w:keepNext w:val="0"/>
              <w:spacing w:after="120"/>
              <w:jc w:val="both"/>
              <w:rPr>
                <w:sz w:val="20"/>
                <w:szCs w:val="20"/>
              </w:rPr>
            </w:pPr>
            <w:r w:rsidRPr="00EE37BA">
              <w:rPr>
                <w:sz w:val="20"/>
                <w:szCs w:val="20"/>
              </w:rPr>
              <w:t xml:space="preserve">B: </w:t>
            </w:r>
            <w:r w:rsidR="006666AD">
              <w:rPr>
                <w:sz w:val="20"/>
                <w:szCs w:val="20"/>
              </w:rPr>
              <w:t>As above</w:t>
            </w:r>
          </w:p>
          <w:p w14:paraId="1169666B" w14:textId="0848CD6F" w:rsidR="00A557C9" w:rsidRPr="00EE37BA" w:rsidRDefault="00EE37BA" w:rsidP="00D66738">
            <w:pPr>
              <w:pStyle w:val="charts"/>
              <w:keepNext w:val="0"/>
              <w:spacing w:after="120"/>
              <w:jc w:val="both"/>
              <w:rPr>
                <w:sz w:val="20"/>
                <w:szCs w:val="20"/>
              </w:rPr>
            </w:pPr>
            <w:r w:rsidRPr="00EE37BA">
              <w:rPr>
                <w:sz w:val="20"/>
                <w:szCs w:val="20"/>
              </w:rPr>
              <w:t xml:space="preserve">R: </w:t>
            </w:r>
            <w:r>
              <w:rPr>
                <w:sz w:val="20"/>
                <w:szCs w:val="20"/>
              </w:rPr>
              <w:t>Lower quality inspections mean do not catch problems</w:t>
            </w:r>
          </w:p>
        </w:tc>
      </w:tr>
      <w:tr w:rsidR="00A557C9" w:rsidRPr="00EE37BA" w14:paraId="42584869" w14:textId="77777777" w:rsidTr="00EE37BA">
        <w:trPr>
          <w:cantSplit/>
        </w:trPr>
        <w:tc>
          <w:tcPr>
            <w:tcW w:w="902" w:type="pct"/>
          </w:tcPr>
          <w:p w14:paraId="4DE930DC" w14:textId="77777777" w:rsidR="00A557C9" w:rsidRPr="00EE37BA" w:rsidRDefault="00A557C9" w:rsidP="00D66738">
            <w:pPr>
              <w:pStyle w:val="charts"/>
              <w:keepNext w:val="0"/>
              <w:spacing w:after="120"/>
              <w:jc w:val="both"/>
              <w:rPr>
                <w:sz w:val="20"/>
              </w:rPr>
            </w:pPr>
            <w:r w:rsidRPr="00EE37BA">
              <w:rPr>
                <w:sz w:val="20"/>
              </w:rPr>
              <w:t xml:space="preserve">Option 3: Digitise certification </w:t>
            </w:r>
          </w:p>
        </w:tc>
        <w:tc>
          <w:tcPr>
            <w:tcW w:w="1074" w:type="pct"/>
          </w:tcPr>
          <w:p w14:paraId="0604358D" w14:textId="21D6F44E" w:rsidR="00A557C9" w:rsidRPr="00EE37BA" w:rsidRDefault="00A557C9" w:rsidP="00D66738">
            <w:pPr>
              <w:pStyle w:val="charts"/>
              <w:keepNext w:val="0"/>
              <w:spacing w:after="120"/>
              <w:jc w:val="both"/>
              <w:rPr>
                <w:sz w:val="20"/>
                <w:szCs w:val="20"/>
              </w:rPr>
            </w:pPr>
            <w:r w:rsidRPr="00EE37BA">
              <w:rPr>
                <w:sz w:val="20"/>
                <w:szCs w:val="20"/>
              </w:rPr>
              <w:t xml:space="preserve">C: </w:t>
            </w:r>
            <w:r w:rsidR="00EE37BA">
              <w:rPr>
                <w:sz w:val="20"/>
                <w:szCs w:val="20"/>
              </w:rPr>
              <w:t>Need to be able to use digital system</w:t>
            </w:r>
          </w:p>
          <w:p w14:paraId="6A871C97" w14:textId="77777777" w:rsidR="00A557C9" w:rsidRPr="00EE37BA" w:rsidRDefault="00A557C9" w:rsidP="00D66738">
            <w:pPr>
              <w:pStyle w:val="charts"/>
              <w:keepNext w:val="0"/>
              <w:spacing w:after="120"/>
              <w:jc w:val="both"/>
              <w:rPr>
                <w:sz w:val="20"/>
                <w:szCs w:val="20"/>
              </w:rPr>
            </w:pPr>
            <w:r w:rsidRPr="00EE37BA">
              <w:rPr>
                <w:sz w:val="20"/>
                <w:szCs w:val="20"/>
              </w:rPr>
              <w:t xml:space="preserve">B: Can have accreditation more rapidly </w:t>
            </w:r>
          </w:p>
          <w:p w14:paraId="5C60B9CD" w14:textId="55938DB4" w:rsidR="00A557C9" w:rsidRPr="00EE37BA" w:rsidRDefault="00A557C9" w:rsidP="00D66738">
            <w:pPr>
              <w:pStyle w:val="charts"/>
              <w:keepNext w:val="0"/>
              <w:spacing w:after="120"/>
              <w:jc w:val="both"/>
              <w:rPr>
                <w:sz w:val="20"/>
                <w:szCs w:val="20"/>
              </w:rPr>
            </w:pPr>
            <w:r w:rsidRPr="00EE37BA">
              <w:rPr>
                <w:sz w:val="20"/>
                <w:szCs w:val="20"/>
              </w:rPr>
              <w:t xml:space="preserve">R: </w:t>
            </w:r>
            <w:r w:rsidR="006666AD">
              <w:rPr>
                <w:sz w:val="20"/>
                <w:szCs w:val="20"/>
              </w:rPr>
              <w:t>Unreliable systems</w:t>
            </w:r>
          </w:p>
        </w:tc>
        <w:tc>
          <w:tcPr>
            <w:tcW w:w="1677" w:type="pct"/>
          </w:tcPr>
          <w:p w14:paraId="67C48B1C" w14:textId="3736498F" w:rsidR="00A557C9" w:rsidRPr="00EE37BA" w:rsidRDefault="00A557C9" w:rsidP="00D66738">
            <w:pPr>
              <w:pStyle w:val="charts"/>
              <w:keepNext w:val="0"/>
              <w:spacing w:after="120"/>
              <w:jc w:val="both"/>
              <w:rPr>
                <w:sz w:val="20"/>
                <w:szCs w:val="20"/>
              </w:rPr>
            </w:pPr>
            <w:r w:rsidRPr="00EE37BA">
              <w:rPr>
                <w:sz w:val="20"/>
                <w:szCs w:val="20"/>
              </w:rPr>
              <w:t xml:space="preserve">C: </w:t>
            </w:r>
            <w:r w:rsidR="006666AD">
              <w:rPr>
                <w:sz w:val="20"/>
                <w:szCs w:val="20"/>
              </w:rPr>
              <w:t>Include in existing systems</w:t>
            </w:r>
          </w:p>
          <w:p w14:paraId="7A19A4EF" w14:textId="26355E59" w:rsidR="00A557C9" w:rsidRPr="00EE37BA" w:rsidRDefault="00A557C9" w:rsidP="00D66738">
            <w:pPr>
              <w:pStyle w:val="charts"/>
              <w:keepNext w:val="0"/>
              <w:spacing w:after="120"/>
              <w:jc w:val="both"/>
              <w:rPr>
                <w:sz w:val="20"/>
                <w:szCs w:val="20"/>
              </w:rPr>
            </w:pPr>
            <w:r w:rsidRPr="00EE37BA">
              <w:rPr>
                <w:sz w:val="20"/>
                <w:szCs w:val="20"/>
              </w:rPr>
              <w:t xml:space="preserve">B: </w:t>
            </w:r>
            <w:r w:rsidR="006666AD">
              <w:rPr>
                <w:sz w:val="20"/>
                <w:szCs w:val="20"/>
              </w:rPr>
              <w:t>Reduced admin burden once new system is in place</w:t>
            </w:r>
          </w:p>
          <w:p w14:paraId="44D95704" w14:textId="7882F3C2" w:rsidR="00A557C9" w:rsidRPr="00EE37BA" w:rsidRDefault="00A557C9" w:rsidP="00D66738">
            <w:pPr>
              <w:pStyle w:val="charts"/>
              <w:keepNext w:val="0"/>
              <w:spacing w:after="120"/>
              <w:jc w:val="both"/>
              <w:rPr>
                <w:sz w:val="20"/>
                <w:szCs w:val="20"/>
              </w:rPr>
            </w:pPr>
            <w:r w:rsidRPr="00EE37BA">
              <w:rPr>
                <w:sz w:val="20"/>
                <w:szCs w:val="20"/>
              </w:rPr>
              <w:t xml:space="preserve">R: Regional offices </w:t>
            </w:r>
            <w:r w:rsidR="006666AD">
              <w:rPr>
                <w:sz w:val="20"/>
                <w:szCs w:val="20"/>
              </w:rPr>
              <w:t>see as a new burden</w:t>
            </w:r>
          </w:p>
        </w:tc>
        <w:tc>
          <w:tcPr>
            <w:tcW w:w="1347" w:type="pct"/>
          </w:tcPr>
          <w:p w14:paraId="60EC0766" w14:textId="12BB93A5" w:rsidR="00A557C9" w:rsidRPr="00EE37BA" w:rsidRDefault="006666AD" w:rsidP="00D66738">
            <w:pPr>
              <w:pStyle w:val="charts"/>
              <w:keepNext w:val="0"/>
              <w:spacing w:after="120"/>
              <w:jc w:val="both"/>
              <w:rPr>
                <w:sz w:val="20"/>
                <w:szCs w:val="20"/>
              </w:rPr>
            </w:pPr>
            <w:r>
              <w:rPr>
                <w:sz w:val="20"/>
                <w:szCs w:val="20"/>
              </w:rPr>
              <w:t>C: None</w:t>
            </w:r>
          </w:p>
          <w:p w14:paraId="59E4B0D1" w14:textId="66CA3AD9" w:rsidR="00A557C9" w:rsidRPr="00EE37BA" w:rsidRDefault="00A557C9" w:rsidP="00D66738">
            <w:pPr>
              <w:pStyle w:val="charts"/>
              <w:keepNext w:val="0"/>
              <w:spacing w:after="120"/>
              <w:jc w:val="both"/>
              <w:rPr>
                <w:sz w:val="20"/>
                <w:szCs w:val="20"/>
              </w:rPr>
            </w:pPr>
            <w:r w:rsidRPr="00EE37BA">
              <w:rPr>
                <w:sz w:val="20"/>
                <w:szCs w:val="20"/>
              </w:rPr>
              <w:t xml:space="preserve">B: </w:t>
            </w:r>
            <w:r w:rsidR="006666AD">
              <w:rPr>
                <w:sz w:val="20"/>
                <w:szCs w:val="20"/>
              </w:rPr>
              <w:t>As above</w:t>
            </w:r>
          </w:p>
          <w:p w14:paraId="356016D2" w14:textId="77777777" w:rsidR="00A557C9" w:rsidRPr="00EE37BA" w:rsidRDefault="00A557C9" w:rsidP="00D66738">
            <w:pPr>
              <w:pStyle w:val="charts"/>
              <w:keepNext w:val="0"/>
              <w:spacing w:after="120"/>
              <w:jc w:val="both"/>
              <w:rPr>
                <w:sz w:val="20"/>
                <w:szCs w:val="20"/>
              </w:rPr>
            </w:pPr>
            <w:r w:rsidRPr="00EE37BA">
              <w:rPr>
                <w:sz w:val="20"/>
                <w:szCs w:val="20"/>
              </w:rPr>
              <w:t>R: No risks</w:t>
            </w:r>
          </w:p>
        </w:tc>
      </w:tr>
    </w:tbl>
    <w:p w14:paraId="2E8DF9A6" w14:textId="3AAB2BE8" w:rsidR="00E41438" w:rsidRPr="006666AD" w:rsidRDefault="00E41438" w:rsidP="00D66738">
      <w:pPr>
        <w:spacing w:after="160"/>
        <w:jc w:val="both"/>
        <w:rPr>
          <w:rFonts w:ascii="Calibri" w:eastAsia="Calibri" w:hAnsi="Calibri" w:cs="Times New Roman"/>
          <w:szCs w:val="24"/>
        </w:rPr>
      </w:pPr>
      <w:r w:rsidRPr="00F209B7">
        <w:rPr>
          <w:rFonts w:ascii="Calibri" w:eastAsia="Calibri" w:hAnsi="Calibri" w:cs="Times New Roman"/>
          <w:szCs w:val="24"/>
        </w:rPr>
        <w:t>From the assessment of costs, benefits and risks, the preferred options for reform include</w:t>
      </w:r>
      <w:r w:rsidR="006666AD">
        <w:rPr>
          <w:rFonts w:ascii="Calibri" w:eastAsia="Calibri" w:hAnsi="Calibri" w:cs="Times New Roman"/>
          <w:szCs w:val="24"/>
        </w:rPr>
        <w:t xml:space="preserve"> </w:t>
      </w:r>
      <w:r w:rsidRPr="006666AD">
        <w:rPr>
          <w:rFonts w:ascii="Calibri" w:eastAsia="Calibri" w:hAnsi="Calibri" w:cs="Times New Roman"/>
          <w:szCs w:val="24"/>
        </w:rPr>
        <w:t xml:space="preserve">a combination of a digital solution for the Letter of Good Standing and </w:t>
      </w:r>
      <w:r w:rsidR="006666AD">
        <w:rPr>
          <w:rFonts w:ascii="Calibri" w:eastAsia="Calibri" w:hAnsi="Calibri" w:cs="Times New Roman"/>
          <w:szCs w:val="24"/>
        </w:rPr>
        <w:t xml:space="preserve">shifting to selective rather than universal </w:t>
      </w:r>
      <w:r w:rsidRPr="006666AD">
        <w:rPr>
          <w:rFonts w:ascii="Calibri" w:eastAsia="Calibri" w:hAnsi="Calibri" w:cs="Times New Roman"/>
          <w:szCs w:val="24"/>
        </w:rPr>
        <w:t>site visits.</w:t>
      </w:r>
    </w:p>
    <w:p w14:paraId="28A68EAA" w14:textId="361967E2" w:rsidR="003A6773" w:rsidRDefault="00777101" w:rsidP="00D66738">
      <w:pPr>
        <w:pStyle w:val="Heading4"/>
        <w:jc w:val="both"/>
      </w:pPr>
      <w:bookmarkStart w:id="794" w:name="_Ref477945226"/>
      <w:bookmarkStart w:id="795" w:name="_Toc469411501"/>
      <w:bookmarkStart w:id="796" w:name="_Toc469411183"/>
      <w:bookmarkStart w:id="797" w:name="_Toc469410590"/>
      <w:bookmarkStart w:id="798" w:name="_Toc469585767"/>
      <w:r>
        <w:t xml:space="preserve"> Stakeholder responses</w:t>
      </w:r>
    </w:p>
    <w:p w14:paraId="0FD6F006" w14:textId="77777777" w:rsidR="003A6773" w:rsidRDefault="003A6773" w:rsidP="00D66738">
      <w:pPr>
        <w:jc w:val="both"/>
      </w:pPr>
      <w:r w:rsidRPr="003A6773">
        <w:t xml:space="preserve">The modifications proposed for the skills levy contrast with the existing aims of the skills system, which are primarily to improve career mobility for workers and meet sector skills needs. There would therefore likely be significant opposition from unions and possibly from policymakers in the skills field. </w:t>
      </w:r>
    </w:p>
    <w:p w14:paraId="53C03EC5" w14:textId="2D33C7BF" w:rsidR="006666AD" w:rsidRDefault="006666AD" w:rsidP="00D66738">
      <w:pPr>
        <w:jc w:val="both"/>
      </w:pPr>
      <w:r>
        <w:t xml:space="preserve">In terms of the Compensation Fund, the tripartite board and the Commissioner will likely oppose any reduction in revenue, even though it is running a significant surplus. Experience suggests that the Department of Labour will tend to support the Compensation Fund unless the evidence around the surplus is clearly communicated. It is possible that unions will also oppose any reduction in the levy because they fear (wrongly) that it would necessitate cuts in benefits. </w:t>
      </w:r>
    </w:p>
    <w:p w14:paraId="30999C93" w14:textId="5232F0CB" w:rsidR="006666AD" w:rsidRDefault="006666AD" w:rsidP="00D66738">
      <w:pPr>
        <w:jc w:val="both"/>
      </w:pPr>
      <w:r>
        <w:t xml:space="preserve">It is likely that the Compensation Fund would also oppose any effort to make the assessment process more accountable. </w:t>
      </w:r>
    </w:p>
    <w:p w14:paraId="264FE326" w14:textId="014465D5" w:rsidR="008E3731" w:rsidRDefault="006666AD" w:rsidP="00D66738">
      <w:pPr>
        <w:jc w:val="both"/>
        <w:rPr>
          <w:rFonts w:asciiTheme="majorHAnsi" w:eastAsia="Cambria" w:hAnsiTheme="majorHAnsi" w:cstheme="majorBidi"/>
          <w:b/>
          <w:bCs/>
          <w:color w:val="365F91" w:themeColor="accent1" w:themeShade="BF"/>
          <w:sz w:val="28"/>
          <w:szCs w:val="28"/>
        </w:rPr>
      </w:pPr>
      <w:r>
        <w:t xml:space="preserve">In terms of the PEA certificate, the regional offices of the Department of Labour may see the proposals as disruptive and unnecessary. In addition, most unionists see employment agencies as inherently linked to outsourcing and therefore exploitative. They might therefore also oppose any efforts to facilitate their registration. </w:t>
      </w:r>
    </w:p>
    <w:p w14:paraId="0F66C717" w14:textId="4797D194" w:rsidR="00D8358C" w:rsidRPr="00A215BF" w:rsidRDefault="00493691" w:rsidP="00D66738">
      <w:pPr>
        <w:pStyle w:val="Heading1"/>
        <w:numPr>
          <w:ilvl w:val="0"/>
          <w:numId w:val="118"/>
        </w:numPr>
        <w:spacing w:after="160" w:line="259" w:lineRule="auto"/>
        <w:jc w:val="both"/>
        <w:rPr>
          <w:rFonts w:ascii="Calibri" w:hAnsi="Calibri"/>
          <w:caps/>
          <w:color w:val="1B5068"/>
        </w:rPr>
      </w:pPr>
      <w:bookmarkStart w:id="799" w:name="_Toc479843930"/>
      <w:bookmarkStart w:id="800" w:name="_Toc479844554"/>
      <w:bookmarkStart w:id="801" w:name="_Ref479939298"/>
      <w:bookmarkStart w:id="802" w:name="_Toc479940884"/>
      <w:bookmarkStart w:id="803" w:name="_Toc469485009"/>
      <w:r w:rsidRPr="00A215BF">
        <w:rPr>
          <w:rFonts w:ascii="Calibri" w:hAnsi="Calibri"/>
          <w:caps/>
          <w:color w:val="1B5068"/>
        </w:rPr>
        <w:t>Procurement</w:t>
      </w:r>
      <w:bookmarkEnd w:id="794"/>
      <w:bookmarkEnd w:id="799"/>
      <w:bookmarkEnd w:id="800"/>
      <w:bookmarkEnd w:id="801"/>
      <w:bookmarkEnd w:id="802"/>
    </w:p>
    <w:p w14:paraId="74F07207" w14:textId="2B9AA542" w:rsidR="00493691" w:rsidRPr="00F209B7" w:rsidRDefault="00493691" w:rsidP="00D66738">
      <w:pPr>
        <w:jc w:val="both"/>
      </w:pPr>
      <w:r w:rsidRPr="00F209B7">
        <w:t xml:space="preserve">State procurement of goods and services accounts for </w:t>
      </w:r>
      <w:r w:rsidR="00EC783C">
        <w:t>around a tenth of the GDP.</w:t>
      </w:r>
      <w:r w:rsidR="00083DDA">
        <w:rPr>
          <w:rStyle w:val="FootnoteReference"/>
        </w:rPr>
        <w:footnoteReference w:id="16"/>
      </w:r>
      <w:r w:rsidRPr="00F209B7">
        <w:t xml:space="preserve"> Small businesses, howe</w:t>
      </w:r>
      <w:r w:rsidR="0057402E">
        <w:t>ver, often argue that they are restricted from</w:t>
      </w:r>
      <w:r w:rsidRPr="00F209B7">
        <w:t xml:space="preserve"> supplying all th</w:t>
      </w:r>
      <w:r w:rsidR="0057402E">
        <w:t xml:space="preserve">e spheres of </w:t>
      </w:r>
      <w:r w:rsidR="0057402E">
        <w:lastRenderedPageBreak/>
        <w:t>government</w:t>
      </w:r>
      <w:r w:rsidRPr="00F209B7">
        <w:t xml:space="preserve"> in part because of inappropriate regulatory frameworks that impose excessive burdens. This section analyses both the </w:t>
      </w:r>
      <w:r w:rsidR="00F209B7" w:rsidRPr="00F209B7">
        <w:t>administrative</w:t>
      </w:r>
      <w:r w:rsidRPr="00F209B7">
        <w:t xml:space="preserve"> and the inherent costs associated with the rules and procedures governing national and provincial procurement.  </w:t>
      </w:r>
    </w:p>
    <w:p w14:paraId="47536AFB" w14:textId="77777777" w:rsidR="00F54696" w:rsidRPr="00F209B7" w:rsidRDefault="00F54696" w:rsidP="00D66738">
      <w:pPr>
        <w:pStyle w:val="Heading2"/>
        <w:numPr>
          <w:ilvl w:val="1"/>
          <w:numId w:val="137"/>
        </w:numPr>
        <w:ind w:left="0" w:firstLine="0"/>
        <w:jc w:val="both"/>
      </w:pPr>
      <w:bookmarkStart w:id="804" w:name="_Toc479843931"/>
      <w:bookmarkStart w:id="805" w:name="_Toc479844555"/>
      <w:bookmarkStart w:id="806" w:name="_Toc479940885"/>
      <w:r w:rsidRPr="00F209B7">
        <w:t>The legal framework</w:t>
      </w:r>
      <w:bookmarkEnd w:id="804"/>
      <w:bookmarkEnd w:id="805"/>
      <w:bookmarkEnd w:id="806"/>
    </w:p>
    <w:p w14:paraId="663C0383" w14:textId="5110CFFA" w:rsidR="00F54696" w:rsidRPr="00F209B7" w:rsidRDefault="00F54696" w:rsidP="00D66738">
      <w:pPr>
        <w:jc w:val="both"/>
      </w:pPr>
      <w:r w:rsidRPr="00F209B7">
        <w:t>The main procurement laws are the Public Finance Management Act of 1999</w:t>
      </w:r>
      <w:r w:rsidR="0057402E">
        <w:t xml:space="preserve"> (PFMA)</w:t>
      </w:r>
      <w:r w:rsidRPr="00F209B7">
        <w:t>, the Municipal Finance Management Act of 2003</w:t>
      </w:r>
      <w:r w:rsidR="0057402E">
        <w:t xml:space="preserve"> (MFMA)</w:t>
      </w:r>
      <w:r w:rsidRPr="00F209B7">
        <w:t>, and the Preferential Procurement Policy Framework Act of 2000 (PPPFA). The first two lay down procedures for all government procurement that aim to prevent corruption and ensure value for money. They are enforced through detailed and extensive regulations ma</w:t>
      </w:r>
      <w:r w:rsidR="0057402E">
        <w:t xml:space="preserve">naged by the National Treasury. </w:t>
      </w:r>
      <w:r w:rsidRPr="00F209B7">
        <w:t xml:space="preserve">The PPPFA, in contrast, aims to ensure that government departments can take into account broader social and economic aims in their procurement processes. </w:t>
      </w:r>
    </w:p>
    <w:p w14:paraId="275F9ABF" w14:textId="18ED594E" w:rsidR="00F54696" w:rsidRPr="00F209B7" w:rsidRDefault="00F54696" w:rsidP="00D66738">
      <w:pPr>
        <w:jc w:val="both"/>
      </w:pPr>
      <w:r w:rsidRPr="00F209B7">
        <w:t xml:space="preserve">In an effort to prevent corruption and improve value for money, the laws aim to ensure that state agencies </w:t>
      </w:r>
      <w:r w:rsidR="0057402E">
        <w:t xml:space="preserve">purchase </w:t>
      </w:r>
      <w:r w:rsidRPr="00F209B7">
        <w:t>th</w:t>
      </w:r>
      <w:r w:rsidR="0057402E">
        <w:t>e lowest-cost goods and services that meet</w:t>
      </w:r>
      <w:r w:rsidRPr="00F209B7">
        <w:t xml:space="preserve"> quality requirements, no matter </w:t>
      </w:r>
      <w:r w:rsidR="0057402E">
        <w:t>which supplier provides</w:t>
      </w:r>
      <w:r w:rsidRPr="00F209B7">
        <w:t xml:space="preserve"> it. To achieve that end, they tightly regulate supply-chain procedures, with detailed requirements around the kinds of information required from suppliers and </w:t>
      </w:r>
      <w:r w:rsidR="0057402E">
        <w:t>how the</w:t>
      </w:r>
      <w:r w:rsidRPr="00F209B7">
        <w:t xml:space="preserve"> procurement </w:t>
      </w:r>
      <w:r w:rsidR="0057402E">
        <w:t xml:space="preserve">process </w:t>
      </w:r>
      <w:r w:rsidRPr="00F209B7">
        <w:t xml:space="preserve">is managed depending on the </w:t>
      </w:r>
      <w:r w:rsidR="0057402E">
        <w:t>size of the tender in</w:t>
      </w:r>
      <w:r w:rsidRPr="00F209B7">
        <w:t xml:space="preserve">volved. </w:t>
      </w:r>
    </w:p>
    <w:p w14:paraId="19C06948" w14:textId="72E54859" w:rsidR="00F54696" w:rsidRPr="00F209B7" w:rsidRDefault="0057402E" w:rsidP="00D66738">
      <w:pPr>
        <w:jc w:val="both"/>
      </w:pPr>
      <w:r>
        <w:t>T</w:t>
      </w:r>
      <w:r w:rsidR="00F54696" w:rsidRPr="00F209B7">
        <w:t>he laws give some latitude in choosing options for procurement, and different state agencies interpret the regulations somewhat differently. Moreover, the rules allow for limited exceptions, for instance for emergency procurement, in order to allow local producers to match prices, or where there is a sole provider. Deviations are however generally discouraged, with often very strict definition of the acceptable arguments and evidence.</w:t>
      </w:r>
    </w:p>
    <w:p w14:paraId="0593A51C" w14:textId="77777777" w:rsidR="00F54696" w:rsidRPr="00F209B7" w:rsidRDefault="00F54696" w:rsidP="00D66738">
      <w:pPr>
        <w:jc w:val="both"/>
      </w:pPr>
      <w:r w:rsidRPr="00F209B7">
        <w:t>Key requirements for tendering include the following:</w:t>
      </w:r>
    </w:p>
    <w:p w14:paraId="0C31CE42" w14:textId="77777777" w:rsidR="00F54696" w:rsidRPr="00F209B7" w:rsidRDefault="00F54696" w:rsidP="00D66738">
      <w:pPr>
        <w:pStyle w:val="ListParagraph"/>
        <w:numPr>
          <w:ilvl w:val="0"/>
          <w:numId w:val="47"/>
        </w:numPr>
        <w:jc w:val="both"/>
      </w:pPr>
      <w:r w:rsidRPr="00F209B7">
        <w:t>In virtually all cases, procurement processes require a degree of competition, although the specific procedures vary by size. Smaller procurement processes can involve just getting competitive quotes, while larger processes require advertised tenders.</w:t>
      </w:r>
    </w:p>
    <w:p w14:paraId="6DC27E75" w14:textId="27BA2548" w:rsidR="00F54696" w:rsidRPr="00F209B7" w:rsidRDefault="00F54696" w:rsidP="00D66738">
      <w:pPr>
        <w:pStyle w:val="ListParagraph"/>
        <w:numPr>
          <w:ilvl w:val="0"/>
          <w:numId w:val="47"/>
        </w:numPr>
        <w:jc w:val="both"/>
      </w:pPr>
      <w:r w:rsidRPr="00F209B7">
        <w:t xml:space="preserve">Specific officials are required to take responsibility for tender processes, with the main administrative head – the Director General, in the case of departments – specifically responsible for any failures. </w:t>
      </w:r>
    </w:p>
    <w:p w14:paraId="597A4F74" w14:textId="2B350FC0" w:rsidR="00F54696" w:rsidRPr="00F209B7" w:rsidRDefault="00F54696" w:rsidP="00D66738">
      <w:pPr>
        <w:pStyle w:val="ListParagraph"/>
        <w:numPr>
          <w:ilvl w:val="0"/>
          <w:numId w:val="47"/>
        </w:numPr>
        <w:jc w:val="both"/>
      </w:pPr>
      <w:r w:rsidRPr="00F209B7">
        <w:t>The auditor general reports publicly to Parliament on any deviation from procedures, whether or not there is evidence of corruption, and the head of department is then required to explain to the relevant portfolio committee</w:t>
      </w:r>
      <w:r w:rsidR="00EC783C">
        <w:t xml:space="preserve"> (and effectively the press)</w:t>
      </w:r>
      <w:r w:rsidRPr="00F209B7">
        <w:t xml:space="preserve">. </w:t>
      </w:r>
    </w:p>
    <w:p w14:paraId="44470635" w14:textId="77777777" w:rsidR="00F54696" w:rsidRPr="00F209B7" w:rsidRDefault="00F54696" w:rsidP="00D66738">
      <w:pPr>
        <w:pStyle w:val="ListParagraph"/>
        <w:numPr>
          <w:ilvl w:val="0"/>
          <w:numId w:val="47"/>
        </w:numPr>
        <w:jc w:val="both"/>
      </w:pPr>
      <w:r w:rsidRPr="00F209B7">
        <w:t xml:space="preserve">Expenditure must align with budgets unless a virement is obtained; </w:t>
      </w:r>
      <w:proofErr w:type="gramStart"/>
      <w:r w:rsidRPr="00F209B7">
        <w:t>large deviations must be approved by National Treasury</w:t>
      </w:r>
      <w:proofErr w:type="gramEnd"/>
      <w:r w:rsidRPr="00F209B7">
        <w:t xml:space="preserve"> and ultimately by Parliament. </w:t>
      </w:r>
    </w:p>
    <w:p w14:paraId="73C5FCC3" w14:textId="11475DA2" w:rsidR="00F54696" w:rsidRPr="00F209B7" w:rsidRDefault="00F54696" w:rsidP="00D66738">
      <w:pPr>
        <w:pStyle w:val="ListParagraph"/>
        <w:numPr>
          <w:ilvl w:val="0"/>
          <w:numId w:val="47"/>
        </w:numPr>
        <w:jc w:val="both"/>
      </w:pPr>
      <w:r w:rsidRPr="00F209B7">
        <w:t xml:space="preserve">Suppliers must be registered for tax and supply </w:t>
      </w:r>
      <w:r w:rsidR="00EC783C">
        <w:t xml:space="preserve">contact details </w:t>
      </w:r>
      <w:r w:rsidRPr="00F209B7">
        <w:t>in the required format.</w:t>
      </w:r>
    </w:p>
    <w:p w14:paraId="0D7EB90F" w14:textId="388EDD7E" w:rsidR="00F54696" w:rsidRPr="00F209B7" w:rsidRDefault="00F54696" w:rsidP="00D66738">
      <w:pPr>
        <w:pStyle w:val="ListParagraph"/>
        <w:numPr>
          <w:ilvl w:val="0"/>
          <w:numId w:val="47"/>
        </w:numPr>
        <w:jc w:val="both"/>
      </w:pPr>
      <w:r w:rsidRPr="00F209B7">
        <w:t xml:space="preserve">Price and ability to meet criteria for the tender must account for at least 80% of any tender decision, with the remaining points reflecting efforts to promote other policy ends under the PPPFA. If a decision is made to use a higher-cost supplier, the procurement official should be able to </w:t>
      </w:r>
      <w:r w:rsidR="00EC783C">
        <w:t xml:space="preserve">justify their decision </w:t>
      </w:r>
      <w:r w:rsidRPr="00F209B7">
        <w:t>to the auditors in terms of either the quality of the supplies or preferential procurement considerations.</w:t>
      </w:r>
    </w:p>
    <w:p w14:paraId="518E1D6F" w14:textId="77777777" w:rsidR="00F54696" w:rsidRPr="00F209B7" w:rsidRDefault="00F54696" w:rsidP="00D66738">
      <w:pPr>
        <w:pStyle w:val="ListParagraph"/>
        <w:numPr>
          <w:ilvl w:val="0"/>
          <w:numId w:val="47"/>
        </w:numPr>
        <w:jc w:val="both"/>
      </w:pPr>
      <w:r w:rsidRPr="00F209B7">
        <w:lastRenderedPageBreak/>
        <w:t>Any deviation from procedures, for instance because there is only one viable supplier or because of urgency, must be justified formally. Generally, these deviations are discouraged except where the evidence of need or benefit is overwhelming.</w:t>
      </w:r>
    </w:p>
    <w:p w14:paraId="540C12E0" w14:textId="6CF60CE8" w:rsidR="00F54696" w:rsidRPr="00F209B7" w:rsidRDefault="00F54696" w:rsidP="00D66738">
      <w:pPr>
        <w:pStyle w:val="ListParagraph"/>
        <w:numPr>
          <w:ilvl w:val="0"/>
          <w:numId w:val="47"/>
        </w:numPr>
        <w:jc w:val="both"/>
      </w:pPr>
      <w:r w:rsidRPr="00F209B7">
        <w:t xml:space="preserve">Contact between potential suppliers and procurement officials in designing tender </w:t>
      </w:r>
      <w:r w:rsidR="00EC783C">
        <w:t xml:space="preserve">specifications </w:t>
      </w:r>
      <w:r w:rsidRPr="00F209B7">
        <w:t xml:space="preserve">is strongly discouraged. </w:t>
      </w:r>
    </w:p>
    <w:p w14:paraId="6E3CF643" w14:textId="77777777" w:rsidR="00F54696" w:rsidRPr="00F209B7" w:rsidRDefault="00F54696" w:rsidP="00D66738">
      <w:pPr>
        <w:pStyle w:val="ListParagraph"/>
        <w:numPr>
          <w:ilvl w:val="0"/>
          <w:numId w:val="47"/>
        </w:numPr>
        <w:jc w:val="both"/>
      </w:pPr>
      <w:r w:rsidRPr="00F209B7">
        <w:t>Large tenders must be advertised in the government gazette and in newspapers, and are also accessible through a centralised website.</w:t>
      </w:r>
    </w:p>
    <w:p w14:paraId="33C04ED8" w14:textId="77777777" w:rsidR="00F54696" w:rsidRPr="00F209B7" w:rsidRDefault="00F54696" w:rsidP="00D66738">
      <w:pPr>
        <w:pStyle w:val="ListParagraph"/>
        <w:numPr>
          <w:ilvl w:val="0"/>
          <w:numId w:val="47"/>
        </w:numPr>
        <w:jc w:val="both"/>
      </w:pPr>
      <w:r w:rsidRPr="00F209B7">
        <w:t xml:space="preserve">Tenders submitted after the specified date must be rejected, no matter how strong they are. </w:t>
      </w:r>
    </w:p>
    <w:p w14:paraId="739D7A86" w14:textId="77777777" w:rsidR="00F54696" w:rsidRPr="00F209B7" w:rsidRDefault="00F54696" w:rsidP="00D66738">
      <w:pPr>
        <w:pStyle w:val="ListParagraph"/>
        <w:numPr>
          <w:ilvl w:val="0"/>
          <w:numId w:val="47"/>
        </w:numPr>
        <w:jc w:val="both"/>
      </w:pPr>
      <w:r w:rsidRPr="00F209B7">
        <w:t xml:space="preserve">Tender decisions must be made by a panel comprising the potential users of the input and procurement officials. In other words, the potential users do not have the final say on which tender is approved.  </w:t>
      </w:r>
    </w:p>
    <w:p w14:paraId="7B726083" w14:textId="77777777" w:rsidR="00F54696" w:rsidRPr="00F209B7" w:rsidRDefault="00F54696" w:rsidP="00D66738">
      <w:pPr>
        <w:pStyle w:val="ListParagraph"/>
        <w:numPr>
          <w:ilvl w:val="0"/>
          <w:numId w:val="47"/>
        </w:numPr>
        <w:jc w:val="both"/>
      </w:pPr>
      <w:r w:rsidRPr="00F209B7">
        <w:t xml:space="preserve">Payments must be made for deliverables, with no up-front payment allowed. </w:t>
      </w:r>
    </w:p>
    <w:p w14:paraId="4101CF6F" w14:textId="2416EAF6" w:rsidR="00EC783C" w:rsidRDefault="00F54696" w:rsidP="00D66738">
      <w:pPr>
        <w:jc w:val="both"/>
      </w:pPr>
      <w:r w:rsidRPr="00F209B7">
        <w:t xml:space="preserve">In order to promote new suppliers and local procurement, </w:t>
      </w:r>
      <w:r w:rsidR="00EC783C">
        <w:t xml:space="preserve">a number of </w:t>
      </w:r>
      <w:r w:rsidRPr="00F209B7">
        <w:t xml:space="preserve">measures have also been instituted. </w:t>
      </w:r>
      <w:r w:rsidR="00EC783C">
        <w:t xml:space="preserve">They include the following. </w:t>
      </w:r>
    </w:p>
    <w:p w14:paraId="47DEC56E" w14:textId="55AF3850" w:rsidR="00F54696" w:rsidRPr="00F209B7" w:rsidRDefault="00F54696" w:rsidP="00D66738">
      <w:pPr>
        <w:pStyle w:val="ListParagraph"/>
        <w:numPr>
          <w:ilvl w:val="0"/>
          <w:numId w:val="84"/>
        </w:numPr>
        <w:jc w:val="both"/>
      </w:pPr>
      <w:r w:rsidRPr="00F209B7">
        <w:t xml:space="preserve">In any procurement process, 20% of points for tenders below R100 million and 10% for larger tenders are set aside for preferential procurement. State agencies may choose the criteria for these points as long as they align with national priorities. Most utilise </w:t>
      </w:r>
      <w:r w:rsidR="00EC783C">
        <w:t xml:space="preserve">the points for small business and/or </w:t>
      </w:r>
      <w:r w:rsidRPr="00F209B7">
        <w:t>some form of</w:t>
      </w:r>
      <w:r w:rsidR="00EC783C">
        <w:t xml:space="preserve"> black empowerment</w:t>
      </w:r>
      <w:r w:rsidRPr="00F209B7">
        <w:t xml:space="preserve">, either ownership alone or </w:t>
      </w:r>
      <w:r w:rsidR="00F87570">
        <w:t>BBBEE</w:t>
      </w:r>
      <w:r w:rsidRPr="00F209B7">
        <w:t xml:space="preserve"> levels as provided in the </w:t>
      </w:r>
      <w:r w:rsidRPr="00D40FDE">
        <w:rPr>
          <w:b/>
        </w:rPr>
        <w:t xml:space="preserve">dti </w:t>
      </w:r>
      <w:r w:rsidRPr="00F209B7">
        <w:t>Codes</w:t>
      </w:r>
      <w:r w:rsidR="00EC783C">
        <w:t xml:space="preserve">. A few </w:t>
      </w:r>
      <w:r w:rsidRPr="00F209B7">
        <w:t xml:space="preserve">also require a degree of local procurement, in some cases defined as local to provinces or municipalities. </w:t>
      </w:r>
    </w:p>
    <w:p w14:paraId="4848E081" w14:textId="77777777" w:rsidR="00F54696" w:rsidRPr="00F209B7" w:rsidRDefault="00F54696" w:rsidP="00D66738">
      <w:pPr>
        <w:pStyle w:val="ListParagraph"/>
        <w:numPr>
          <w:ilvl w:val="0"/>
          <w:numId w:val="48"/>
        </w:numPr>
        <w:jc w:val="both"/>
      </w:pPr>
      <w:r w:rsidRPr="00F209B7">
        <w:t xml:space="preserve">National Treasury, together with the </w:t>
      </w:r>
      <w:r w:rsidRPr="00D40FDE">
        <w:rPr>
          <w:b/>
        </w:rPr>
        <w:t>dti</w:t>
      </w:r>
      <w:r w:rsidRPr="00F209B7">
        <w:t>, has designated some strategic products for local procurement. Designated products currently include inputs for renewable energy; clothing; rolling stock and locomotives; and furniture, amongst others.</w:t>
      </w:r>
    </w:p>
    <w:p w14:paraId="2ED9A302" w14:textId="262B7E9B" w:rsidR="00F54696" w:rsidRPr="00F209B7" w:rsidRDefault="00F54696" w:rsidP="00D66738">
      <w:pPr>
        <w:pStyle w:val="ListParagraph"/>
        <w:numPr>
          <w:ilvl w:val="0"/>
          <w:numId w:val="48"/>
        </w:numPr>
        <w:jc w:val="both"/>
      </w:pPr>
      <w:r w:rsidRPr="00F209B7">
        <w:t xml:space="preserve">Government departments are required to pay suppliers within 30 days of invoicing, although it is not clear if that means approved invoices or initial invoicing. Departments and provinces that report long delays in payment have been reported through </w:t>
      </w:r>
      <w:r w:rsidR="00EC783C">
        <w:t xml:space="preserve">the </w:t>
      </w:r>
      <w:r w:rsidR="003C2F77">
        <w:t>DPME</w:t>
      </w:r>
      <w:r w:rsidRPr="00F209B7">
        <w:t xml:space="preserve"> to </w:t>
      </w:r>
      <w:r w:rsidR="00EC783C">
        <w:t xml:space="preserve">the </w:t>
      </w:r>
      <w:r w:rsidRPr="00F209B7">
        <w:t>Forum of South African Directors-General</w:t>
      </w:r>
      <w:r w:rsidR="00EC783C">
        <w:t xml:space="preserve"> </w:t>
      </w:r>
      <w:r w:rsidR="007433BD">
        <w:t xml:space="preserve">(FOSAD) </w:t>
      </w:r>
      <w:r w:rsidR="00EC783C">
        <w:t>and to Parliament</w:t>
      </w:r>
      <w:r w:rsidRPr="00F209B7">
        <w:t xml:space="preserve">, although this is not a regulatory requirement. </w:t>
      </w:r>
    </w:p>
    <w:p w14:paraId="6E4F5E03" w14:textId="48516193" w:rsidR="00F54696" w:rsidRDefault="00F54696" w:rsidP="00D66738">
      <w:pPr>
        <w:pStyle w:val="ListParagraph"/>
        <w:numPr>
          <w:ilvl w:val="0"/>
          <w:numId w:val="48"/>
        </w:numPr>
        <w:jc w:val="both"/>
      </w:pPr>
      <w:r w:rsidRPr="00F209B7">
        <w:t>The BBBEE Codes (a) provide some incentives for local producers, although they are limited and not comprehensive, and (b) incentives for larger suppliers to the state to procure from and support smaller black-owned suppliers. The BBBEE Codes are analysed separately in more detail</w:t>
      </w:r>
      <w:r w:rsidR="00EC783C">
        <w:t xml:space="preserve"> in section </w:t>
      </w:r>
      <w:r w:rsidR="00EC783C">
        <w:fldChar w:fldCharType="begin"/>
      </w:r>
      <w:r w:rsidR="00EC783C">
        <w:instrText xml:space="preserve"> REF _Ref478899535 \r \h </w:instrText>
      </w:r>
      <w:r w:rsidR="00D66738">
        <w:instrText xml:space="preserve"> \* MERGEFORMAT </w:instrText>
      </w:r>
      <w:r w:rsidR="00EC783C">
        <w:fldChar w:fldCharType="separate"/>
      </w:r>
      <w:r w:rsidR="005062E7">
        <w:t>8</w:t>
      </w:r>
      <w:r w:rsidR="00EC783C">
        <w:fldChar w:fldCharType="end"/>
      </w:r>
      <w:r w:rsidRPr="00F209B7">
        <w:t xml:space="preserve">. </w:t>
      </w:r>
    </w:p>
    <w:p w14:paraId="5364453D" w14:textId="542D621A" w:rsidR="00EC783C" w:rsidRDefault="00EC783C" w:rsidP="00D66738">
      <w:pPr>
        <w:jc w:val="both"/>
      </w:pPr>
      <w:r>
        <w:t xml:space="preserve">Some of these </w:t>
      </w:r>
      <w:r w:rsidRPr="00F209B7">
        <w:t>measures are currently being reviewed. In</w:t>
      </w:r>
      <w:r>
        <w:t xml:space="preserve"> particular, in</w:t>
      </w:r>
      <w:r w:rsidRPr="00F209B7">
        <w:t xml:space="preserve">itial changes designed to promote subcontracting to small suppliers have been gazetted for comment. The longer-term proposals have not yet been published, but current </w:t>
      </w:r>
      <w:r w:rsidR="000842B9">
        <w:t>discussion</w:t>
      </w:r>
      <w:r w:rsidRPr="00F209B7">
        <w:t xml:space="preserve">s centre on changing the nature of the regulatory authority rather than immediate modifications to the current system. </w:t>
      </w:r>
    </w:p>
    <w:p w14:paraId="75D69492" w14:textId="48C104BC" w:rsidR="00493691" w:rsidRPr="00F209B7" w:rsidRDefault="00F54696" w:rsidP="00D66738">
      <w:pPr>
        <w:pStyle w:val="Heading2"/>
        <w:numPr>
          <w:ilvl w:val="1"/>
          <w:numId w:val="137"/>
        </w:numPr>
        <w:ind w:left="0" w:firstLine="0"/>
        <w:jc w:val="both"/>
      </w:pPr>
      <w:bookmarkStart w:id="807" w:name="_Toc479843932"/>
      <w:bookmarkStart w:id="808" w:name="_Toc479844556"/>
      <w:bookmarkStart w:id="809" w:name="_Toc479940886"/>
      <w:r w:rsidRPr="00F209B7">
        <w:t>Aims and theory of change</w:t>
      </w:r>
      <w:bookmarkEnd w:id="807"/>
      <w:bookmarkEnd w:id="808"/>
      <w:bookmarkEnd w:id="809"/>
    </w:p>
    <w:p w14:paraId="440E8C11" w14:textId="7F833B2A" w:rsidR="00493691" w:rsidRPr="00F209B7" w:rsidRDefault="00493691" w:rsidP="00D66738">
      <w:pPr>
        <w:jc w:val="both"/>
      </w:pPr>
      <w:r w:rsidRPr="00F209B7">
        <w:t>From 1994, large, predominantly white</w:t>
      </w:r>
      <w:r w:rsidR="00EC783C">
        <w:t xml:space="preserve">-owned companies </w:t>
      </w:r>
      <w:r w:rsidRPr="00F209B7">
        <w:t xml:space="preserve">and imports have generally dominated state procurement. That has undermined efforts to promote more representivity </w:t>
      </w:r>
      <w:r w:rsidRPr="00F209B7">
        <w:lastRenderedPageBreak/>
        <w:t>and diversified producers. The challenge has been to integrate measures to address this problem in the context of the over-arching procurement laws, which are focused on preventing price overcharging, corruption and poor quality purchases, on the one hand, and avoiding excessive delays, on the other.</w:t>
      </w:r>
    </w:p>
    <w:p w14:paraId="7D2038B8" w14:textId="77777777" w:rsidR="00493691" w:rsidRPr="00F209B7" w:rsidRDefault="00493691" w:rsidP="00D66738">
      <w:pPr>
        <w:jc w:val="both"/>
      </w:pPr>
      <w:r w:rsidRPr="00F209B7">
        <w:t xml:space="preserve">The issues around corruption, quality and delays impact disproportionately on poor households, who most depend on government services, and on businesses that are pushed out by corruption and lower quality producers. </w:t>
      </w:r>
    </w:p>
    <w:p w14:paraId="582CF529" w14:textId="54E0A6C5" w:rsidR="00493691" w:rsidRPr="00F209B7" w:rsidRDefault="00493691" w:rsidP="00D66738">
      <w:pPr>
        <w:jc w:val="both"/>
      </w:pPr>
      <w:r w:rsidRPr="00F209B7">
        <w:t>Procurement from large suppliers and importers has tended to militate against smaller and black-owned business and local producers. These are not always the same group, as many importers are smaller than local producers. Moreover, the barriers to entry tend to be lower for importing agencies than for new producers, which means importing may attract more black</w:t>
      </w:r>
      <w:r w:rsidR="00EC783C">
        <w:t>-owned businesses</w:t>
      </w:r>
      <w:r w:rsidRPr="00F209B7">
        <w:t xml:space="preserve">. </w:t>
      </w:r>
    </w:p>
    <w:p w14:paraId="4FC60BB9" w14:textId="75193012" w:rsidR="00493691" w:rsidRPr="00F209B7" w:rsidRDefault="00493691" w:rsidP="00D66738">
      <w:pPr>
        <w:jc w:val="both"/>
      </w:pPr>
      <w:r w:rsidRPr="00F209B7">
        <w:fldChar w:fldCharType="begin"/>
      </w:r>
      <w:r w:rsidRPr="00F209B7">
        <w:instrText xml:space="preserve"> REF _Ref469410458 \h </w:instrText>
      </w:r>
      <w:r w:rsidR="00D66738">
        <w:instrText xml:space="preserve"> \* MERGEFORMAT </w:instrText>
      </w:r>
      <w:r w:rsidRPr="00F209B7">
        <w:fldChar w:fldCharType="separate"/>
      </w:r>
      <w:r w:rsidR="005062E7" w:rsidRPr="00F209B7">
        <w:t xml:space="preserve">Table </w:t>
      </w:r>
      <w:r w:rsidR="005062E7">
        <w:rPr>
          <w:noProof/>
        </w:rPr>
        <w:t>21</w:t>
      </w:r>
      <w:r w:rsidRPr="00F209B7">
        <w:fldChar w:fldCharType="end"/>
      </w:r>
      <w:r w:rsidRPr="00F209B7">
        <w:t xml:space="preserve"> indicates the main beneficiaries and cost bearers from the problems identified around procurement. </w:t>
      </w:r>
    </w:p>
    <w:p w14:paraId="7BBC8C46" w14:textId="2E08BC3B" w:rsidR="00493691" w:rsidRPr="00F209B7" w:rsidRDefault="00493691" w:rsidP="00D66738">
      <w:pPr>
        <w:pStyle w:val="Caption"/>
        <w:jc w:val="both"/>
      </w:pPr>
      <w:bookmarkStart w:id="810" w:name="_Ref469410458"/>
      <w:bookmarkStart w:id="811" w:name="_Toc469410600"/>
      <w:bookmarkStart w:id="812" w:name="_Toc469411193"/>
      <w:bookmarkStart w:id="813" w:name="_Toc469411511"/>
      <w:bookmarkStart w:id="814" w:name="_Toc469485018"/>
      <w:bookmarkStart w:id="815" w:name="_Toc479940978"/>
      <w:r w:rsidRPr="00F209B7">
        <w:t xml:space="preserve">Table </w:t>
      </w:r>
      <w:fldSimple w:instr=" SEQ Table \* ARABIC ">
        <w:r w:rsidR="005062E7">
          <w:rPr>
            <w:noProof/>
          </w:rPr>
          <w:t>21</w:t>
        </w:r>
      </w:fldSimple>
      <w:bookmarkEnd w:id="810"/>
      <w:r w:rsidR="00EC783C">
        <w:rPr>
          <w:noProof/>
        </w:rPr>
        <w:t>.</w:t>
      </w:r>
      <w:r w:rsidRPr="00F209B7">
        <w:t xml:space="preserve"> The problems that procurement laws seek to address, and their beneficiaries and cost bearers</w:t>
      </w:r>
      <w:bookmarkEnd w:id="811"/>
      <w:bookmarkEnd w:id="812"/>
      <w:bookmarkEnd w:id="813"/>
      <w:bookmarkEnd w:id="814"/>
      <w:bookmarkEnd w:id="815"/>
    </w:p>
    <w:tbl>
      <w:tblPr>
        <w:tblStyle w:val="TableGrid1"/>
        <w:tblW w:w="5000" w:type="pct"/>
        <w:tblLook w:val="0600" w:firstRow="0" w:lastRow="0" w:firstColumn="0" w:lastColumn="0" w:noHBand="1" w:noVBand="1"/>
      </w:tblPr>
      <w:tblGrid>
        <w:gridCol w:w="1287"/>
        <w:gridCol w:w="3499"/>
        <w:gridCol w:w="4456"/>
      </w:tblGrid>
      <w:tr w:rsidR="00493691" w:rsidRPr="00EC783C" w14:paraId="5B7000F9" w14:textId="77777777" w:rsidTr="00DA0FE8">
        <w:tc>
          <w:tcPr>
            <w:tcW w:w="696" w:type="pct"/>
          </w:tcPr>
          <w:p w14:paraId="0B5E51FE" w14:textId="77777777" w:rsidR="00493691" w:rsidRPr="00EC783C" w:rsidRDefault="00493691" w:rsidP="00D66738">
            <w:pPr>
              <w:pStyle w:val="charts"/>
              <w:jc w:val="both"/>
              <w:rPr>
                <w:b/>
                <w:sz w:val="20"/>
              </w:rPr>
            </w:pPr>
            <w:r w:rsidRPr="00EC783C">
              <w:rPr>
                <w:b/>
                <w:sz w:val="20"/>
              </w:rPr>
              <w:t xml:space="preserve">Problem </w:t>
            </w:r>
          </w:p>
        </w:tc>
        <w:tc>
          <w:tcPr>
            <w:tcW w:w="1893" w:type="pct"/>
          </w:tcPr>
          <w:p w14:paraId="3C7C3ACA" w14:textId="77777777" w:rsidR="00493691" w:rsidRPr="00EC783C" w:rsidRDefault="00493691" w:rsidP="00D66738">
            <w:pPr>
              <w:pStyle w:val="charts"/>
              <w:jc w:val="both"/>
              <w:rPr>
                <w:b/>
                <w:sz w:val="20"/>
              </w:rPr>
            </w:pPr>
            <w:r w:rsidRPr="00EC783C">
              <w:rPr>
                <w:b/>
                <w:sz w:val="20"/>
              </w:rPr>
              <w:t>Beneficiaries from the problem</w:t>
            </w:r>
          </w:p>
        </w:tc>
        <w:tc>
          <w:tcPr>
            <w:tcW w:w="2411" w:type="pct"/>
          </w:tcPr>
          <w:p w14:paraId="04E83619" w14:textId="77777777" w:rsidR="00493691" w:rsidRPr="00EC783C" w:rsidRDefault="00493691" w:rsidP="00D66738">
            <w:pPr>
              <w:pStyle w:val="charts"/>
              <w:jc w:val="both"/>
              <w:rPr>
                <w:b/>
                <w:sz w:val="20"/>
              </w:rPr>
            </w:pPr>
            <w:r w:rsidRPr="00EC783C">
              <w:rPr>
                <w:b/>
                <w:sz w:val="20"/>
              </w:rPr>
              <w:t>Cost bearers of the problem</w:t>
            </w:r>
          </w:p>
        </w:tc>
      </w:tr>
      <w:tr w:rsidR="00493691" w:rsidRPr="00EC783C" w14:paraId="0D262310" w14:textId="77777777" w:rsidTr="00DA0FE8">
        <w:tc>
          <w:tcPr>
            <w:tcW w:w="696" w:type="pct"/>
          </w:tcPr>
          <w:p w14:paraId="72E22A85" w14:textId="77777777" w:rsidR="00493691" w:rsidRPr="00EC783C" w:rsidRDefault="00493691" w:rsidP="00D66738">
            <w:pPr>
              <w:pStyle w:val="charts"/>
              <w:keepNext w:val="0"/>
              <w:spacing w:after="120"/>
              <w:jc w:val="both"/>
              <w:rPr>
                <w:sz w:val="20"/>
              </w:rPr>
            </w:pPr>
            <w:r w:rsidRPr="00EC783C">
              <w:rPr>
                <w:sz w:val="20"/>
              </w:rPr>
              <w:t>Corruption</w:t>
            </w:r>
          </w:p>
        </w:tc>
        <w:tc>
          <w:tcPr>
            <w:tcW w:w="1893" w:type="pct"/>
          </w:tcPr>
          <w:p w14:paraId="698616E4" w14:textId="77777777" w:rsidR="00493691" w:rsidRPr="00EC783C" w:rsidRDefault="00493691" w:rsidP="00D66738">
            <w:pPr>
              <w:pStyle w:val="charts"/>
              <w:keepNext w:val="0"/>
              <w:spacing w:after="120"/>
              <w:jc w:val="both"/>
              <w:rPr>
                <w:sz w:val="20"/>
              </w:rPr>
            </w:pPr>
            <w:r w:rsidRPr="00EC783C">
              <w:rPr>
                <w:sz w:val="20"/>
              </w:rPr>
              <w:t xml:space="preserve">Corrupt companies </w:t>
            </w:r>
          </w:p>
          <w:p w14:paraId="58291C4B" w14:textId="77777777" w:rsidR="00493691" w:rsidRPr="00EC783C" w:rsidRDefault="00493691" w:rsidP="00D66738">
            <w:pPr>
              <w:pStyle w:val="charts"/>
              <w:keepNext w:val="0"/>
              <w:spacing w:after="120"/>
              <w:jc w:val="both"/>
              <w:rPr>
                <w:sz w:val="20"/>
              </w:rPr>
            </w:pPr>
            <w:r w:rsidRPr="00EC783C">
              <w:rPr>
                <w:sz w:val="20"/>
              </w:rPr>
              <w:t>Corrupt procurement decision makers</w:t>
            </w:r>
          </w:p>
        </w:tc>
        <w:tc>
          <w:tcPr>
            <w:tcW w:w="2411" w:type="pct"/>
          </w:tcPr>
          <w:p w14:paraId="3C2F3F90" w14:textId="77777777" w:rsidR="00493691" w:rsidRPr="00EC783C" w:rsidRDefault="00493691" w:rsidP="00D66738">
            <w:pPr>
              <w:pStyle w:val="charts"/>
              <w:keepNext w:val="0"/>
              <w:jc w:val="both"/>
              <w:rPr>
                <w:sz w:val="20"/>
              </w:rPr>
            </w:pPr>
            <w:r w:rsidRPr="00EC783C">
              <w:rPr>
                <w:sz w:val="20"/>
              </w:rPr>
              <w:t>Beneficiaries of state programmes, who are disproportionately poor</w:t>
            </w:r>
          </w:p>
          <w:p w14:paraId="7BA65ABD" w14:textId="77777777" w:rsidR="00493691" w:rsidRPr="00EC783C" w:rsidRDefault="00493691" w:rsidP="00D66738">
            <w:pPr>
              <w:pStyle w:val="charts"/>
              <w:keepNext w:val="0"/>
              <w:jc w:val="both"/>
              <w:rPr>
                <w:sz w:val="20"/>
              </w:rPr>
            </w:pPr>
            <w:r w:rsidRPr="00EC783C">
              <w:rPr>
                <w:sz w:val="20"/>
              </w:rPr>
              <w:t>Non-corrupt suppliers</w:t>
            </w:r>
          </w:p>
          <w:p w14:paraId="37F40649" w14:textId="77777777" w:rsidR="00493691" w:rsidRPr="00EC783C" w:rsidRDefault="00493691" w:rsidP="00D66738">
            <w:pPr>
              <w:pStyle w:val="charts"/>
              <w:keepNext w:val="0"/>
              <w:jc w:val="both"/>
              <w:rPr>
                <w:sz w:val="20"/>
              </w:rPr>
            </w:pPr>
            <w:r w:rsidRPr="00EC783C">
              <w:rPr>
                <w:sz w:val="20"/>
              </w:rPr>
              <w:t>Taxpayers (who may end up paying more for less)</w:t>
            </w:r>
          </w:p>
          <w:p w14:paraId="27A201A7" w14:textId="77777777" w:rsidR="00493691" w:rsidRPr="00EC783C" w:rsidRDefault="00493691" w:rsidP="00D66738">
            <w:pPr>
              <w:pStyle w:val="charts"/>
              <w:keepNext w:val="0"/>
              <w:jc w:val="both"/>
              <w:rPr>
                <w:sz w:val="20"/>
              </w:rPr>
            </w:pPr>
            <w:r w:rsidRPr="00EC783C">
              <w:rPr>
                <w:sz w:val="20"/>
              </w:rPr>
              <w:t>Public sector employees, who may see lower job creation or job losses</w:t>
            </w:r>
          </w:p>
        </w:tc>
      </w:tr>
      <w:tr w:rsidR="00493691" w:rsidRPr="00EC783C" w14:paraId="4D70E537" w14:textId="77777777" w:rsidTr="00DA0FE8">
        <w:tc>
          <w:tcPr>
            <w:tcW w:w="696" w:type="pct"/>
          </w:tcPr>
          <w:p w14:paraId="0B1BC38E" w14:textId="77777777" w:rsidR="00493691" w:rsidRPr="00EC783C" w:rsidRDefault="00493691" w:rsidP="00D66738">
            <w:pPr>
              <w:pStyle w:val="charts"/>
              <w:keepNext w:val="0"/>
              <w:spacing w:after="120"/>
              <w:jc w:val="both"/>
              <w:rPr>
                <w:sz w:val="20"/>
              </w:rPr>
            </w:pPr>
            <w:r w:rsidRPr="00EC783C">
              <w:rPr>
                <w:sz w:val="20"/>
              </w:rPr>
              <w:t>High prices and/or poor quality</w:t>
            </w:r>
          </w:p>
        </w:tc>
        <w:tc>
          <w:tcPr>
            <w:tcW w:w="1893" w:type="pct"/>
          </w:tcPr>
          <w:p w14:paraId="4329CE8A" w14:textId="77777777" w:rsidR="00493691" w:rsidRPr="00EC783C" w:rsidRDefault="00493691" w:rsidP="00D66738">
            <w:pPr>
              <w:pStyle w:val="charts"/>
              <w:keepNext w:val="0"/>
              <w:spacing w:after="120"/>
              <w:jc w:val="both"/>
              <w:rPr>
                <w:sz w:val="20"/>
              </w:rPr>
            </w:pPr>
            <w:r w:rsidRPr="00EC783C">
              <w:rPr>
                <w:sz w:val="20"/>
              </w:rPr>
              <w:t>Suppliers of low-quality or over-priced products</w:t>
            </w:r>
          </w:p>
        </w:tc>
        <w:tc>
          <w:tcPr>
            <w:tcW w:w="2411" w:type="pct"/>
          </w:tcPr>
          <w:p w14:paraId="35E56790" w14:textId="77777777" w:rsidR="00493691" w:rsidRPr="00EC783C" w:rsidRDefault="00493691" w:rsidP="00D66738">
            <w:pPr>
              <w:pStyle w:val="charts"/>
              <w:keepNext w:val="0"/>
              <w:jc w:val="both"/>
              <w:rPr>
                <w:sz w:val="20"/>
              </w:rPr>
            </w:pPr>
            <w:r w:rsidRPr="00EC783C">
              <w:rPr>
                <w:sz w:val="20"/>
              </w:rPr>
              <w:t>Beneficiaries of state programmes, who are disproportionately poor</w:t>
            </w:r>
          </w:p>
          <w:p w14:paraId="3CC2DA93" w14:textId="77777777" w:rsidR="00493691" w:rsidRPr="00EC783C" w:rsidRDefault="00493691" w:rsidP="00D66738">
            <w:pPr>
              <w:pStyle w:val="charts"/>
              <w:keepNext w:val="0"/>
              <w:jc w:val="both"/>
              <w:rPr>
                <w:sz w:val="20"/>
              </w:rPr>
            </w:pPr>
            <w:r w:rsidRPr="00EC783C">
              <w:rPr>
                <w:sz w:val="20"/>
              </w:rPr>
              <w:t>Quality and lower-price suppliers (who may lose out due higher prices)</w:t>
            </w:r>
          </w:p>
          <w:p w14:paraId="1A481C63" w14:textId="77777777" w:rsidR="00493691" w:rsidRPr="00EC783C" w:rsidRDefault="00493691" w:rsidP="00D66738">
            <w:pPr>
              <w:pStyle w:val="charts"/>
              <w:keepNext w:val="0"/>
              <w:jc w:val="both"/>
              <w:rPr>
                <w:sz w:val="20"/>
              </w:rPr>
            </w:pPr>
            <w:r w:rsidRPr="00EC783C">
              <w:rPr>
                <w:sz w:val="20"/>
              </w:rPr>
              <w:t>Taxpayers (who end up paying more for less)</w:t>
            </w:r>
          </w:p>
          <w:p w14:paraId="5B75B36B" w14:textId="77777777" w:rsidR="00493691" w:rsidRPr="00EC783C" w:rsidRDefault="00493691" w:rsidP="00D66738">
            <w:pPr>
              <w:pStyle w:val="charts"/>
              <w:keepNext w:val="0"/>
              <w:jc w:val="both"/>
              <w:rPr>
                <w:sz w:val="20"/>
              </w:rPr>
            </w:pPr>
            <w:r w:rsidRPr="00EC783C">
              <w:rPr>
                <w:sz w:val="20"/>
              </w:rPr>
              <w:t>Public sector employees, who have to work with shortages and worse quality products and get blamed for poor service</w:t>
            </w:r>
          </w:p>
        </w:tc>
      </w:tr>
      <w:tr w:rsidR="00493691" w:rsidRPr="00EC783C" w14:paraId="7C46D351" w14:textId="77777777" w:rsidTr="00DA0FE8">
        <w:tc>
          <w:tcPr>
            <w:tcW w:w="696" w:type="pct"/>
          </w:tcPr>
          <w:p w14:paraId="7F16448C" w14:textId="77777777" w:rsidR="00493691" w:rsidRPr="00EC783C" w:rsidRDefault="00493691" w:rsidP="00D66738">
            <w:pPr>
              <w:pStyle w:val="charts"/>
              <w:keepNext w:val="0"/>
              <w:spacing w:after="120"/>
              <w:jc w:val="both"/>
              <w:rPr>
                <w:sz w:val="20"/>
              </w:rPr>
            </w:pPr>
            <w:r w:rsidRPr="00EC783C">
              <w:rPr>
                <w:sz w:val="20"/>
              </w:rPr>
              <w:t>Delays in procurement</w:t>
            </w:r>
          </w:p>
        </w:tc>
        <w:tc>
          <w:tcPr>
            <w:tcW w:w="1893" w:type="pct"/>
          </w:tcPr>
          <w:p w14:paraId="14509956" w14:textId="77777777" w:rsidR="00493691" w:rsidRPr="00EC783C" w:rsidRDefault="00493691" w:rsidP="00D66738">
            <w:pPr>
              <w:pStyle w:val="charts"/>
              <w:keepNext w:val="0"/>
              <w:spacing w:after="120"/>
              <w:jc w:val="both"/>
              <w:rPr>
                <w:sz w:val="20"/>
              </w:rPr>
            </w:pPr>
            <w:r w:rsidRPr="00EC783C">
              <w:rPr>
                <w:sz w:val="20"/>
              </w:rPr>
              <w:t>Procurement officials, who can prove they abide by the rules</w:t>
            </w:r>
          </w:p>
        </w:tc>
        <w:tc>
          <w:tcPr>
            <w:tcW w:w="2411" w:type="pct"/>
          </w:tcPr>
          <w:p w14:paraId="73173010" w14:textId="77777777" w:rsidR="00493691" w:rsidRPr="00EC783C" w:rsidRDefault="00493691" w:rsidP="00D66738">
            <w:pPr>
              <w:pStyle w:val="charts"/>
              <w:keepNext w:val="0"/>
              <w:jc w:val="both"/>
              <w:rPr>
                <w:sz w:val="20"/>
              </w:rPr>
            </w:pPr>
            <w:r w:rsidRPr="00EC783C">
              <w:rPr>
                <w:sz w:val="20"/>
              </w:rPr>
              <w:t>Beneficiaries of state programmes, who are disproportionately poor</w:t>
            </w:r>
          </w:p>
          <w:p w14:paraId="5B9BBC03" w14:textId="77777777" w:rsidR="00493691" w:rsidRPr="00EC783C" w:rsidRDefault="00493691" w:rsidP="00D66738">
            <w:pPr>
              <w:pStyle w:val="charts"/>
              <w:keepNext w:val="0"/>
              <w:jc w:val="both"/>
              <w:rPr>
                <w:sz w:val="20"/>
              </w:rPr>
            </w:pPr>
            <w:r w:rsidRPr="00EC783C">
              <w:rPr>
                <w:sz w:val="20"/>
              </w:rPr>
              <w:t>Suppliers</w:t>
            </w:r>
          </w:p>
          <w:p w14:paraId="0088B601" w14:textId="77777777" w:rsidR="00493691" w:rsidRPr="00EC783C" w:rsidRDefault="00493691" w:rsidP="00D66738">
            <w:pPr>
              <w:pStyle w:val="charts"/>
              <w:keepNext w:val="0"/>
              <w:jc w:val="both"/>
              <w:rPr>
                <w:sz w:val="20"/>
              </w:rPr>
            </w:pPr>
            <w:r w:rsidRPr="00EC783C">
              <w:rPr>
                <w:sz w:val="20"/>
              </w:rPr>
              <w:t>Taxpayers (who end up paying unused taxes)</w:t>
            </w:r>
          </w:p>
          <w:p w14:paraId="17BB01F5" w14:textId="77777777" w:rsidR="00493691" w:rsidRPr="00EC783C" w:rsidRDefault="00493691" w:rsidP="00D66738">
            <w:pPr>
              <w:pStyle w:val="charts"/>
              <w:keepNext w:val="0"/>
              <w:jc w:val="both"/>
              <w:rPr>
                <w:sz w:val="20"/>
              </w:rPr>
            </w:pPr>
            <w:r w:rsidRPr="00EC783C">
              <w:rPr>
                <w:sz w:val="20"/>
              </w:rPr>
              <w:t>Public sector employees who face shortages of required products</w:t>
            </w:r>
          </w:p>
        </w:tc>
      </w:tr>
      <w:tr w:rsidR="00493691" w:rsidRPr="00EC783C" w14:paraId="23A9135A" w14:textId="77777777" w:rsidTr="00DA0FE8">
        <w:tc>
          <w:tcPr>
            <w:tcW w:w="696" w:type="pct"/>
          </w:tcPr>
          <w:p w14:paraId="4425C26C" w14:textId="60A2CCE7" w:rsidR="00493691" w:rsidRPr="00EC783C" w:rsidRDefault="000842B9" w:rsidP="00D66738">
            <w:pPr>
              <w:pStyle w:val="charts"/>
              <w:keepNext w:val="0"/>
              <w:spacing w:after="120"/>
              <w:jc w:val="both"/>
              <w:rPr>
                <w:sz w:val="20"/>
              </w:rPr>
            </w:pPr>
            <w:r>
              <w:rPr>
                <w:sz w:val="20"/>
              </w:rPr>
              <w:t>Large companies dominate</w:t>
            </w:r>
            <w:r w:rsidR="00493691" w:rsidRPr="00EC783C">
              <w:rPr>
                <w:sz w:val="20"/>
              </w:rPr>
              <w:t xml:space="preserve"> of procurement</w:t>
            </w:r>
          </w:p>
        </w:tc>
        <w:tc>
          <w:tcPr>
            <w:tcW w:w="1893" w:type="pct"/>
          </w:tcPr>
          <w:p w14:paraId="77A0925B" w14:textId="7DACDA6B" w:rsidR="00493691" w:rsidRPr="00EC783C" w:rsidRDefault="000842B9" w:rsidP="00D66738">
            <w:pPr>
              <w:pStyle w:val="charts"/>
              <w:keepNext w:val="0"/>
              <w:spacing w:after="120"/>
              <w:jc w:val="both"/>
              <w:rPr>
                <w:sz w:val="20"/>
              </w:rPr>
            </w:pPr>
            <w:r>
              <w:rPr>
                <w:sz w:val="20"/>
              </w:rPr>
              <w:t>Large</w:t>
            </w:r>
            <w:r w:rsidR="00493691" w:rsidRPr="00EC783C">
              <w:rPr>
                <w:sz w:val="20"/>
              </w:rPr>
              <w:t xml:space="preserve"> and white-owned enterprises that have historically supplied state agencies</w:t>
            </w:r>
          </w:p>
          <w:p w14:paraId="661BA731" w14:textId="77777777" w:rsidR="00493691" w:rsidRPr="00EC783C" w:rsidRDefault="00493691" w:rsidP="00D66738">
            <w:pPr>
              <w:pStyle w:val="charts"/>
              <w:keepNext w:val="0"/>
              <w:spacing w:after="120"/>
              <w:jc w:val="both"/>
              <w:rPr>
                <w:sz w:val="20"/>
              </w:rPr>
            </w:pPr>
            <w:r w:rsidRPr="00EC783C">
              <w:rPr>
                <w:sz w:val="20"/>
              </w:rPr>
              <w:t>Workers, beneficiaries and public-sector employees, at least in short run, if (a) suppliers produce locally and (b) they are able to supply at best price and quality</w:t>
            </w:r>
          </w:p>
          <w:p w14:paraId="4DE9DFA3" w14:textId="77777777" w:rsidR="00493691" w:rsidRPr="00EC783C" w:rsidRDefault="00493691" w:rsidP="00D66738">
            <w:pPr>
              <w:pStyle w:val="charts"/>
              <w:keepNext w:val="0"/>
              <w:spacing w:after="120"/>
              <w:jc w:val="both"/>
              <w:rPr>
                <w:sz w:val="20"/>
              </w:rPr>
            </w:pPr>
            <w:r w:rsidRPr="00EC783C">
              <w:rPr>
                <w:sz w:val="20"/>
              </w:rPr>
              <w:t xml:space="preserve">Procurement officials, who </w:t>
            </w:r>
            <w:proofErr w:type="gramStart"/>
            <w:r w:rsidRPr="00EC783C">
              <w:rPr>
                <w:sz w:val="20"/>
              </w:rPr>
              <w:t>don’t</w:t>
            </w:r>
            <w:proofErr w:type="gramEnd"/>
            <w:r w:rsidRPr="00EC783C">
              <w:rPr>
                <w:sz w:val="20"/>
              </w:rPr>
              <w:t xml:space="preserve"> have to change behaviour</w:t>
            </w:r>
          </w:p>
        </w:tc>
        <w:tc>
          <w:tcPr>
            <w:tcW w:w="2411" w:type="pct"/>
          </w:tcPr>
          <w:p w14:paraId="20354C14" w14:textId="34A0ADCE" w:rsidR="00493691" w:rsidRPr="00EC783C" w:rsidRDefault="000842B9" w:rsidP="00D66738">
            <w:pPr>
              <w:pStyle w:val="charts"/>
              <w:keepNext w:val="0"/>
              <w:jc w:val="both"/>
              <w:rPr>
                <w:sz w:val="20"/>
              </w:rPr>
            </w:pPr>
            <w:r>
              <w:rPr>
                <w:sz w:val="20"/>
              </w:rPr>
              <w:t>S</w:t>
            </w:r>
            <w:r w:rsidR="007C59D1">
              <w:rPr>
                <w:sz w:val="20"/>
              </w:rPr>
              <w:t>mall business</w:t>
            </w:r>
            <w:r w:rsidR="00493691" w:rsidRPr="00EC783C">
              <w:rPr>
                <w:sz w:val="20"/>
              </w:rPr>
              <w:t xml:space="preserve"> and black-owned companies that are unable to compete for state contracts</w:t>
            </w:r>
          </w:p>
          <w:p w14:paraId="37B46944" w14:textId="77777777" w:rsidR="00493691" w:rsidRPr="00EC783C" w:rsidRDefault="00493691" w:rsidP="00D66738">
            <w:pPr>
              <w:pStyle w:val="charts"/>
              <w:keepNext w:val="0"/>
              <w:jc w:val="both"/>
              <w:rPr>
                <w:sz w:val="20"/>
              </w:rPr>
            </w:pPr>
            <w:r w:rsidRPr="00EC783C">
              <w:rPr>
                <w:sz w:val="20"/>
              </w:rPr>
              <w:t>Workers, beneficiaries and public-sector employees, if new suppliers would lead to higher quality, lower prices and reduced dependence on imports, and ultimately accelerated industrialisation, at least in the longer run</w:t>
            </w:r>
          </w:p>
          <w:p w14:paraId="1F3732EB" w14:textId="77777777" w:rsidR="00493691" w:rsidRPr="00EC783C" w:rsidRDefault="00493691" w:rsidP="00D66738">
            <w:pPr>
              <w:pStyle w:val="charts"/>
              <w:keepNext w:val="0"/>
              <w:jc w:val="both"/>
              <w:rPr>
                <w:sz w:val="20"/>
              </w:rPr>
            </w:pPr>
          </w:p>
        </w:tc>
      </w:tr>
    </w:tbl>
    <w:p w14:paraId="28581D18" w14:textId="77777777" w:rsidR="00493691" w:rsidRPr="00F209B7" w:rsidRDefault="00F54696" w:rsidP="00D66738">
      <w:pPr>
        <w:jc w:val="both"/>
      </w:pPr>
      <w:r w:rsidRPr="00F209B7">
        <w:t>In terms of the theory of change, t</w:t>
      </w:r>
      <w:r w:rsidR="00493691" w:rsidRPr="00F209B7">
        <w:t xml:space="preserve">he procurement legislation aims to ensure that state procurement achieves value for money while, as a secondary aim, involving more small and black-owned suppliers. The extent to which imports figure in this end state is contested. </w:t>
      </w:r>
    </w:p>
    <w:p w14:paraId="5760DA70" w14:textId="77777777" w:rsidR="00493691" w:rsidRPr="00F209B7" w:rsidRDefault="00493691" w:rsidP="00D66738">
      <w:pPr>
        <w:jc w:val="both"/>
      </w:pPr>
      <w:r w:rsidRPr="00F209B7">
        <w:lastRenderedPageBreak/>
        <w:t xml:space="preserve">The legislation presumes the following steps will lead to achievement of the desired outcomes. </w:t>
      </w:r>
    </w:p>
    <w:p w14:paraId="39A8E7C9" w14:textId="77777777" w:rsidR="00493691" w:rsidRPr="00F209B7" w:rsidRDefault="00493691" w:rsidP="00D66738">
      <w:pPr>
        <w:pStyle w:val="ListParagraph"/>
        <w:numPr>
          <w:ilvl w:val="0"/>
          <w:numId w:val="49"/>
        </w:numPr>
        <w:jc w:val="both"/>
      </w:pPr>
      <w:r w:rsidRPr="00F209B7">
        <w:t xml:space="preserve">The National Treasury specifies procedures that balance the need to promote competitive tenders with some degree of preferential procurement. </w:t>
      </w:r>
    </w:p>
    <w:p w14:paraId="1FD0CF7B" w14:textId="77777777" w:rsidR="00493691" w:rsidRPr="00F209B7" w:rsidRDefault="00493691" w:rsidP="00D66738">
      <w:pPr>
        <w:pStyle w:val="ListParagraph"/>
        <w:numPr>
          <w:ilvl w:val="0"/>
          <w:numId w:val="49"/>
        </w:numPr>
        <w:jc w:val="both"/>
      </w:pPr>
      <w:r w:rsidRPr="00F209B7">
        <w:t>Heads of department and state agencies ensure enforcement of the rules as required by law, and the Auditor General reports on any deviations.</w:t>
      </w:r>
    </w:p>
    <w:p w14:paraId="28B463C6" w14:textId="77777777" w:rsidR="00493691" w:rsidRPr="00F209B7" w:rsidRDefault="00493691" w:rsidP="00D66738">
      <w:pPr>
        <w:pStyle w:val="ListParagraph"/>
        <w:numPr>
          <w:ilvl w:val="0"/>
          <w:numId w:val="49"/>
        </w:numPr>
        <w:jc w:val="both"/>
      </w:pPr>
      <w:r w:rsidRPr="00F209B7">
        <w:t>Procurement officials abide by the rules in procuring goods and services.</w:t>
      </w:r>
    </w:p>
    <w:p w14:paraId="2B645E59" w14:textId="77777777" w:rsidR="00493691" w:rsidRPr="00F209B7" w:rsidRDefault="00493691" w:rsidP="00D66738">
      <w:pPr>
        <w:pStyle w:val="ListParagraph"/>
        <w:numPr>
          <w:ilvl w:val="0"/>
          <w:numId w:val="49"/>
        </w:numPr>
        <w:jc w:val="both"/>
      </w:pPr>
      <w:r w:rsidRPr="00F209B7">
        <w:t>Departments procure from more diverse suppliers while continuing to obtain quality, low-cost goods and services.</w:t>
      </w:r>
    </w:p>
    <w:p w14:paraId="242704F1" w14:textId="188BC38A" w:rsidR="00493691" w:rsidRPr="00F209B7" w:rsidRDefault="007C59D1" w:rsidP="00D66738">
      <w:pPr>
        <w:jc w:val="both"/>
      </w:pPr>
      <w:r>
        <w:t xml:space="preserve">This </w:t>
      </w:r>
      <w:r w:rsidR="00493691" w:rsidRPr="00F209B7">
        <w:t xml:space="preserve">theory of change implies a specific analysis of what could go wrong with procurement – specifically, that officials may be open to corruption or fail to ensure rigorous value for money, but also that smaller and black-owned enterprise may not be able to compete on price and quality grounds with more established suppliers. The specific assumptions in this regard are: </w:t>
      </w:r>
    </w:p>
    <w:p w14:paraId="07F56121" w14:textId="77777777" w:rsidR="00493691" w:rsidRPr="00F209B7" w:rsidRDefault="00493691" w:rsidP="00D66738">
      <w:pPr>
        <w:pStyle w:val="ListParagraph"/>
        <w:numPr>
          <w:ilvl w:val="0"/>
          <w:numId w:val="51"/>
        </w:numPr>
        <w:jc w:val="both"/>
      </w:pPr>
      <w:r w:rsidRPr="00F209B7">
        <w:t xml:space="preserve">Officials and suppliers will inherently be tempted to undertake corrupt processes. These temptations can be managed by bright-line rules that establish procedures based on unambiguous criteria for delivery and competitive pricing. </w:t>
      </w:r>
    </w:p>
    <w:p w14:paraId="6B9BDEB7" w14:textId="77777777" w:rsidR="00493691" w:rsidRPr="00F209B7" w:rsidRDefault="00493691" w:rsidP="00D66738">
      <w:pPr>
        <w:pStyle w:val="ListParagraph"/>
        <w:numPr>
          <w:ilvl w:val="0"/>
          <w:numId w:val="51"/>
        </w:numPr>
        <w:jc w:val="both"/>
      </w:pPr>
      <w:r w:rsidRPr="00F209B7">
        <w:t>Effective enforcement of the rules requires clear responsibility from the top down as well as monitoring by highly capacitated authorities like the Auditor General and National Treasury.</w:t>
      </w:r>
    </w:p>
    <w:p w14:paraId="55BC075E" w14:textId="77777777" w:rsidR="00493691" w:rsidRPr="00F209B7" w:rsidRDefault="00493691" w:rsidP="00D66738">
      <w:pPr>
        <w:pStyle w:val="ListParagraph"/>
        <w:numPr>
          <w:ilvl w:val="0"/>
          <w:numId w:val="51"/>
        </w:numPr>
        <w:jc w:val="both"/>
      </w:pPr>
      <w:r w:rsidRPr="00F209B7">
        <w:t>If suppliers are not recorded properly and do not pay tax, they are more likely to engage in corrupt processes and to fail to meet tender requirements.</w:t>
      </w:r>
    </w:p>
    <w:p w14:paraId="297388C7" w14:textId="77777777" w:rsidR="00493691" w:rsidRPr="00F209B7" w:rsidRDefault="00493691" w:rsidP="00D66738">
      <w:pPr>
        <w:pStyle w:val="ListParagraph"/>
        <w:numPr>
          <w:ilvl w:val="0"/>
          <w:numId w:val="51"/>
        </w:numPr>
        <w:jc w:val="both"/>
      </w:pPr>
      <w:r w:rsidRPr="00F209B7">
        <w:t xml:space="preserve">Developing new suppliers and local procurement tends, in the short run, to involve higher costs and worse quality, which needs to be balanced against the potential impact on government services. For instance, it would be problematic to pay higher prices for medicine in order to support local suppliers since that could result in a higher burden of illness, even death, especially for poor families that depend on the public health system. </w:t>
      </w:r>
    </w:p>
    <w:p w14:paraId="5052F5C9" w14:textId="77777777" w:rsidR="00493691" w:rsidRPr="00F209B7" w:rsidRDefault="00493691" w:rsidP="00D66738">
      <w:pPr>
        <w:pStyle w:val="ListParagraph"/>
        <w:numPr>
          <w:ilvl w:val="0"/>
          <w:numId w:val="51"/>
        </w:numPr>
        <w:jc w:val="both"/>
      </w:pPr>
      <w:r w:rsidRPr="00F209B7">
        <w:t xml:space="preserve">Failure by state agencies to pay especially small suppliers on time can have disastrous consequences for the enterprises and may deter smaller producers from tendering. </w:t>
      </w:r>
    </w:p>
    <w:p w14:paraId="19AC0267" w14:textId="5750D9FB" w:rsidR="00493691" w:rsidRPr="00F209B7" w:rsidRDefault="007C59D1" w:rsidP="00D66738">
      <w:pPr>
        <w:jc w:val="both"/>
      </w:pPr>
      <w:r>
        <w:t>In addition</w:t>
      </w:r>
      <w:r w:rsidR="00493691" w:rsidRPr="00F209B7">
        <w:t xml:space="preserve">, the theory of change </w:t>
      </w:r>
      <w:r>
        <w:t xml:space="preserve">rests on </w:t>
      </w:r>
      <w:r w:rsidR="00493691" w:rsidRPr="00F209B7">
        <w:t xml:space="preserve">assumptions about how implementation will work. The main assumptions are the following. </w:t>
      </w:r>
    </w:p>
    <w:p w14:paraId="76E4EFD9" w14:textId="77777777" w:rsidR="00493691" w:rsidRPr="00F209B7" w:rsidRDefault="00493691" w:rsidP="00D66738">
      <w:pPr>
        <w:pStyle w:val="ListParagraph"/>
        <w:numPr>
          <w:ilvl w:val="0"/>
          <w:numId w:val="52"/>
        </w:numPr>
        <w:jc w:val="both"/>
      </w:pPr>
      <w:r w:rsidRPr="00F209B7">
        <w:t>The rules provide an appropriate balance between preferential procurement and the core aim of maintaining and improve state services.</w:t>
      </w:r>
    </w:p>
    <w:p w14:paraId="47D24E25" w14:textId="77777777" w:rsidR="00493691" w:rsidRPr="00F209B7" w:rsidRDefault="00493691" w:rsidP="00D66738">
      <w:pPr>
        <w:pStyle w:val="ListParagraph"/>
        <w:numPr>
          <w:ilvl w:val="0"/>
          <w:numId w:val="52"/>
        </w:numPr>
        <w:jc w:val="both"/>
      </w:pPr>
      <w:r w:rsidRPr="00F209B7">
        <w:t>The rules are unambiguous, so that responsibilities and deviations can be identified and sanctioned.</w:t>
      </w:r>
    </w:p>
    <w:p w14:paraId="6A0CB416" w14:textId="77777777" w:rsidR="00493691" w:rsidRPr="00F209B7" w:rsidRDefault="00493691" w:rsidP="00D66738">
      <w:pPr>
        <w:pStyle w:val="ListParagraph"/>
        <w:numPr>
          <w:ilvl w:val="0"/>
          <w:numId w:val="52"/>
        </w:numPr>
        <w:jc w:val="both"/>
      </w:pPr>
      <w:r w:rsidRPr="00F209B7">
        <w:t xml:space="preserve">The public-service hierarchy, the Auditor General and the National Treasury have sufficient capacity to monitor implementation, and the potential punishments in terms of both labour relations and criminal sanctions are clear and sufficient to ensure the desired behaviour. </w:t>
      </w:r>
    </w:p>
    <w:p w14:paraId="0465973F" w14:textId="77777777" w:rsidR="00493691" w:rsidRPr="00F209B7" w:rsidRDefault="00493691" w:rsidP="00D66738">
      <w:pPr>
        <w:jc w:val="both"/>
      </w:pPr>
      <w:r w:rsidRPr="00F209B7">
        <w:t xml:space="preserve">As </w:t>
      </w:r>
      <w:r w:rsidR="00F54696" w:rsidRPr="00F209B7">
        <w:t>discussed</w:t>
      </w:r>
      <w:r w:rsidRPr="00F209B7">
        <w:t xml:space="preserve"> above, National Treasury itself has noted that some of these assumptions are not sufficient. In particular, it has argued that:</w:t>
      </w:r>
    </w:p>
    <w:p w14:paraId="48680AE7" w14:textId="1CBD13A0" w:rsidR="00493691" w:rsidRPr="00F209B7" w:rsidRDefault="00493691" w:rsidP="00D66738">
      <w:pPr>
        <w:pStyle w:val="ListParagraph"/>
        <w:numPr>
          <w:ilvl w:val="0"/>
          <w:numId w:val="50"/>
        </w:numPr>
        <w:jc w:val="both"/>
      </w:pPr>
      <w:r w:rsidRPr="00F209B7">
        <w:lastRenderedPageBreak/>
        <w:t xml:space="preserve">The size of tenders may in itself be a barrier to entry for smaller suppliers. It has therefore published </w:t>
      </w:r>
      <w:r w:rsidR="007C59D1">
        <w:t xml:space="preserve">for comment </w:t>
      </w:r>
      <w:r w:rsidRPr="00F209B7">
        <w:t xml:space="preserve">draft regulations that will require that any contractor who wins a tender of over R30 million must subcontract at least at third to </w:t>
      </w:r>
      <w:r w:rsidR="007C59D1">
        <w:t>small business</w:t>
      </w:r>
      <w:r w:rsidRPr="00F209B7">
        <w:t>.</w:t>
      </w:r>
    </w:p>
    <w:p w14:paraId="5A77108A" w14:textId="77777777" w:rsidR="00493691" w:rsidRPr="00F209B7" w:rsidRDefault="00493691" w:rsidP="00D66738">
      <w:pPr>
        <w:pStyle w:val="ListParagraph"/>
        <w:numPr>
          <w:ilvl w:val="0"/>
          <w:numId w:val="50"/>
        </w:numPr>
        <w:jc w:val="both"/>
      </w:pPr>
      <w:r w:rsidRPr="00F209B7">
        <w:t>The sanctions for failing to comply with requirements are inconsistent and often not applied.</w:t>
      </w:r>
    </w:p>
    <w:p w14:paraId="24C2690F" w14:textId="77777777" w:rsidR="00493691" w:rsidRPr="00F209B7" w:rsidRDefault="00493691" w:rsidP="00D66738">
      <w:pPr>
        <w:pStyle w:val="ListParagraph"/>
        <w:numPr>
          <w:ilvl w:val="0"/>
          <w:numId w:val="50"/>
        </w:numPr>
        <w:jc w:val="both"/>
      </w:pPr>
      <w:r w:rsidRPr="00F209B7">
        <w:t>There is limited regulation of procurement procedures following the tender process, which means that suppliers may not live up to their obligations.</w:t>
      </w:r>
    </w:p>
    <w:p w14:paraId="51451FA4" w14:textId="77777777" w:rsidR="00493691" w:rsidRPr="00F209B7" w:rsidRDefault="00493691" w:rsidP="00D66738">
      <w:pPr>
        <w:pStyle w:val="ListParagraph"/>
        <w:numPr>
          <w:ilvl w:val="0"/>
          <w:numId w:val="50"/>
        </w:numPr>
        <w:jc w:val="both"/>
      </w:pPr>
      <w:r w:rsidRPr="00F209B7">
        <w:t>The regulations are in practice sometimes ambiguous and very complex, and different state agencies do not always implement them in the same way.</w:t>
      </w:r>
    </w:p>
    <w:p w14:paraId="63DBC372" w14:textId="3B12D2E4" w:rsidR="00493691" w:rsidRPr="00F209B7" w:rsidRDefault="00493691" w:rsidP="00D66738">
      <w:pPr>
        <w:pStyle w:val="ListParagraph"/>
        <w:numPr>
          <w:ilvl w:val="0"/>
          <w:numId w:val="50"/>
        </w:numPr>
        <w:jc w:val="both"/>
      </w:pPr>
      <w:r w:rsidRPr="00F209B7">
        <w:t xml:space="preserve">Departments sometimes use indicators other than </w:t>
      </w:r>
      <w:r w:rsidR="007C59D1">
        <w:t xml:space="preserve">the </w:t>
      </w:r>
      <w:r w:rsidR="007C59D1" w:rsidRPr="00D40FDE">
        <w:rPr>
          <w:b/>
        </w:rPr>
        <w:t>dti</w:t>
      </w:r>
      <w:r w:rsidR="007C59D1">
        <w:t>’s BB</w:t>
      </w:r>
      <w:r w:rsidRPr="00F209B7">
        <w:t xml:space="preserve">BEE ratings </w:t>
      </w:r>
      <w:r w:rsidR="007C59D1">
        <w:t xml:space="preserve">to allocate points for </w:t>
      </w:r>
      <w:r w:rsidRPr="00F209B7">
        <w:t>preferential procurement</w:t>
      </w:r>
      <w:r w:rsidR="007C59D1">
        <w:t>, including to define black ownership and empowerment</w:t>
      </w:r>
      <w:r w:rsidRPr="00F209B7">
        <w:t>.</w:t>
      </w:r>
    </w:p>
    <w:p w14:paraId="00E5E9B3" w14:textId="13EBBAAB" w:rsidR="00493691" w:rsidRPr="00F209B7" w:rsidRDefault="00F54696" w:rsidP="00D66738">
      <w:pPr>
        <w:pStyle w:val="Heading2"/>
        <w:numPr>
          <w:ilvl w:val="1"/>
          <w:numId w:val="137"/>
        </w:numPr>
        <w:ind w:left="0" w:firstLine="0"/>
        <w:jc w:val="both"/>
      </w:pPr>
      <w:bookmarkStart w:id="816" w:name="_Ref479790720"/>
      <w:bookmarkStart w:id="817" w:name="_Toc479843933"/>
      <w:bookmarkStart w:id="818" w:name="_Toc479844557"/>
      <w:bookmarkStart w:id="819" w:name="_Toc479940887"/>
      <w:r w:rsidRPr="00F209B7">
        <w:t xml:space="preserve">Assessment of the costs to </w:t>
      </w:r>
      <w:r w:rsidR="007C59D1">
        <w:t>small businesses</w:t>
      </w:r>
      <w:bookmarkEnd w:id="816"/>
      <w:bookmarkEnd w:id="817"/>
      <w:bookmarkEnd w:id="818"/>
      <w:bookmarkEnd w:id="819"/>
    </w:p>
    <w:p w14:paraId="0F43201E" w14:textId="2DE93C54" w:rsidR="00493691" w:rsidRPr="00F209B7" w:rsidRDefault="00493691" w:rsidP="00D66738">
      <w:pPr>
        <w:jc w:val="both"/>
      </w:pPr>
      <w:r w:rsidRPr="00F209B7">
        <w:t>In practice, the procurement legislation places considerable burdens on suppliers, which appear particularly onerous for smaller produc</w:t>
      </w:r>
      <w:r w:rsidR="007C59D1">
        <w:t>ers. They include the following.</w:t>
      </w:r>
    </w:p>
    <w:p w14:paraId="1D33D932" w14:textId="77777777" w:rsidR="00493691" w:rsidRPr="00F209B7" w:rsidRDefault="00493691" w:rsidP="00D66738">
      <w:pPr>
        <w:pStyle w:val="Heading3"/>
        <w:numPr>
          <w:ilvl w:val="2"/>
          <w:numId w:val="138"/>
        </w:numPr>
        <w:ind w:left="0" w:firstLine="0"/>
        <w:jc w:val="both"/>
      </w:pPr>
      <w:bookmarkStart w:id="820" w:name="_Toc469410885"/>
      <w:bookmarkStart w:id="821" w:name="_Toc469585763"/>
      <w:bookmarkStart w:id="822" w:name="_Toc479843934"/>
      <w:bookmarkStart w:id="823" w:name="_Toc479844558"/>
      <w:bookmarkStart w:id="824" w:name="_Toc479940888"/>
      <w:r w:rsidRPr="00F209B7">
        <w:t>The cost of implementation</w:t>
      </w:r>
      <w:bookmarkEnd w:id="820"/>
      <w:bookmarkEnd w:id="821"/>
      <w:bookmarkEnd w:id="822"/>
      <w:bookmarkEnd w:id="823"/>
      <w:bookmarkEnd w:id="824"/>
    </w:p>
    <w:p w14:paraId="69201E47" w14:textId="77777777" w:rsidR="00493691" w:rsidRPr="00F209B7" w:rsidRDefault="00493691" w:rsidP="00D66738">
      <w:pPr>
        <w:pStyle w:val="ListParagraph"/>
        <w:numPr>
          <w:ilvl w:val="0"/>
          <w:numId w:val="53"/>
        </w:numPr>
        <w:jc w:val="both"/>
      </w:pPr>
      <w:r w:rsidRPr="00F209B7">
        <w:t>Suppliers have to be formal (especially in terms of tax registration) and provide a physical address rather than a post office number.</w:t>
      </w:r>
    </w:p>
    <w:p w14:paraId="10367A73" w14:textId="369D2308" w:rsidR="00493691" w:rsidRPr="00F209B7" w:rsidRDefault="00493691" w:rsidP="00D66738">
      <w:pPr>
        <w:pStyle w:val="ListParagraph"/>
        <w:numPr>
          <w:ilvl w:val="0"/>
          <w:numId w:val="53"/>
        </w:numPr>
        <w:jc w:val="both"/>
      </w:pPr>
      <w:r w:rsidRPr="00F209B7">
        <w:t>Suppliers have to pro-actively find out about contracts and, where relevant, register for panels. Departments are not required to seek out smaller suppliers. While web-based products have</w:t>
      </w:r>
      <w:r w:rsidR="007C59D1">
        <w:t xml:space="preserve"> improved access to information on tenders</w:t>
      </w:r>
      <w:r w:rsidRPr="00F209B7">
        <w:t>, they still require consistent monitoring by suppliers</w:t>
      </w:r>
      <w:r w:rsidR="007C59D1">
        <w:t xml:space="preserve">. That can impose </w:t>
      </w:r>
      <w:r w:rsidRPr="00F209B7">
        <w:t xml:space="preserve">a significant cost in itself. </w:t>
      </w:r>
    </w:p>
    <w:p w14:paraId="1504581C" w14:textId="55F4489F" w:rsidR="00493691" w:rsidRPr="00F209B7" w:rsidRDefault="00493691" w:rsidP="00D66738">
      <w:pPr>
        <w:pStyle w:val="ListParagraph"/>
        <w:numPr>
          <w:ilvl w:val="0"/>
          <w:numId w:val="53"/>
        </w:numPr>
        <w:jc w:val="both"/>
      </w:pPr>
      <w:r w:rsidRPr="00F209B7">
        <w:t xml:space="preserve">Tendering </w:t>
      </w:r>
      <w:r w:rsidR="007C59D1">
        <w:t>may require small businesses</w:t>
      </w:r>
      <w:r w:rsidRPr="00F209B7">
        <w:t xml:space="preserve"> to expend considerable resources on developing and presenting bids, and require that they know how to set budgets and margins.</w:t>
      </w:r>
      <w:r w:rsidR="007C59D1">
        <w:t xml:space="preserve"> The costs are not recovered if the business does not get the tender. </w:t>
      </w:r>
    </w:p>
    <w:p w14:paraId="62B4E4D7" w14:textId="77777777" w:rsidR="00493691" w:rsidRPr="00F209B7" w:rsidRDefault="00493691" w:rsidP="00D66738">
      <w:pPr>
        <w:pStyle w:val="Heading3"/>
        <w:numPr>
          <w:ilvl w:val="2"/>
          <w:numId w:val="138"/>
        </w:numPr>
        <w:ind w:left="0" w:firstLine="0"/>
        <w:jc w:val="both"/>
      </w:pPr>
      <w:bookmarkStart w:id="825" w:name="_Toc469410886"/>
      <w:bookmarkStart w:id="826" w:name="_Toc469585764"/>
      <w:bookmarkStart w:id="827" w:name="_Toc479843935"/>
      <w:bookmarkStart w:id="828" w:name="_Toc479844559"/>
      <w:bookmarkStart w:id="829" w:name="_Toc479940889"/>
      <w:r w:rsidRPr="00F209B7">
        <w:t>Administrative costs</w:t>
      </w:r>
      <w:bookmarkEnd w:id="825"/>
      <w:bookmarkEnd w:id="826"/>
      <w:bookmarkEnd w:id="827"/>
      <w:bookmarkEnd w:id="828"/>
      <w:bookmarkEnd w:id="829"/>
    </w:p>
    <w:p w14:paraId="672FA05E" w14:textId="77777777" w:rsidR="00C06E86" w:rsidRDefault="00493691" w:rsidP="00D66738">
      <w:pPr>
        <w:jc w:val="both"/>
      </w:pPr>
      <w:r w:rsidRPr="00F209B7">
        <w:t xml:space="preserve">Although departments mostly claim to have paid on time, the perception from </w:t>
      </w:r>
      <w:r w:rsidR="007C59D1">
        <w:t>small businesses</w:t>
      </w:r>
      <w:r w:rsidRPr="00F209B7">
        <w:t xml:space="preserve"> remains that there are often long delays, which put pressure on cash flow. It is not clear how this difference in perceptions arises. </w:t>
      </w:r>
    </w:p>
    <w:p w14:paraId="4D64575A" w14:textId="588D1819" w:rsidR="00E13CEE" w:rsidRDefault="00C06E86" w:rsidP="00D66738">
      <w:pPr>
        <w:jc w:val="both"/>
      </w:pPr>
      <w:r>
        <w:t xml:space="preserve">According to the DPME, which monitors on-time payment of invoices, in 2016 national departments failed to pay </w:t>
      </w:r>
      <w:r w:rsidR="003C2F77">
        <w:t xml:space="preserve">for procurement worth </w:t>
      </w:r>
      <w:r>
        <w:t xml:space="preserve">around R300 million a month within 30 days. For provinces, the figure rose to almost R2 billion. The delayed payments affected around 10 000 invoices a month for the national departments, and 35 000 </w:t>
      </w:r>
      <w:r w:rsidR="003C2F77">
        <w:t xml:space="preserve">a month </w:t>
      </w:r>
      <w:r w:rsidR="00E13CEE">
        <w:t>at provincial level. (</w:t>
      </w:r>
      <w:r>
        <w:t>DPME</w:t>
      </w:r>
      <w:r w:rsidR="00E13CEE">
        <w:t>,</w:t>
      </w:r>
      <w:r w:rsidR="00DA0FE8">
        <w:t xml:space="preserve"> 2016:</w:t>
      </w:r>
      <w:r w:rsidR="00E13CEE">
        <w:t xml:space="preserve"> Tables 3 and 7</w:t>
      </w:r>
      <w:r w:rsidR="00DA0FE8">
        <w:t>)</w:t>
      </w:r>
    </w:p>
    <w:p w14:paraId="0389911A" w14:textId="0D4AB275" w:rsidR="00C06E86" w:rsidRDefault="00C06E86" w:rsidP="00D66738">
      <w:pPr>
        <w:jc w:val="both"/>
      </w:pPr>
      <w:r>
        <w:t>In value terms, the figures approximated 2,5% of spending on goods and services at national level, and almost 25% at provincial level.</w:t>
      </w:r>
      <w:r>
        <w:rPr>
          <w:rStyle w:val="FootnoteReference"/>
        </w:rPr>
        <w:footnoteReference w:id="17"/>
      </w:r>
      <w:r w:rsidR="003C2F77">
        <w:t xml:space="preserve"> </w:t>
      </w:r>
    </w:p>
    <w:p w14:paraId="7CF26C71" w14:textId="29E2339A" w:rsidR="003C2F77" w:rsidRDefault="00594506" w:rsidP="00D66738">
      <w:pPr>
        <w:jc w:val="both"/>
      </w:pPr>
      <w:r>
        <w:lastRenderedPageBreak/>
        <w:t xml:space="preserve">A relatively small number of </w:t>
      </w:r>
      <w:r w:rsidR="003C2F77">
        <w:t>state agencies accounted for the bulk of late payments. At the national level, Water and Sanitation</w:t>
      </w:r>
      <w:r w:rsidR="00E95449">
        <w:t xml:space="preserve"> accoun</w:t>
      </w:r>
      <w:r w:rsidR="003C2F77">
        <w:t>ted for a third o</w:t>
      </w:r>
      <w:r>
        <w:t>f all late payments in June 2016</w:t>
      </w:r>
      <w:r w:rsidR="003C2F77">
        <w:t xml:space="preserve">, while Home Affairs, Rural Development and Defence accounted for another half. Each of these departments paid more than R40 million late. </w:t>
      </w:r>
      <w:r>
        <w:t xml:space="preserve">(DPME 2016, Table 2) </w:t>
      </w:r>
      <w:r w:rsidR="003C2F77">
        <w:t xml:space="preserve">In the provinces, </w:t>
      </w:r>
      <w:r>
        <w:t xml:space="preserve">Gauteng and the Eastern Cape were responsible for half of all invoices that were unpaid </w:t>
      </w:r>
      <w:r w:rsidR="008A44A6">
        <w:t>after</w:t>
      </w:r>
      <w:r>
        <w:t xml:space="preserve"> 30 days in June 2016. (DPME 2016, Table 6)</w:t>
      </w:r>
    </w:p>
    <w:p w14:paraId="344F18DA" w14:textId="5B21FA71" w:rsidR="007C59D1" w:rsidRDefault="00E95449" w:rsidP="00D66738">
      <w:pPr>
        <w:jc w:val="both"/>
      </w:pPr>
      <w:r>
        <w:t>The DPME cites the following factors in late payments:</w:t>
      </w:r>
    </w:p>
    <w:p w14:paraId="73BAAA3E" w14:textId="008C7262" w:rsidR="00E95449" w:rsidRDefault="00E95449" w:rsidP="00D66738">
      <w:pPr>
        <w:pStyle w:val="ListParagraph"/>
        <w:numPr>
          <w:ilvl w:val="0"/>
          <w:numId w:val="85"/>
        </w:numPr>
        <w:jc w:val="both"/>
      </w:pPr>
      <w:r>
        <w:t xml:space="preserve">Contractual disputes, especially where suppliers were appointed without going through proper procedures and documentation or where deliverables are poorly defined. </w:t>
      </w:r>
    </w:p>
    <w:p w14:paraId="7914E8EF" w14:textId="77777777" w:rsidR="00E95449" w:rsidRDefault="00E95449" w:rsidP="00D66738">
      <w:pPr>
        <w:pStyle w:val="ListParagraph"/>
        <w:numPr>
          <w:ilvl w:val="0"/>
          <w:numId w:val="85"/>
        </w:numPr>
        <w:jc w:val="both"/>
      </w:pPr>
      <w:r>
        <w:t>Inadequate staffing, tracking of invoices and poor attitudes in supply-chain management.</w:t>
      </w:r>
    </w:p>
    <w:p w14:paraId="30DA8A22" w14:textId="547C07F6" w:rsidR="00E95449" w:rsidRDefault="00E95449" w:rsidP="00D66738">
      <w:pPr>
        <w:pStyle w:val="ListParagraph"/>
        <w:numPr>
          <w:ilvl w:val="0"/>
          <w:numId w:val="85"/>
        </w:numPr>
        <w:jc w:val="both"/>
      </w:pPr>
      <w:r>
        <w:t xml:space="preserve">Possible corruption, where officials want to be paid off to finalise an invoice.  </w:t>
      </w:r>
    </w:p>
    <w:p w14:paraId="270CBF84" w14:textId="1B3E9883" w:rsidR="00E95449" w:rsidRPr="00F209B7" w:rsidRDefault="00E95449" w:rsidP="00D66738">
      <w:pPr>
        <w:jc w:val="both"/>
      </w:pPr>
      <w:r>
        <w:t xml:space="preserve">Treasury officials argue that the 30-day requirement is unambiguous. The DPME’s experience, however– like that of many informants from small business – is that the 30-day </w:t>
      </w:r>
      <w:r w:rsidR="0090592B">
        <w:t>requirement o</w:t>
      </w:r>
      <w:r>
        <w:t>nly starts when an invoice is finalised. That may be some time after work is completed and the business has submitted an initial invoice, for instance because of disputes over the quality of work or because the invoi</w:t>
      </w:r>
      <w:r w:rsidR="0090592B">
        <w:t xml:space="preserve">ce is not in the required form </w:t>
      </w:r>
      <w:r>
        <w:t>(See DPME 2016, pp. 10-11)</w:t>
      </w:r>
      <w:r w:rsidR="0090592B">
        <w:t>.</w:t>
      </w:r>
    </w:p>
    <w:p w14:paraId="0F3BD0A6" w14:textId="77777777" w:rsidR="00493691" w:rsidRPr="00F209B7" w:rsidRDefault="00493691" w:rsidP="00D66738">
      <w:pPr>
        <w:jc w:val="both"/>
      </w:pPr>
      <w:r w:rsidRPr="00F209B7">
        <w:t xml:space="preserve">Department officials often dispute the quality of deliverables unnecessarily or ask for products beyond the tender requirements. </w:t>
      </w:r>
      <w:r w:rsidR="004E22BA" w:rsidRPr="00F209B7">
        <w:t xml:space="preserve">This situation reflects, in part, the fear of audit queries combined with a lack of unambiguous rules to require approval of deliverables when they meet contractual requirements. </w:t>
      </w:r>
      <w:r w:rsidRPr="00F209B7">
        <w:t>Even if suppliers end up being paid, managing these disputes takes time and may add to costs.</w:t>
      </w:r>
    </w:p>
    <w:p w14:paraId="04C026B5" w14:textId="77777777" w:rsidR="004E22BA" w:rsidRPr="00F209B7" w:rsidRDefault="004E22BA" w:rsidP="00D66738">
      <w:pPr>
        <w:jc w:val="both"/>
      </w:pPr>
      <w:r w:rsidRPr="00F209B7">
        <w:t xml:space="preserve">Procurement rules forbid any initial payment. Small enterprises may not be able to carry the cost of the first phases of a project, however. As a rule, lenders do not consider a signed contract with the state sufficient security for commercial loans. This may result in part because of the potential for delays in </w:t>
      </w:r>
      <w:r w:rsidR="00F209B7" w:rsidRPr="00F209B7">
        <w:t>finalisation</w:t>
      </w:r>
      <w:r w:rsidRPr="00F209B7">
        <w:t xml:space="preserve"> and therefore payment, as noted above.  </w:t>
      </w:r>
    </w:p>
    <w:p w14:paraId="5A999C48" w14:textId="77777777" w:rsidR="00493691" w:rsidRPr="00F209B7" w:rsidRDefault="00493691" w:rsidP="00D66738">
      <w:pPr>
        <w:pStyle w:val="Heading3"/>
        <w:numPr>
          <w:ilvl w:val="2"/>
          <w:numId w:val="138"/>
        </w:numPr>
        <w:ind w:left="0" w:firstLine="0"/>
        <w:jc w:val="both"/>
      </w:pPr>
      <w:bookmarkStart w:id="830" w:name="_Toc469410887"/>
      <w:bookmarkStart w:id="831" w:name="_Toc469585765"/>
      <w:bookmarkStart w:id="832" w:name="_Ref479787261"/>
      <w:bookmarkStart w:id="833" w:name="_Toc479843936"/>
      <w:bookmarkStart w:id="834" w:name="_Toc479844560"/>
      <w:bookmarkStart w:id="835" w:name="_Toc479940890"/>
      <w:r w:rsidRPr="00F209B7">
        <w:t>Costs and benefits that are integral to the desired outcome</w:t>
      </w:r>
      <w:bookmarkEnd w:id="830"/>
      <w:bookmarkEnd w:id="831"/>
      <w:bookmarkEnd w:id="832"/>
      <w:bookmarkEnd w:id="833"/>
      <w:bookmarkEnd w:id="834"/>
      <w:bookmarkEnd w:id="835"/>
    </w:p>
    <w:p w14:paraId="520D6EA4" w14:textId="41985776" w:rsidR="00493691" w:rsidRPr="00F209B7" w:rsidRDefault="00493691" w:rsidP="00D66738">
      <w:pPr>
        <w:jc w:val="both"/>
      </w:pPr>
      <w:r w:rsidRPr="00F209B7">
        <w:t xml:space="preserve">The main benefit for </w:t>
      </w:r>
      <w:r w:rsidR="007C59D1">
        <w:t>small businesses</w:t>
      </w:r>
      <w:r w:rsidRPr="00F209B7">
        <w:t xml:space="preserve"> from the procurement legislation are that </w:t>
      </w:r>
      <w:r w:rsidR="007C59D1">
        <w:t>small businesses</w:t>
      </w:r>
      <w:r w:rsidRPr="00F209B7">
        <w:t xml:space="preserve">, especially if black owned, should gain through greater demand due to preferential procurement points. </w:t>
      </w:r>
    </w:p>
    <w:p w14:paraId="685A666A" w14:textId="77777777" w:rsidR="00493691" w:rsidRPr="00F209B7" w:rsidRDefault="00493691" w:rsidP="00D66738">
      <w:pPr>
        <w:jc w:val="both"/>
      </w:pPr>
      <w:r w:rsidRPr="00F209B7">
        <w:t>The costs include:</w:t>
      </w:r>
    </w:p>
    <w:p w14:paraId="6F17CC5E" w14:textId="77777777" w:rsidR="00493691" w:rsidRPr="00F209B7" w:rsidRDefault="00493691" w:rsidP="00D66738">
      <w:pPr>
        <w:pStyle w:val="ListParagraph"/>
        <w:numPr>
          <w:ilvl w:val="0"/>
          <w:numId w:val="54"/>
        </w:numPr>
        <w:jc w:val="both"/>
      </w:pPr>
      <w:r w:rsidRPr="00F209B7">
        <w:t xml:space="preserve">To succeed in tendering, companies have to pay taxes, accept audits, and manage complex administrative procedures. In the end, they may experience delays in payments or even end up going without. </w:t>
      </w:r>
    </w:p>
    <w:p w14:paraId="7F082682" w14:textId="77777777" w:rsidR="00493691" w:rsidRPr="00F209B7" w:rsidRDefault="00493691" w:rsidP="00D66738">
      <w:pPr>
        <w:pStyle w:val="ListParagraph"/>
        <w:numPr>
          <w:ilvl w:val="0"/>
          <w:numId w:val="54"/>
        </w:numPr>
        <w:jc w:val="both"/>
      </w:pPr>
      <w:r w:rsidRPr="00F209B7">
        <w:t xml:space="preserve">The law does not require that state agencies include size in the preferential points. In practice, many departments focus on ownership rather than the size of suppliers or local value add. In these circumstances, white-owned small businesses in particular may not benefit from preferential procurement rules. </w:t>
      </w:r>
    </w:p>
    <w:p w14:paraId="76BA4CDF" w14:textId="77777777" w:rsidR="00040675" w:rsidRDefault="00040675" w:rsidP="00D66738">
      <w:pPr>
        <w:jc w:val="both"/>
      </w:pPr>
      <w:r w:rsidRPr="00F209B7">
        <w:lastRenderedPageBreak/>
        <w:t xml:space="preserve">Tenders may be too large for smaller producers, or include criteria that new suppliers cannot meet. The rules do not mandate departments to design tenders pro-actively to reduce barriers to entry for smaller suppliers. Steps to that end could include, for instance, breaking tenders up into smaller components; minimising unnecessary quality criteria (for instance, design details that are not functional but effectively favour existing suppliers); and ensuring early deliverables to reduce cash flow problems. </w:t>
      </w:r>
    </w:p>
    <w:p w14:paraId="64240CC2" w14:textId="05EFF285" w:rsidR="00040675" w:rsidRPr="00F209B7" w:rsidRDefault="005B787E" w:rsidP="00D66738">
      <w:pPr>
        <w:jc w:val="both"/>
      </w:pPr>
      <w:r w:rsidRPr="00F209B7">
        <w:t xml:space="preserve">The </w:t>
      </w:r>
      <w:r>
        <w:t xml:space="preserve">available evidence suggests that </w:t>
      </w:r>
      <w:r w:rsidRPr="00F209B7">
        <w:t>t</w:t>
      </w:r>
      <w:r>
        <w:t xml:space="preserve">he number of tenders appropriate for small and micro enterprise is very small relative to the pool of eligible business. The National Treasury does not track figures for tenders by size. For this reason, the finalised gazetted tenders for the Gauteng Department of Public Works from 2013 to 2015 were analysed. They </w:t>
      </w:r>
      <w:r w:rsidR="00040675" w:rsidRPr="00F209B7">
        <w:t>showed that</w:t>
      </w:r>
      <w:r w:rsidR="003C6473">
        <w:t>:</w:t>
      </w:r>
    </w:p>
    <w:p w14:paraId="560A5128" w14:textId="0333F2A1" w:rsidR="00040675" w:rsidRPr="00F209B7" w:rsidRDefault="004B3335" w:rsidP="00D66738">
      <w:pPr>
        <w:pStyle w:val="ListParagraph"/>
        <w:numPr>
          <w:ilvl w:val="0"/>
          <w:numId w:val="55"/>
        </w:numPr>
        <w:jc w:val="both"/>
      </w:pPr>
      <w:r>
        <w:t xml:space="preserve">In 2015, 107 tenders were awarded, valued at R3,6 billion. </w:t>
      </w:r>
    </w:p>
    <w:p w14:paraId="64D84DD6" w14:textId="2F25347A" w:rsidR="00040675" w:rsidRDefault="004B3335" w:rsidP="00D66738">
      <w:pPr>
        <w:pStyle w:val="ListParagraph"/>
        <w:numPr>
          <w:ilvl w:val="0"/>
          <w:numId w:val="55"/>
        </w:numPr>
        <w:jc w:val="both"/>
      </w:pPr>
      <w:r>
        <w:t xml:space="preserve">36 tenders were valued at under R6,5 million, which means small construction companies would have been eligible to bid. These tenders taken together were however worth only R108 million, or 3% of the total. </w:t>
      </w:r>
    </w:p>
    <w:p w14:paraId="1B232A94" w14:textId="3A316581" w:rsidR="004B3335" w:rsidRDefault="008A44A6" w:rsidP="00D66738">
      <w:pPr>
        <w:pStyle w:val="ListParagraph"/>
        <w:numPr>
          <w:ilvl w:val="0"/>
          <w:numId w:val="55"/>
        </w:numPr>
        <w:jc w:val="both"/>
      </w:pPr>
      <w:r>
        <w:t>From</w:t>
      </w:r>
      <w:r w:rsidR="004B3335">
        <w:t xml:space="preserve"> 2013 to 2015, the share of small business in the Departments’ finalised tenders had fallen from 10% by value and </w:t>
      </w:r>
      <w:r w:rsidR="00CD07DF">
        <w:t xml:space="preserve">had dropped from </w:t>
      </w:r>
      <w:r w:rsidR="004B3335">
        <w:t xml:space="preserve">half of the total tenders. </w:t>
      </w:r>
    </w:p>
    <w:p w14:paraId="37BF3F51" w14:textId="4DD078B5" w:rsidR="005B787E" w:rsidRDefault="006B2096" w:rsidP="00D66738">
      <w:pPr>
        <w:pStyle w:val="Caption"/>
        <w:jc w:val="both"/>
      </w:pPr>
      <w:bookmarkStart w:id="836" w:name="_Toc479940979"/>
      <w:r w:rsidRPr="00F209B7">
        <w:t xml:space="preserve">Table </w:t>
      </w:r>
      <w:fldSimple w:instr=" SEQ Table \* ARABIC ">
        <w:r w:rsidR="005062E7">
          <w:rPr>
            <w:noProof/>
          </w:rPr>
          <w:t>22</w:t>
        </w:r>
      </w:fldSimple>
      <w:r>
        <w:rPr>
          <w:noProof/>
        </w:rPr>
        <w:t>.</w:t>
      </w:r>
      <w:r w:rsidRPr="00F209B7">
        <w:t xml:space="preserve"> </w:t>
      </w:r>
      <w:r w:rsidR="005B787E">
        <w:t>Gauteng Public Works finalised tenders by size, 2013 to 2015</w:t>
      </w:r>
      <w:bookmarkEnd w:id="836"/>
    </w:p>
    <w:tbl>
      <w:tblPr>
        <w:tblStyle w:val="GridTable41"/>
        <w:tblW w:w="5000" w:type="pct"/>
        <w:tblLook w:val="0600" w:firstRow="0" w:lastRow="0" w:firstColumn="0" w:lastColumn="0" w:noHBand="1" w:noVBand="1"/>
      </w:tblPr>
      <w:tblGrid>
        <w:gridCol w:w="1914"/>
        <w:gridCol w:w="1519"/>
        <w:gridCol w:w="2110"/>
        <w:gridCol w:w="1746"/>
        <w:gridCol w:w="1953"/>
      </w:tblGrid>
      <w:tr w:rsidR="005B787E" w:rsidRPr="005B787E" w14:paraId="576EBD95" w14:textId="77777777" w:rsidTr="006B2096">
        <w:tc>
          <w:tcPr>
            <w:tcW w:w="1212" w:type="pct"/>
            <w:noWrap/>
            <w:hideMark/>
          </w:tcPr>
          <w:p w14:paraId="28481944" w14:textId="3076DBB1" w:rsidR="005B787E" w:rsidRPr="005B787E" w:rsidRDefault="005B787E" w:rsidP="00D66738">
            <w:pPr>
              <w:spacing w:before="0"/>
              <w:jc w:val="both"/>
              <w:rPr>
                <w:rFonts w:ascii="Calibri" w:eastAsia="Times New Roman" w:hAnsi="Calibri" w:cs="Times New Roman"/>
                <w:b/>
                <w:color w:val="000000"/>
                <w:sz w:val="22"/>
                <w:lang w:eastAsia="en-ZA"/>
              </w:rPr>
            </w:pPr>
            <w:r>
              <w:rPr>
                <w:rFonts w:ascii="Calibri" w:eastAsia="Times New Roman" w:hAnsi="Calibri" w:cs="Times New Roman"/>
                <w:b/>
                <w:color w:val="000000"/>
                <w:sz w:val="22"/>
                <w:lang w:eastAsia="en-ZA"/>
              </w:rPr>
              <w:t>Year</w:t>
            </w:r>
          </w:p>
        </w:tc>
        <w:tc>
          <w:tcPr>
            <w:tcW w:w="966" w:type="pct"/>
            <w:noWrap/>
            <w:hideMark/>
          </w:tcPr>
          <w:p w14:paraId="70FDFB80" w14:textId="5EC11606" w:rsidR="005B787E" w:rsidRPr="005B787E" w:rsidRDefault="005B787E" w:rsidP="00D66738">
            <w:pPr>
              <w:spacing w:before="0"/>
              <w:jc w:val="both"/>
              <w:rPr>
                <w:rFonts w:ascii="Calibri" w:eastAsia="Times New Roman" w:hAnsi="Calibri" w:cs="Times New Roman"/>
                <w:b/>
                <w:color w:val="000000"/>
                <w:sz w:val="22"/>
                <w:lang w:eastAsia="en-ZA"/>
              </w:rPr>
            </w:pPr>
            <w:r w:rsidRPr="005B787E">
              <w:rPr>
                <w:rFonts w:ascii="Calibri" w:eastAsia="Times New Roman" w:hAnsi="Calibri" w:cs="Times New Roman"/>
                <w:b/>
                <w:color w:val="000000"/>
                <w:sz w:val="22"/>
                <w:lang w:eastAsia="en-ZA"/>
              </w:rPr>
              <w:t>Share of value</w:t>
            </w:r>
          </w:p>
        </w:tc>
        <w:tc>
          <w:tcPr>
            <w:tcW w:w="1350" w:type="pct"/>
            <w:noWrap/>
            <w:hideMark/>
          </w:tcPr>
          <w:p w14:paraId="5AA6475F" w14:textId="122F3BFD" w:rsidR="005B787E" w:rsidRPr="005B787E" w:rsidRDefault="005B787E" w:rsidP="00D66738">
            <w:pPr>
              <w:spacing w:before="0"/>
              <w:jc w:val="both"/>
              <w:rPr>
                <w:rFonts w:ascii="Calibri" w:eastAsia="Times New Roman" w:hAnsi="Calibri" w:cs="Times New Roman"/>
                <w:b/>
                <w:color w:val="000000"/>
                <w:sz w:val="22"/>
                <w:lang w:eastAsia="en-ZA"/>
              </w:rPr>
            </w:pPr>
            <w:r>
              <w:rPr>
                <w:rFonts w:ascii="Calibri" w:eastAsia="Times New Roman" w:hAnsi="Calibri" w:cs="Times New Roman"/>
                <w:b/>
                <w:color w:val="000000"/>
                <w:sz w:val="22"/>
                <w:lang w:eastAsia="en-ZA"/>
              </w:rPr>
              <w:t>Value</w:t>
            </w:r>
          </w:p>
        </w:tc>
        <w:tc>
          <w:tcPr>
            <w:tcW w:w="736" w:type="pct"/>
            <w:noWrap/>
            <w:hideMark/>
          </w:tcPr>
          <w:p w14:paraId="380CFAAD" w14:textId="77777777" w:rsidR="005B787E" w:rsidRPr="005B787E" w:rsidRDefault="005B787E" w:rsidP="00D66738">
            <w:pPr>
              <w:spacing w:before="0"/>
              <w:jc w:val="both"/>
              <w:rPr>
                <w:rFonts w:ascii="Calibri" w:eastAsia="Times New Roman" w:hAnsi="Calibri" w:cs="Times New Roman"/>
                <w:b/>
                <w:color w:val="000000"/>
                <w:sz w:val="22"/>
                <w:lang w:eastAsia="en-ZA"/>
              </w:rPr>
            </w:pPr>
            <w:r w:rsidRPr="005B787E">
              <w:rPr>
                <w:rFonts w:ascii="Calibri" w:eastAsia="Times New Roman" w:hAnsi="Calibri" w:cs="Times New Roman"/>
                <w:b/>
                <w:color w:val="000000"/>
                <w:sz w:val="22"/>
                <w:lang w:eastAsia="en-ZA"/>
              </w:rPr>
              <w:t>Share of number</w:t>
            </w:r>
          </w:p>
        </w:tc>
        <w:tc>
          <w:tcPr>
            <w:tcW w:w="736" w:type="pct"/>
            <w:noWrap/>
            <w:hideMark/>
          </w:tcPr>
          <w:p w14:paraId="64F99FA7" w14:textId="77777777" w:rsidR="005B787E" w:rsidRPr="005B787E" w:rsidRDefault="005B787E" w:rsidP="00D66738">
            <w:pPr>
              <w:spacing w:before="0"/>
              <w:jc w:val="both"/>
              <w:rPr>
                <w:rFonts w:ascii="Calibri" w:eastAsia="Times New Roman" w:hAnsi="Calibri" w:cs="Times New Roman"/>
                <w:b/>
                <w:color w:val="000000"/>
                <w:sz w:val="22"/>
                <w:lang w:eastAsia="en-ZA"/>
              </w:rPr>
            </w:pPr>
            <w:r w:rsidRPr="005B787E">
              <w:rPr>
                <w:rFonts w:ascii="Calibri" w:eastAsia="Times New Roman" w:hAnsi="Calibri" w:cs="Times New Roman"/>
                <w:b/>
                <w:color w:val="000000"/>
                <w:sz w:val="22"/>
                <w:lang w:eastAsia="en-ZA"/>
              </w:rPr>
              <w:t>Number of tenders</w:t>
            </w:r>
          </w:p>
        </w:tc>
      </w:tr>
      <w:tr w:rsidR="005B787E" w:rsidRPr="005B787E" w14:paraId="7539D5B0" w14:textId="77777777" w:rsidTr="006B2096">
        <w:tc>
          <w:tcPr>
            <w:tcW w:w="1212" w:type="pct"/>
            <w:noWrap/>
            <w:hideMark/>
          </w:tcPr>
          <w:p w14:paraId="4E6BD6E4"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2013</w:t>
            </w:r>
          </w:p>
        </w:tc>
        <w:tc>
          <w:tcPr>
            <w:tcW w:w="966" w:type="pct"/>
            <w:noWrap/>
            <w:hideMark/>
          </w:tcPr>
          <w:p w14:paraId="1A1FD9E6"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10%</w:t>
            </w:r>
          </w:p>
        </w:tc>
        <w:tc>
          <w:tcPr>
            <w:tcW w:w="1350" w:type="pct"/>
            <w:noWrap/>
            <w:hideMark/>
          </w:tcPr>
          <w:p w14:paraId="52F703B3" w14:textId="4BF8AA13" w:rsidR="005B787E" w:rsidRPr="005B787E" w:rsidRDefault="005B787E" w:rsidP="00D66738">
            <w:pPr>
              <w:spacing w:before="0"/>
              <w:jc w:val="both"/>
              <w:rPr>
                <w:rFonts w:ascii="Calibri" w:eastAsia="Times New Roman" w:hAnsi="Calibri" w:cs="Times New Roman"/>
                <w:color w:val="000000"/>
                <w:sz w:val="22"/>
                <w:lang w:eastAsia="en-ZA"/>
              </w:rPr>
            </w:pPr>
            <w:r>
              <w:rPr>
                <w:rFonts w:ascii="Calibri" w:eastAsia="Times New Roman" w:hAnsi="Calibri" w:cs="Times New Roman"/>
                <w:color w:val="000000"/>
                <w:sz w:val="22"/>
                <w:lang w:eastAsia="en-ZA"/>
              </w:rPr>
              <w:t>R</w:t>
            </w:r>
            <w:r w:rsidRPr="005B787E">
              <w:rPr>
                <w:rFonts w:ascii="Calibri" w:eastAsia="Times New Roman" w:hAnsi="Calibri" w:cs="Times New Roman"/>
                <w:color w:val="000000"/>
                <w:sz w:val="22"/>
                <w:lang w:eastAsia="en-ZA"/>
              </w:rPr>
              <w:t>132</w:t>
            </w:r>
            <w:r>
              <w:rPr>
                <w:rFonts w:ascii="Calibri" w:eastAsia="Times New Roman" w:hAnsi="Calibri" w:cs="Times New Roman"/>
                <w:color w:val="000000"/>
                <w:sz w:val="22"/>
                <w:lang w:eastAsia="en-ZA"/>
              </w:rPr>
              <w:t xml:space="preserve"> </w:t>
            </w:r>
            <w:proofErr w:type="spellStart"/>
            <w:r>
              <w:rPr>
                <w:rFonts w:ascii="Calibri" w:eastAsia="Times New Roman" w:hAnsi="Calibri" w:cs="Times New Roman"/>
                <w:color w:val="000000"/>
                <w:sz w:val="22"/>
                <w:lang w:eastAsia="en-ZA"/>
              </w:rPr>
              <w:t>mn</w:t>
            </w:r>
            <w:proofErr w:type="spellEnd"/>
          </w:p>
        </w:tc>
        <w:tc>
          <w:tcPr>
            <w:tcW w:w="736" w:type="pct"/>
            <w:noWrap/>
            <w:hideMark/>
          </w:tcPr>
          <w:p w14:paraId="6955DE3D"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51%</w:t>
            </w:r>
          </w:p>
        </w:tc>
        <w:tc>
          <w:tcPr>
            <w:tcW w:w="736" w:type="pct"/>
            <w:noWrap/>
            <w:hideMark/>
          </w:tcPr>
          <w:p w14:paraId="1E3BBFCD"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 xml:space="preserve">              50 </w:t>
            </w:r>
          </w:p>
        </w:tc>
      </w:tr>
      <w:tr w:rsidR="005B787E" w:rsidRPr="005B787E" w14:paraId="04283BE2" w14:textId="77777777" w:rsidTr="006B2096">
        <w:tc>
          <w:tcPr>
            <w:tcW w:w="1212" w:type="pct"/>
            <w:noWrap/>
            <w:hideMark/>
          </w:tcPr>
          <w:p w14:paraId="46C7C64F"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2014</w:t>
            </w:r>
          </w:p>
        </w:tc>
        <w:tc>
          <w:tcPr>
            <w:tcW w:w="966" w:type="pct"/>
            <w:noWrap/>
            <w:hideMark/>
          </w:tcPr>
          <w:p w14:paraId="790FAAD3"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5%</w:t>
            </w:r>
          </w:p>
        </w:tc>
        <w:tc>
          <w:tcPr>
            <w:tcW w:w="1350" w:type="pct"/>
            <w:noWrap/>
            <w:hideMark/>
          </w:tcPr>
          <w:p w14:paraId="69195098" w14:textId="35626DB5" w:rsidR="005B787E" w:rsidRPr="005B787E" w:rsidRDefault="005B787E" w:rsidP="00D66738">
            <w:pPr>
              <w:spacing w:before="0"/>
              <w:jc w:val="both"/>
              <w:rPr>
                <w:rFonts w:ascii="Calibri" w:eastAsia="Times New Roman" w:hAnsi="Calibri" w:cs="Times New Roman"/>
                <w:color w:val="000000"/>
                <w:sz w:val="22"/>
                <w:lang w:eastAsia="en-ZA"/>
              </w:rPr>
            </w:pPr>
            <w:r>
              <w:rPr>
                <w:rFonts w:ascii="Calibri" w:eastAsia="Times New Roman" w:hAnsi="Calibri" w:cs="Times New Roman"/>
                <w:color w:val="000000"/>
                <w:sz w:val="22"/>
                <w:lang w:eastAsia="en-ZA"/>
              </w:rPr>
              <w:t xml:space="preserve">R122 </w:t>
            </w:r>
            <w:proofErr w:type="spellStart"/>
            <w:r>
              <w:rPr>
                <w:rFonts w:ascii="Calibri" w:eastAsia="Times New Roman" w:hAnsi="Calibri" w:cs="Times New Roman"/>
                <w:color w:val="000000"/>
                <w:sz w:val="22"/>
                <w:lang w:eastAsia="en-ZA"/>
              </w:rPr>
              <w:t>mn</w:t>
            </w:r>
            <w:proofErr w:type="spellEnd"/>
          </w:p>
        </w:tc>
        <w:tc>
          <w:tcPr>
            <w:tcW w:w="736" w:type="pct"/>
            <w:noWrap/>
            <w:hideMark/>
          </w:tcPr>
          <w:p w14:paraId="0B35BF4C"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36%</w:t>
            </w:r>
          </w:p>
        </w:tc>
        <w:tc>
          <w:tcPr>
            <w:tcW w:w="736" w:type="pct"/>
            <w:noWrap/>
            <w:hideMark/>
          </w:tcPr>
          <w:p w14:paraId="27F8858D"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 xml:space="preserve">              34 </w:t>
            </w:r>
          </w:p>
        </w:tc>
      </w:tr>
      <w:tr w:rsidR="005B787E" w:rsidRPr="005B787E" w14:paraId="3C5D5472" w14:textId="77777777" w:rsidTr="006B2096">
        <w:tc>
          <w:tcPr>
            <w:tcW w:w="1212" w:type="pct"/>
            <w:noWrap/>
            <w:hideMark/>
          </w:tcPr>
          <w:p w14:paraId="168DEF6C"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2015</w:t>
            </w:r>
          </w:p>
        </w:tc>
        <w:tc>
          <w:tcPr>
            <w:tcW w:w="966" w:type="pct"/>
            <w:noWrap/>
            <w:hideMark/>
          </w:tcPr>
          <w:p w14:paraId="5E26BD0D"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3%</w:t>
            </w:r>
          </w:p>
        </w:tc>
        <w:tc>
          <w:tcPr>
            <w:tcW w:w="1350" w:type="pct"/>
            <w:noWrap/>
            <w:hideMark/>
          </w:tcPr>
          <w:p w14:paraId="0F2F8C1E" w14:textId="1DA18959" w:rsidR="005B787E" w:rsidRPr="005B787E" w:rsidRDefault="005B787E" w:rsidP="00D66738">
            <w:pPr>
              <w:spacing w:before="0"/>
              <w:jc w:val="both"/>
              <w:rPr>
                <w:rFonts w:ascii="Calibri" w:eastAsia="Times New Roman" w:hAnsi="Calibri" w:cs="Times New Roman"/>
                <w:color w:val="000000"/>
                <w:sz w:val="22"/>
                <w:lang w:eastAsia="en-ZA"/>
              </w:rPr>
            </w:pPr>
            <w:r>
              <w:rPr>
                <w:rFonts w:ascii="Calibri" w:eastAsia="Times New Roman" w:hAnsi="Calibri" w:cs="Times New Roman"/>
                <w:color w:val="000000"/>
                <w:sz w:val="22"/>
                <w:lang w:eastAsia="en-ZA"/>
              </w:rPr>
              <w:t xml:space="preserve">R108 </w:t>
            </w:r>
            <w:proofErr w:type="spellStart"/>
            <w:r>
              <w:rPr>
                <w:rFonts w:ascii="Calibri" w:eastAsia="Times New Roman" w:hAnsi="Calibri" w:cs="Times New Roman"/>
                <w:color w:val="000000"/>
                <w:sz w:val="22"/>
                <w:lang w:eastAsia="en-ZA"/>
              </w:rPr>
              <w:t>mn</w:t>
            </w:r>
            <w:proofErr w:type="spellEnd"/>
          </w:p>
        </w:tc>
        <w:tc>
          <w:tcPr>
            <w:tcW w:w="736" w:type="pct"/>
            <w:noWrap/>
            <w:hideMark/>
          </w:tcPr>
          <w:p w14:paraId="2E1F200F"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34%</w:t>
            </w:r>
          </w:p>
        </w:tc>
        <w:tc>
          <w:tcPr>
            <w:tcW w:w="736" w:type="pct"/>
            <w:noWrap/>
            <w:hideMark/>
          </w:tcPr>
          <w:p w14:paraId="7B1DAC06" w14:textId="77777777" w:rsidR="005B787E" w:rsidRPr="005B787E" w:rsidRDefault="005B787E" w:rsidP="00D66738">
            <w:pPr>
              <w:spacing w:before="0"/>
              <w:jc w:val="both"/>
              <w:rPr>
                <w:rFonts w:ascii="Calibri" w:eastAsia="Times New Roman" w:hAnsi="Calibri" w:cs="Times New Roman"/>
                <w:color w:val="000000"/>
                <w:sz w:val="22"/>
                <w:lang w:eastAsia="en-ZA"/>
              </w:rPr>
            </w:pPr>
            <w:r w:rsidRPr="005B787E">
              <w:rPr>
                <w:rFonts w:ascii="Calibri" w:eastAsia="Times New Roman" w:hAnsi="Calibri" w:cs="Times New Roman"/>
                <w:color w:val="000000"/>
                <w:sz w:val="22"/>
                <w:lang w:eastAsia="en-ZA"/>
              </w:rPr>
              <w:t xml:space="preserve">              36 </w:t>
            </w:r>
          </w:p>
        </w:tc>
      </w:tr>
    </w:tbl>
    <w:p w14:paraId="7FCAA55A" w14:textId="404C08D8" w:rsidR="005B787E" w:rsidRPr="005B787E" w:rsidRDefault="005B787E" w:rsidP="00D66738">
      <w:pPr>
        <w:pStyle w:val="source"/>
        <w:jc w:val="both"/>
      </w:pPr>
      <w:r>
        <w:rPr>
          <w:i/>
        </w:rPr>
        <w:t xml:space="preserve">Source: </w:t>
      </w:r>
      <w:r>
        <w:t>Gazetted tenders by Gauteng Public Works.</w:t>
      </w:r>
    </w:p>
    <w:p w14:paraId="58F929B9" w14:textId="6256236A" w:rsidR="009A1654" w:rsidRPr="00CD07DF" w:rsidRDefault="009052F7" w:rsidP="00D66738">
      <w:pPr>
        <w:jc w:val="both"/>
      </w:pPr>
      <w:r>
        <w:t xml:space="preserve">In Gauteng in 2015, using the CIDB ranking (which is discussed in more detail in section </w:t>
      </w:r>
      <w:r>
        <w:fldChar w:fldCharType="begin"/>
      </w:r>
      <w:r>
        <w:instrText xml:space="preserve"> REF _Ref479939152 \r \h </w:instrText>
      </w:r>
      <w:r w:rsidR="00D66738">
        <w:instrText xml:space="preserve"> \* MERGEFORMAT </w:instrText>
      </w:r>
      <w:r>
        <w:fldChar w:fldCharType="separate"/>
      </w:r>
      <w:r w:rsidR="005062E7">
        <w:t>7</w:t>
      </w:r>
      <w:r>
        <w:fldChar w:fldCharType="end"/>
      </w:r>
      <w:r>
        <w:t>) there were around 2000 companies eligible to tender for construction contracts larger than R650 000 but smaller than R6,5 million. By extension,</w:t>
      </w:r>
      <w:r w:rsidR="00CD07DF">
        <w:t xml:space="preserve"> for every tender valued at under R6,5 million issued by the Gauteng Department of Public Works, there would be:</w:t>
      </w:r>
      <w:r w:rsidR="009A1654" w:rsidRPr="00CD07DF">
        <w:t xml:space="preserve"> </w:t>
      </w:r>
    </w:p>
    <w:p w14:paraId="69C27B31" w14:textId="7814A5D3" w:rsidR="009A1654" w:rsidRPr="00CD07DF" w:rsidRDefault="009A1654" w:rsidP="00D66738">
      <w:pPr>
        <w:pStyle w:val="ListParagraph"/>
        <w:numPr>
          <w:ilvl w:val="0"/>
          <w:numId w:val="86"/>
        </w:numPr>
        <w:jc w:val="both"/>
      </w:pPr>
      <w:r w:rsidRPr="00CD07DF">
        <w:t>61 enterprises per tender</w:t>
      </w:r>
      <w:r w:rsidR="00CD07DF">
        <w:t xml:space="preserve"> in the eligible group, and</w:t>
      </w:r>
    </w:p>
    <w:p w14:paraId="64FCF099" w14:textId="3990F75E" w:rsidR="009A1654" w:rsidRPr="00CD07DF" w:rsidRDefault="00CD07DF" w:rsidP="00D66738">
      <w:pPr>
        <w:pStyle w:val="ListParagraph"/>
        <w:numPr>
          <w:ilvl w:val="0"/>
          <w:numId w:val="86"/>
        </w:numPr>
        <w:jc w:val="both"/>
      </w:pPr>
      <w:r>
        <w:t xml:space="preserve">In value terms, the tenders </w:t>
      </w:r>
      <w:r w:rsidR="009052F7">
        <w:t xml:space="preserve">averaged only </w:t>
      </w:r>
      <w:r w:rsidR="009A1654" w:rsidRPr="00CD07DF">
        <w:t>R50 000 per enterp</w:t>
      </w:r>
      <w:r>
        <w:t xml:space="preserve">rise per year. </w:t>
      </w:r>
    </w:p>
    <w:p w14:paraId="5A95355E" w14:textId="77777777" w:rsidR="00637543" w:rsidRPr="00F209B7" w:rsidRDefault="00637543" w:rsidP="00D66738">
      <w:pPr>
        <w:jc w:val="both"/>
      </w:pPr>
      <w:r w:rsidRPr="00F209B7">
        <w:t xml:space="preserve">Challenges also arose over subcontracting on state tenders. Currently, government does not monitor the treatment of subcontractors. Small business informants argued that they often faced delayed or non-existent payments; demands for delivery beyond the original agreement; and exploitative terms. </w:t>
      </w:r>
    </w:p>
    <w:p w14:paraId="292D3B08" w14:textId="3E7260DD" w:rsidR="00637543" w:rsidRPr="00F209B7" w:rsidRDefault="00637543" w:rsidP="00D66738">
      <w:pPr>
        <w:jc w:val="both"/>
      </w:pPr>
      <w:r w:rsidRPr="00F209B7">
        <w:t>The issue of subcontracting has become more urgent because</w:t>
      </w:r>
      <w:r w:rsidR="00CD07DF">
        <w:t>, as noted above,</w:t>
      </w:r>
      <w:r w:rsidRPr="00F209B7">
        <w:t xml:space="preserve"> Treasury has gazetted a proposal that successful ten</w:t>
      </w:r>
      <w:r w:rsidR="00CD07DF">
        <w:t>derers for any contract over R</w:t>
      </w:r>
      <w:r w:rsidR="00674EF2">
        <w:t>3</w:t>
      </w:r>
      <w:r w:rsidR="00CD07DF">
        <w:t>0</w:t>
      </w:r>
      <w:r w:rsidRPr="00F209B7">
        <w:t xml:space="preserve"> million be required to subcontract a third of it by value. In effect, this proposal would delegate enforcement of preferential procurement and the development of small-scale tenders to larger private enterprise. If the subcontracting relationship is not regulated, however, the benefits to small business could be limited. </w:t>
      </w:r>
    </w:p>
    <w:p w14:paraId="473E5A41" w14:textId="36FFCDE8" w:rsidR="00D8358C" w:rsidRPr="00992714" w:rsidRDefault="003A7341" w:rsidP="00D66738">
      <w:pPr>
        <w:pStyle w:val="Heading2"/>
        <w:numPr>
          <w:ilvl w:val="1"/>
          <w:numId w:val="137"/>
        </w:numPr>
        <w:ind w:left="0" w:firstLine="0"/>
        <w:jc w:val="both"/>
      </w:pPr>
      <w:bookmarkStart w:id="837" w:name="_Toc479843937"/>
      <w:bookmarkStart w:id="838" w:name="_Toc479844561"/>
      <w:bookmarkStart w:id="839" w:name="_Toc479940891"/>
      <w:bookmarkEnd w:id="795"/>
      <w:bookmarkEnd w:id="796"/>
      <w:bookmarkEnd w:id="797"/>
      <w:bookmarkEnd w:id="803"/>
      <w:r w:rsidRPr="00992714">
        <w:t>Options</w:t>
      </w:r>
      <w:bookmarkEnd w:id="837"/>
      <w:bookmarkEnd w:id="838"/>
      <w:bookmarkEnd w:id="839"/>
    </w:p>
    <w:p w14:paraId="7C20E854" w14:textId="66AD72A4" w:rsidR="00674EF2" w:rsidRDefault="00674EF2" w:rsidP="00D66738">
      <w:pPr>
        <w:jc w:val="both"/>
      </w:pPr>
      <w:r>
        <w:t xml:space="preserve">We here assess options to address delays in payment; up-front payments; and the regulation of subcontracting. </w:t>
      </w:r>
    </w:p>
    <w:p w14:paraId="207D531F" w14:textId="41410168" w:rsidR="00674EF2" w:rsidRDefault="00674EF2" w:rsidP="00D66738">
      <w:pPr>
        <w:pStyle w:val="Heading3"/>
        <w:numPr>
          <w:ilvl w:val="2"/>
          <w:numId w:val="139"/>
        </w:numPr>
        <w:ind w:left="0" w:firstLine="0"/>
        <w:jc w:val="both"/>
      </w:pPr>
      <w:bookmarkStart w:id="840" w:name="_Toc479843938"/>
      <w:bookmarkStart w:id="841" w:name="_Toc479844562"/>
      <w:bookmarkStart w:id="842" w:name="_Toc479940892"/>
      <w:r>
        <w:lastRenderedPageBreak/>
        <w:t>Payment delays</w:t>
      </w:r>
      <w:bookmarkEnd w:id="840"/>
      <w:bookmarkEnd w:id="841"/>
      <w:bookmarkEnd w:id="842"/>
    </w:p>
    <w:p w14:paraId="7A44ECE5" w14:textId="59808E1B" w:rsidR="00674EF2" w:rsidRDefault="00674EF2" w:rsidP="00D66738">
      <w:pPr>
        <w:jc w:val="both"/>
      </w:pPr>
      <w:r>
        <w:t>Options for addressing payment delays include</w:t>
      </w:r>
      <w:r w:rsidR="00CF67B8">
        <w:t xml:space="preserve"> the following, all of which would apply only to micro and small suppliers</w:t>
      </w:r>
      <w:r>
        <w:t xml:space="preserve">: </w:t>
      </w:r>
    </w:p>
    <w:p w14:paraId="3E586C69" w14:textId="533BDF9D" w:rsidR="00674EF2" w:rsidRPr="00674EF2" w:rsidRDefault="00674EF2" w:rsidP="00D66738">
      <w:pPr>
        <w:pStyle w:val="ListParagraph"/>
        <w:numPr>
          <w:ilvl w:val="0"/>
          <w:numId w:val="87"/>
        </w:numPr>
        <w:jc w:val="both"/>
        <w:rPr>
          <w:lang w:eastAsia="en-ZA"/>
        </w:rPr>
      </w:pPr>
      <w:r>
        <w:rPr>
          <w:lang w:eastAsia="en-ZA"/>
        </w:rPr>
        <w:t>Option 1: Imposition of penalties for l</w:t>
      </w:r>
      <w:r w:rsidRPr="00674EF2">
        <w:rPr>
          <w:lang w:eastAsia="en-ZA"/>
        </w:rPr>
        <w:t>ate payment</w:t>
      </w:r>
      <w:r w:rsidR="00CF67B8">
        <w:rPr>
          <w:lang w:eastAsia="en-ZA"/>
        </w:rPr>
        <w:t xml:space="preserve"> </w:t>
      </w:r>
      <w:r>
        <w:rPr>
          <w:lang w:eastAsia="en-ZA"/>
        </w:rPr>
        <w:t>– for instance</w:t>
      </w:r>
      <w:r w:rsidRPr="00674EF2">
        <w:rPr>
          <w:lang w:eastAsia="en-ZA"/>
        </w:rPr>
        <w:t xml:space="preserve"> </w:t>
      </w:r>
      <w:r>
        <w:rPr>
          <w:lang w:eastAsia="en-ZA"/>
        </w:rPr>
        <w:t>1</w:t>
      </w:r>
      <w:r w:rsidRPr="00674EF2">
        <w:rPr>
          <w:lang w:eastAsia="en-ZA"/>
        </w:rPr>
        <w:t xml:space="preserve">0% of </w:t>
      </w:r>
      <w:r>
        <w:rPr>
          <w:lang w:eastAsia="en-ZA"/>
        </w:rPr>
        <w:t xml:space="preserve">the </w:t>
      </w:r>
      <w:r w:rsidRPr="00674EF2">
        <w:rPr>
          <w:lang w:eastAsia="en-ZA"/>
        </w:rPr>
        <w:t>total invoice</w:t>
      </w:r>
      <w:r>
        <w:rPr>
          <w:lang w:eastAsia="en-ZA"/>
        </w:rPr>
        <w:t xml:space="preserve"> for payments delayed over 60 days without reasonable justification</w:t>
      </w:r>
      <w:r w:rsidRPr="00674EF2">
        <w:rPr>
          <w:lang w:eastAsia="en-ZA"/>
        </w:rPr>
        <w:t>.</w:t>
      </w:r>
    </w:p>
    <w:p w14:paraId="6143C099" w14:textId="249C19E6" w:rsidR="00674EF2" w:rsidRPr="00674EF2" w:rsidRDefault="00674EF2" w:rsidP="00D66738">
      <w:pPr>
        <w:pStyle w:val="ListParagraph"/>
        <w:numPr>
          <w:ilvl w:val="0"/>
          <w:numId w:val="87"/>
        </w:numPr>
        <w:jc w:val="both"/>
        <w:rPr>
          <w:lang w:eastAsia="en-ZA"/>
        </w:rPr>
      </w:pPr>
      <w:r>
        <w:rPr>
          <w:lang w:eastAsia="en-ZA"/>
        </w:rPr>
        <w:t>Option 2: Clarify that the 30-day clock starts with the initial submission of an invoice, not when all disputes are finalised.</w:t>
      </w:r>
    </w:p>
    <w:p w14:paraId="7F40A038" w14:textId="78600BF5" w:rsidR="00674EF2" w:rsidRPr="00674EF2" w:rsidRDefault="00674EF2" w:rsidP="00D66738">
      <w:pPr>
        <w:pStyle w:val="ListParagraph"/>
        <w:numPr>
          <w:ilvl w:val="0"/>
          <w:numId w:val="87"/>
        </w:numPr>
        <w:jc w:val="both"/>
        <w:rPr>
          <w:lang w:eastAsia="en-ZA"/>
        </w:rPr>
      </w:pPr>
      <w:r>
        <w:rPr>
          <w:lang w:eastAsia="en-ZA"/>
        </w:rPr>
        <w:t>Option 3: DSBD</w:t>
      </w:r>
      <w:r w:rsidR="00225F34">
        <w:rPr>
          <w:lang w:eastAsia="en-ZA"/>
        </w:rPr>
        <w:t xml:space="preserve"> works to strengthen DPME unit on 30-day payments, including setting up a hotline</w:t>
      </w:r>
      <w:r w:rsidRPr="00674EF2">
        <w:rPr>
          <w:lang w:eastAsia="en-ZA"/>
        </w:rPr>
        <w:t>.</w:t>
      </w:r>
    </w:p>
    <w:p w14:paraId="68CDD3B6" w14:textId="1116325F" w:rsidR="00D8358C" w:rsidRPr="00F209B7" w:rsidRDefault="00040675" w:rsidP="00D66738">
      <w:pPr>
        <w:pStyle w:val="Caption"/>
        <w:jc w:val="both"/>
      </w:pPr>
      <w:bookmarkStart w:id="843" w:name="_Toc479940980"/>
      <w:r w:rsidRPr="00F209B7">
        <w:t xml:space="preserve">Table </w:t>
      </w:r>
      <w:fldSimple w:instr=" SEQ Table \* ARABIC ">
        <w:r w:rsidR="005062E7">
          <w:rPr>
            <w:noProof/>
          </w:rPr>
          <w:t>23</w:t>
        </w:r>
      </w:fldSimple>
      <w:r w:rsidR="00CD07DF">
        <w:rPr>
          <w:noProof/>
        </w:rPr>
        <w:t>.</w:t>
      </w:r>
      <w:r w:rsidRPr="00F209B7">
        <w:t xml:space="preserve"> </w:t>
      </w:r>
      <w:r w:rsidR="00D8358C" w:rsidRPr="00F209B7">
        <w:t xml:space="preserve">Options for minimising </w:t>
      </w:r>
      <w:r w:rsidR="00674EF2">
        <w:t>delays in payment to small business</w:t>
      </w:r>
      <w:bookmarkEnd w:id="843"/>
    </w:p>
    <w:tbl>
      <w:tblPr>
        <w:tblStyle w:val="TableGrid"/>
        <w:tblW w:w="0" w:type="auto"/>
        <w:tblLook w:val="04A0" w:firstRow="1" w:lastRow="0" w:firstColumn="1" w:lastColumn="0" w:noHBand="0" w:noVBand="1"/>
      </w:tblPr>
      <w:tblGrid>
        <w:gridCol w:w="1526"/>
        <w:gridCol w:w="1984"/>
        <w:gridCol w:w="2308"/>
        <w:gridCol w:w="1712"/>
        <w:gridCol w:w="1712"/>
      </w:tblGrid>
      <w:tr w:rsidR="00CF67B8" w:rsidRPr="00CF67B8" w14:paraId="4A87E102" w14:textId="77777777" w:rsidTr="00612839">
        <w:trPr>
          <w:cantSplit/>
          <w:tblHeader/>
        </w:trPr>
        <w:tc>
          <w:tcPr>
            <w:tcW w:w="1526" w:type="dxa"/>
            <w:vAlign w:val="bottom"/>
          </w:tcPr>
          <w:p w14:paraId="7E9535D5" w14:textId="77777777" w:rsidR="00CF67B8" w:rsidRPr="00CF67B8" w:rsidRDefault="00CF67B8" w:rsidP="00D66738">
            <w:pPr>
              <w:pStyle w:val="charts"/>
              <w:keepNext w:val="0"/>
              <w:jc w:val="both"/>
              <w:rPr>
                <w:b/>
                <w:sz w:val="20"/>
                <w:szCs w:val="20"/>
              </w:rPr>
            </w:pPr>
          </w:p>
        </w:tc>
        <w:tc>
          <w:tcPr>
            <w:tcW w:w="1984" w:type="dxa"/>
            <w:vAlign w:val="bottom"/>
          </w:tcPr>
          <w:p w14:paraId="3D3F1C8C" w14:textId="364796E4" w:rsidR="00CF67B8" w:rsidRPr="00CF67B8" w:rsidRDefault="00CF67B8" w:rsidP="00D66738">
            <w:pPr>
              <w:pStyle w:val="charts"/>
              <w:keepNext w:val="0"/>
              <w:jc w:val="both"/>
              <w:rPr>
                <w:b/>
                <w:sz w:val="20"/>
                <w:szCs w:val="20"/>
              </w:rPr>
            </w:pPr>
            <w:r w:rsidRPr="00CF67B8">
              <w:rPr>
                <w:b/>
                <w:sz w:val="20"/>
                <w:szCs w:val="20"/>
              </w:rPr>
              <w:t>Small business</w:t>
            </w:r>
          </w:p>
        </w:tc>
        <w:tc>
          <w:tcPr>
            <w:tcW w:w="2308" w:type="dxa"/>
            <w:vAlign w:val="bottom"/>
          </w:tcPr>
          <w:p w14:paraId="3936FD8D" w14:textId="10DB5F06" w:rsidR="00CF67B8" w:rsidRPr="00CF67B8" w:rsidRDefault="00CF67B8" w:rsidP="00D66738">
            <w:pPr>
              <w:pStyle w:val="charts"/>
              <w:keepNext w:val="0"/>
              <w:jc w:val="both"/>
              <w:rPr>
                <w:b/>
                <w:sz w:val="20"/>
                <w:szCs w:val="20"/>
              </w:rPr>
            </w:pPr>
            <w:r w:rsidRPr="00CF67B8">
              <w:rPr>
                <w:b/>
                <w:sz w:val="20"/>
                <w:szCs w:val="20"/>
              </w:rPr>
              <w:t>Client department or agency</w:t>
            </w:r>
          </w:p>
        </w:tc>
        <w:tc>
          <w:tcPr>
            <w:tcW w:w="1712" w:type="dxa"/>
            <w:vAlign w:val="bottom"/>
          </w:tcPr>
          <w:p w14:paraId="379EC642" w14:textId="4AD927E5" w:rsidR="00CF67B8" w:rsidRPr="00CF67B8" w:rsidRDefault="00CF67B8" w:rsidP="00D66738">
            <w:pPr>
              <w:pStyle w:val="charts"/>
              <w:keepNext w:val="0"/>
              <w:jc w:val="both"/>
              <w:rPr>
                <w:b/>
                <w:sz w:val="20"/>
                <w:szCs w:val="20"/>
              </w:rPr>
            </w:pPr>
            <w:r w:rsidRPr="00CF67B8">
              <w:rPr>
                <w:b/>
                <w:sz w:val="20"/>
                <w:szCs w:val="20"/>
              </w:rPr>
              <w:t>DSBD/Treasury</w:t>
            </w:r>
          </w:p>
        </w:tc>
        <w:tc>
          <w:tcPr>
            <w:tcW w:w="1712" w:type="dxa"/>
            <w:vAlign w:val="bottom"/>
          </w:tcPr>
          <w:p w14:paraId="0DA9EA22" w14:textId="07DC574F" w:rsidR="00CF67B8" w:rsidRPr="00CF67B8" w:rsidRDefault="00CF67B8" w:rsidP="00D66738">
            <w:pPr>
              <w:pStyle w:val="charts"/>
              <w:keepNext w:val="0"/>
              <w:jc w:val="both"/>
              <w:rPr>
                <w:b/>
                <w:sz w:val="20"/>
                <w:szCs w:val="20"/>
              </w:rPr>
            </w:pPr>
            <w:r w:rsidRPr="00CF67B8">
              <w:rPr>
                <w:b/>
                <w:sz w:val="20"/>
                <w:szCs w:val="20"/>
              </w:rPr>
              <w:t>Other stakeholders</w:t>
            </w:r>
          </w:p>
        </w:tc>
      </w:tr>
      <w:tr w:rsidR="00CF67B8" w:rsidRPr="00CF67B8" w14:paraId="38981A52" w14:textId="77777777" w:rsidTr="00612839">
        <w:trPr>
          <w:cantSplit/>
        </w:trPr>
        <w:tc>
          <w:tcPr>
            <w:tcW w:w="1526" w:type="dxa"/>
          </w:tcPr>
          <w:p w14:paraId="59CFEE94" w14:textId="72EB38D9" w:rsidR="00CF67B8" w:rsidRPr="00CF67B8" w:rsidRDefault="00CF67B8" w:rsidP="00D66738">
            <w:pPr>
              <w:pStyle w:val="charts"/>
              <w:keepNext w:val="0"/>
              <w:spacing w:after="120"/>
              <w:jc w:val="both"/>
              <w:rPr>
                <w:sz w:val="20"/>
                <w:szCs w:val="20"/>
              </w:rPr>
            </w:pPr>
            <w:r w:rsidRPr="00CF67B8">
              <w:rPr>
                <w:sz w:val="20"/>
                <w:szCs w:val="20"/>
                <w:lang w:eastAsia="en-ZA"/>
              </w:rPr>
              <w:t xml:space="preserve">Option 1: Imposition of penalties for late payment </w:t>
            </w:r>
          </w:p>
        </w:tc>
        <w:tc>
          <w:tcPr>
            <w:tcW w:w="1984" w:type="dxa"/>
          </w:tcPr>
          <w:p w14:paraId="2B0E2062" w14:textId="72DB658C" w:rsidR="00CF67B8" w:rsidRPr="00CF67B8" w:rsidRDefault="00CF67B8" w:rsidP="00D66738">
            <w:pPr>
              <w:pStyle w:val="charts"/>
              <w:keepNext w:val="0"/>
              <w:spacing w:after="120"/>
              <w:jc w:val="both"/>
              <w:rPr>
                <w:sz w:val="20"/>
                <w:szCs w:val="20"/>
              </w:rPr>
            </w:pPr>
            <w:r w:rsidRPr="00CF67B8">
              <w:rPr>
                <w:sz w:val="20"/>
                <w:szCs w:val="20"/>
              </w:rPr>
              <w:t>C: None</w:t>
            </w:r>
          </w:p>
          <w:p w14:paraId="146C6CF5" w14:textId="77777777" w:rsidR="00CF67B8" w:rsidRDefault="00CF67B8" w:rsidP="00D66738">
            <w:pPr>
              <w:pStyle w:val="charts"/>
              <w:keepNext w:val="0"/>
              <w:spacing w:after="120"/>
              <w:jc w:val="both"/>
              <w:rPr>
                <w:sz w:val="20"/>
                <w:szCs w:val="20"/>
              </w:rPr>
            </w:pPr>
            <w:r w:rsidRPr="00CF67B8">
              <w:rPr>
                <w:sz w:val="20"/>
                <w:szCs w:val="20"/>
              </w:rPr>
              <w:t>B: Fewer late payments and get an additional payment if payments are still delayed</w:t>
            </w:r>
          </w:p>
          <w:p w14:paraId="19009057" w14:textId="2F79BB48" w:rsidR="00CF67B8" w:rsidRPr="00CF67B8" w:rsidRDefault="00CF67B8" w:rsidP="00D66738">
            <w:pPr>
              <w:pStyle w:val="charts"/>
              <w:keepNext w:val="0"/>
              <w:spacing w:after="120"/>
              <w:jc w:val="both"/>
              <w:rPr>
                <w:sz w:val="20"/>
                <w:szCs w:val="20"/>
              </w:rPr>
            </w:pPr>
            <w:r>
              <w:rPr>
                <w:sz w:val="20"/>
                <w:szCs w:val="20"/>
              </w:rPr>
              <w:t xml:space="preserve">R: Departments pressure small contractors to relinquish claims or delay invoice in order to avoid penalties </w:t>
            </w:r>
          </w:p>
        </w:tc>
        <w:tc>
          <w:tcPr>
            <w:tcW w:w="2308" w:type="dxa"/>
          </w:tcPr>
          <w:p w14:paraId="62FDE6A3" w14:textId="77777777" w:rsidR="00CF67B8" w:rsidRDefault="00CF67B8" w:rsidP="00D66738">
            <w:pPr>
              <w:pStyle w:val="charts"/>
              <w:keepNext w:val="0"/>
              <w:spacing w:after="120"/>
              <w:jc w:val="both"/>
              <w:rPr>
                <w:sz w:val="20"/>
                <w:szCs w:val="20"/>
              </w:rPr>
            </w:pPr>
            <w:r>
              <w:rPr>
                <w:sz w:val="20"/>
                <w:szCs w:val="20"/>
              </w:rPr>
              <w:t>C: Have to pay extra if cannot pay on time – could lead to acceptance of substandard work</w:t>
            </w:r>
          </w:p>
          <w:p w14:paraId="4185EC5B" w14:textId="77777777" w:rsidR="00CF67B8" w:rsidRDefault="00CF67B8" w:rsidP="00D66738">
            <w:pPr>
              <w:pStyle w:val="charts"/>
              <w:keepNext w:val="0"/>
              <w:spacing w:after="120"/>
              <w:jc w:val="both"/>
              <w:rPr>
                <w:sz w:val="20"/>
                <w:szCs w:val="20"/>
              </w:rPr>
            </w:pPr>
            <w:r>
              <w:rPr>
                <w:sz w:val="20"/>
                <w:szCs w:val="20"/>
              </w:rPr>
              <w:t>B: None</w:t>
            </w:r>
          </w:p>
          <w:p w14:paraId="45AE14A6" w14:textId="27405767" w:rsidR="00CF67B8" w:rsidRPr="00CF67B8" w:rsidRDefault="00CF67B8" w:rsidP="00D66738">
            <w:pPr>
              <w:pStyle w:val="charts"/>
              <w:keepNext w:val="0"/>
              <w:spacing w:after="120"/>
              <w:jc w:val="both"/>
              <w:rPr>
                <w:sz w:val="20"/>
                <w:szCs w:val="20"/>
              </w:rPr>
            </w:pPr>
            <w:r>
              <w:rPr>
                <w:sz w:val="20"/>
                <w:szCs w:val="20"/>
              </w:rPr>
              <w:t>R: Small businesses invoice very early, before normal finalisation of work, in order to start the clock in order to pressure clients to accept work</w:t>
            </w:r>
          </w:p>
        </w:tc>
        <w:tc>
          <w:tcPr>
            <w:tcW w:w="1712" w:type="dxa"/>
          </w:tcPr>
          <w:p w14:paraId="0785F2B2" w14:textId="77777777" w:rsidR="00CF67B8" w:rsidRDefault="00CF67B8" w:rsidP="00D66738">
            <w:pPr>
              <w:pStyle w:val="charts"/>
              <w:keepNext w:val="0"/>
              <w:spacing w:after="120"/>
              <w:jc w:val="both"/>
              <w:rPr>
                <w:sz w:val="20"/>
                <w:szCs w:val="20"/>
              </w:rPr>
            </w:pPr>
            <w:r>
              <w:rPr>
                <w:sz w:val="20"/>
                <w:szCs w:val="20"/>
              </w:rPr>
              <w:t>C: Would need to establish a dispute resolution system and criteria for fair and unfair delays</w:t>
            </w:r>
          </w:p>
          <w:p w14:paraId="1E3A79FA" w14:textId="77777777" w:rsidR="00CF67B8" w:rsidRDefault="00CF67B8" w:rsidP="00D66738">
            <w:pPr>
              <w:pStyle w:val="charts"/>
              <w:keepNext w:val="0"/>
              <w:spacing w:after="120"/>
              <w:jc w:val="both"/>
              <w:rPr>
                <w:sz w:val="20"/>
                <w:szCs w:val="20"/>
              </w:rPr>
            </w:pPr>
            <w:r>
              <w:rPr>
                <w:sz w:val="20"/>
                <w:szCs w:val="20"/>
              </w:rPr>
              <w:t>B: More payments on time</w:t>
            </w:r>
          </w:p>
          <w:p w14:paraId="7034A405" w14:textId="0AAA3281" w:rsidR="00CF67B8" w:rsidRPr="00CF67B8" w:rsidRDefault="00CF67B8" w:rsidP="00D66738">
            <w:pPr>
              <w:pStyle w:val="charts"/>
              <w:keepNext w:val="0"/>
              <w:spacing w:after="120"/>
              <w:jc w:val="both"/>
              <w:rPr>
                <w:sz w:val="20"/>
                <w:szCs w:val="20"/>
              </w:rPr>
            </w:pPr>
            <w:r>
              <w:rPr>
                <w:sz w:val="20"/>
                <w:szCs w:val="20"/>
              </w:rPr>
              <w:t xml:space="preserve">R: As with client departments </w:t>
            </w:r>
          </w:p>
        </w:tc>
        <w:tc>
          <w:tcPr>
            <w:tcW w:w="1712" w:type="dxa"/>
          </w:tcPr>
          <w:p w14:paraId="0B24A908" w14:textId="77777777" w:rsidR="00CF67B8" w:rsidRDefault="00CF67B8" w:rsidP="00D66738">
            <w:pPr>
              <w:pStyle w:val="charts"/>
              <w:keepNext w:val="0"/>
              <w:spacing w:after="120"/>
              <w:jc w:val="both"/>
              <w:rPr>
                <w:sz w:val="20"/>
                <w:szCs w:val="20"/>
              </w:rPr>
            </w:pPr>
            <w:r>
              <w:rPr>
                <w:sz w:val="20"/>
                <w:szCs w:val="20"/>
              </w:rPr>
              <w:t>C: Penalties paid to small business reduce funds for other priorities</w:t>
            </w:r>
          </w:p>
          <w:p w14:paraId="6772196B" w14:textId="77777777" w:rsidR="00CF67B8" w:rsidRDefault="00CF67B8" w:rsidP="00D66738">
            <w:pPr>
              <w:pStyle w:val="charts"/>
              <w:keepNext w:val="0"/>
              <w:spacing w:after="120"/>
              <w:jc w:val="both"/>
              <w:rPr>
                <w:sz w:val="20"/>
                <w:szCs w:val="20"/>
              </w:rPr>
            </w:pPr>
            <w:r>
              <w:rPr>
                <w:sz w:val="20"/>
                <w:szCs w:val="20"/>
              </w:rPr>
              <w:t>B: Spillovers from small business growth</w:t>
            </w:r>
          </w:p>
          <w:p w14:paraId="425B033D" w14:textId="411690C6" w:rsidR="00CF67B8" w:rsidRPr="00CF67B8" w:rsidRDefault="00CF67B8" w:rsidP="00D66738">
            <w:pPr>
              <w:pStyle w:val="charts"/>
              <w:keepNext w:val="0"/>
              <w:spacing w:after="120"/>
              <w:jc w:val="both"/>
              <w:rPr>
                <w:sz w:val="20"/>
                <w:szCs w:val="20"/>
              </w:rPr>
            </w:pPr>
            <w:r>
              <w:rPr>
                <w:sz w:val="20"/>
                <w:szCs w:val="20"/>
              </w:rPr>
              <w:t xml:space="preserve">R: As with client departments </w:t>
            </w:r>
          </w:p>
        </w:tc>
      </w:tr>
      <w:tr w:rsidR="00CF67B8" w:rsidRPr="00CF67B8" w14:paraId="4BEFF45D" w14:textId="77777777" w:rsidTr="00612839">
        <w:trPr>
          <w:cantSplit/>
        </w:trPr>
        <w:tc>
          <w:tcPr>
            <w:tcW w:w="1526" w:type="dxa"/>
          </w:tcPr>
          <w:p w14:paraId="3E36897D" w14:textId="4BEA756C" w:rsidR="00CF67B8" w:rsidRPr="00CF67B8" w:rsidRDefault="00CF67B8" w:rsidP="00D66738">
            <w:pPr>
              <w:pStyle w:val="charts"/>
              <w:keepNext w:val="0"/>
              <w:spacing w:after="120"/>
              <w:jc w:val="both"/>
              <w:rPr>
                <w:sz w:val="20"/>
                <w:szCs w:val="20"/>
              </w:rPr>
            </w:pPr>
            <w:r w:rsidRPr="00CF67B8">
              <w:rPr>
                <w:sz w:val="20"/>
                <w:szCs w:val="20"/>
                <w:lang w:eastAsia="en-ZA"/>
              </w:rPr>
              <w:t>Option 2: Clarify that the 30-day clock starts with the initial submission of an invoice</w:t>
            </w:r>
            <w:r w:rsidR="00225F34">
              <w:rPr>
                <w:sz w:val="20"/>
                <w:szCs w:val="20"/>
                <w:lang w:eastAsia="en-ZA"/>
              </w:rPr>
              <w:t>, and acceptable reasons for delay, also with time frames</w:t>
            </w:r>
          </w:p>
        </w:tc>
        <w:tc>
          <w:tcPr>
            <w:tcW w:w="1984" w:type="dxa"/>
          </w:tcPr>
          <w:p w14:paraId="19BCCD14" w14:textId="77777777" w:rsidR="00CF67B8" w:rsidRDefault="00CF67B8" w:rsidP="00D66738">
            <w:pPr>
              <w:pStyle w:val="charts"/>
              <w:keepNext w:val="0"/>
              <w:spacing w:after="120"/>
              <w:jc w:val="both"/>
              <w:rPr>
                <w:sz w:val="20"/>
                <w:szCs w:val="20"/>
              </w:rPr>
            </w:pPr>
            <w:r>
              <w:rPr>
                <w:sz w:val="20"/>
                <w:szCs w:val="20"/>
              </w:rPr>
              <w:t>C: None</w:t>
            </w:r>
          </w:p>
          <w:p w14:paraId="53FDDA3B" w14:textId="1F379317" w:rsidR="00CF67B8" w:rsidRDefault="00CF67B8" w:rsidP="00D66738">
            <w:pPr>
              <w:pStyle w:val="charts"/>
              <w:keepNext w:val="0"/>
              <w:spacing w:after="120"/>
              <w:jc w:val="both"/>
              <w:rPr>
                <w:sz w:val="20"/>
                <w:szCs w:val="20"/>
              </w:rPr>
            </w:pPr>
            <w:r>
              <w:rPr>
                <w:sz w:val="20"/>
                <w:szCs w:val="20"/>
              </w:rPr>
              <w:t>B: Clarity about payment deadlines</w:t>
            </w:r>
            <w:r w:rsidR="00225F34">
              <w:rPr>
                <w:sz w:val="20"/>
                <w:szCs w:val="20"/>
              </w:rPr>
              <w:t xml:space="preserve">  and turnaround times for disputes</w:t>
            </w:r>
          </w:p>
          <w:p w14:paraId="4D45681C" w14:textId="2FC26099" w:rsidR="00CF67B8" w:rsidRPr="00CF67B8" w:rsidRDefault="00CF67B8" w:rsidP="00D66738">
            <w:pPr>
              <w:pStyle w:val="charts"/>
              <w:keepNext w:val="0"/>
              <w:spacing w:after="120"/>
              <w:jc w:val="both"/>
              <w:rPr>
                <w:sz w:val="20"/>
                <w:szCs w:val="20"/>
              </w:rPr>
            </w:pPr>
            <w:r>
              <w:rPr>
                <w:sz w:val="20"/>
                <w:szCs w:val="20"/>
              </w:rPr>
              <w:t>R: May still not be paid on time if disputes arise or contracting is faulty</w:t>
            </w:r>
          </w:p>
        </w:tc>
        <w:tc>
          <w:tcPr>
            <w:tcW w:w="2308" w:type="dxa"/>
          </w:tcPr>
          <w:p w14:paraId="4F00A120" w14:textId="77777777" w:rsidR="00CF67B8" w:rsidRDefault="00CF67B8" w:rsidP="00D66738">
            <w:pPr>
              <w:pStyle w:val="charts"/>
              <w:keepNext w:val="0"/>
              <w:spacing w:after="120"/>
              <w:jc w:val="both"/>
              <w:rPr>
                <w:sz w:val="20"/>
                <w:szCs w:val="20"/>
              </w:rPr>
            </w:pPr>
            <w:r>
              <w:rPr>
                <w:sz w:val="20"/>
                <w:szCs w:val="20"/>
              </w:rPr>
              <w:t>C: Greater pressure to pay on time, which could lead to acceptance of substandard work</w:t>
            </w:r>
          </w:p>
          <w:p w14:paraId="2F6BFDDB" w14:textId="33FAE473" w:rsidR="00CF67B8" w:rsidRDefault="00CF67B8" w:rsidP="00D66738">
            <w:pPr>
              <w:pStyle w:val="charts"/>
              <w:keepNext w:val="0"/>
              <w:spacing w:after="120"/>
              <w:jc w:val="both"/>
              <w:rPr>
                <w:sz w:val="20"/>
                <w:szCs w:val="20"/>
              </w:rPr>
            </w:pPr>
            <w:r>
              <w:rPr>
                <w:sz w:val="20"/>
                <w:szCs w:val="20"/>
              </w:rPr>
              <w:t xml:space="preserve">B: Clarity around </w:t>
            </w:r>
            <w:r w:rsidR="00225F34">
              <w:rPr>
                <w:sz w:val="20"/>
                <w:szCs w:val="20"/>
              </w:rPr>
              <w:t>deadlines</w:t>
            </w:r>
          </w:p>
          <w:p w14:paraId="7AB7E2FE" w14:textId="6D9FC483" w:rsidR="00CF67B8" w:rsidRPr="00CF67B8" w:rsidRDefault="00CF67B8" w:rsidP="00D66738">
            <w:pPr>
              <w:pStyle w:val="charts"/>
              <w:keepNext w:val="0"/>
              <w:spacing w:after="120"/>
              <w:jc w:val="both"/>
              <w:rPr>
                <w:sz w:val="20"/>
                <w:szCs w:val="20"/>
              </w:rPr>
            </w:pPr>
            <w:r>
              <w:rPr>
                <w:sz w:val="20"/>
                <w:szCs w:val="20"/>
              </w:rPr>
              <w:t xml:space="preserve">R: </w:t>
            </w:r>
            <w:r w:rsidR="00225F34">
              <w:rPr>
                <w:sz w:val="20"/>
                <w:szCs w:val="20"/>
              </w:rPr>
              <w:t>More invoices will be paid late because departments abuse the nominally acceptable reasons, e.g. contract and product disputes</w:t>
            </w:r>
          </w:p>
        </w:tc>
        <w:tc>
          <w:tcPr>
            <w:tcW w:w="1712" w:type="dxa"/>
          </w:tcPr>
          <w:p w14:paraId="256695E6" w14:textId="5B7A3439" w:rsidR="00CF67B8" w:rsidRDefault="00CF67B8" w:rsidP="00D66738">
            <w:pPr>
              <w:pStyle w:val="charts"/>
              <w:keepNext w:val="0"/>
              <w:spacing w:after="120"/>
              <w:jc w:val="both"/>
              <w:rPr>
                <w:sz w:val="20"/>
                <w:szCs w:val="20"/>
              </w:rPr>
            </w:pPr>
            <w:r>
              <w:rPr>
                <w:sz w:val="20"/>
                <w:szCs w:val="20"/>
              </w:rPr>
              <w:t>C: Need to review regulation to clarify deadlines and set up dispute resolution system</w:t>
            </w:r>
          </w:p>
          <w:p w14:paraId="56040DF7" w14:textId="77777777" w:rsidR="00CF67B8" w:rsidRDefault="00CF67B8" w:rsidP="00D66738">
            <w:pPr>
              <w:pStyle w:val="charts"/>
              <w:keepNext w:val="0"/>
              <w:spacing w:after="120"/>
              <w:jc w:val="both"/>
              <w:rPr>
                <w:sz w:val="20"/>
                <w:szCs w:val="20"/>
              </w:rPr>
            </w:pPr>
            <w:r>
              <w:rPr>
                <w:sz w:val="20"/>
                <w:szCs w:val="20"/>
              </w:rPr>
              <w:t>B: More timely payments</w:t>
            </w:r>
          </w:p>
          <w:p w14:paraId="472F6C74" w14:textId="52F91338" w:rsidR="00CF67B8" w:rsidRPr="00CF67B8" w:rsidRDefault="00CF67B8" w:rsidP="00D66738">
            <w:pPr>
              <w:pStyle w:val="charts"/>
              <w:keepNext w:val="0"/>
              <w:spacing w:after="120"/>
              <w:jc w:val="both"/>
              <w:rPr>
                <w:sz w:val="20"/>
                <w:szCs w:val="20"/>
              </w:rPr>
            </w:pPr>
            <w:r>
              <w:rPr>
                <w:sz w:val="20"/>
                <w:szCs w:val="20"/>
              </w:rPr>
              <w:t xml:space="preserve">R: As with client departments  </w:t>
            </w:r>
          </w:p>
        </w:tc>
        <w:tc>
          <w:tcPr>
            <w:tcW w:w="1712" w:type="dxa"/>
          </w:tcPr>
          <w:p w14:paraId="4FE0CBBD" w14:textId="145C5F09" w:rsidR="00CF67B8" w:rsidRDefault="00CF67B8" w:rsidP="00D66738">
            <w:pPr>
              <w:pStyle w:val="charts"/>
              <w:keepNext w:val="0"/>
              <w:spacing w:after="120"/>
              <w:jc w:val="both"/>
              <w:rPr>
                <w:sz w:val="20"/>
                <w:szCs w:val="20"/>
              </w:rPr>
            </w:pPr>
            <w:r>
              <w:rPr>
                <w:sz w:val="20"/>
                <w:szCs w:val="20"/>
              </w:rPr>
              <w:t xml:space="preserve">C: </w:t>
            </w:r>
            <w:r w:rsidR="00225F34">
              <w:rPr>
                <w:sz w:val="20"/>
                <w:szCs w:val="20"/>
              </w:rPr>
              <w:t>None</w:t>
            </w:r>
          </w:p>
          <w:p w14:paraId="371E0921" w14:textId="77777777" w:rsidR="00CF67B8" w:rsidRDefault="00CF67B8" w:rsidP="00D66738">
            <w:pPr>
              <w:pStyle w:val="charts"/>
              <w:keepNext w:val="0"/>
              <w:spacing w:after="120"/>
              <w:jc w:val="both"/>
              <w:rPr>
                <w:sz w:val="20"/>
                <w:szCs w:val="20"/>
              </w:rPr>
            </w:pPr>
            <w:r>
              <w:rPr>
                <w:sz w:val="20"/>
                <w:szCs w:val="20"/>
              </w:rPr>
              <w:t>B: Spillovers from small business growth</w:t>
            </w:r>
          </w:p>
          <w:p w14:paraId="7B8C2EE5" w14:textId="15DB2D0F" w:rsidR="00CF67B8" w:rsidRPr="00CF67B8" w:rsidRDefault="00CF67B8" w:rsidP="00D66738">
            <w:pPr>
              <w:pStyle w:val="charts"/>
              <w:keepNext w:val="0"/>
              <w:spacing w:after="120"/>
              <w:jc w:val="both"/>
              <w:rPr>
                <w:sz w:val="20"/>
                <w:szCs w:val="20"/>
              </w:rPr>
            </w:pPr>
            <w:r>
              <w:rPr>
                <w:sz w:val="20"/>
                <w:szCs w:val="20"/>
              </w:rPr>
              <w:t xml:space="preserve">R: </w:t>
            </w:r>
            <w:r w:rsidR="00225F34">
              <w:rPr>
                <w:sz w:val="20"/>
                <w:szCs w:val="20"/>
              </w:rPr>
              <w:t>Risk that departments accept faulty products in order to finalise invoices on time</w:t>
            </w:r>
          </w:p>
        </w:tc>
      </w:tr>
      <w:tr w:rsidR="00CF67B8" w:rsidRPr="00CF67B8" w14:paraId="4CD16EA4" w14:textId="77777777" w:rsidTr="00612839">
        <w:trPr>
          <w:cantSplit/>
        </w:trPr>
        <w:tc>
          <w:tcPr>
            <w:tcW w:w="1526" w:type="dxa"/>
          </w:tcPr>
          <w:p w14:paraId="4F7E6049" w14:textId="7A2CCB28" w:rsidR="00CF67B8" w:rsidRPr="00CF67B8" w:rsidRDefault="00CF67B8" w:rsidP="00D66738">
            <w:pPr>
              <w:pStyle w:val="charts"/>
              <w:keepNext w:val="0"/>
              <w:spacing w:after="120"/>
              <w:jc w:val="both"/>
              <w:rPr>
                <w:sz w:val="20"/>
                <w:szCs w:val="20"/>
              </w:rPr>
            </w:pPr>
            <w:r w:rsidRPr="00CF67B8">
              <w:rPr>
                <w:sz w:val="20"/>
                <w:szCs w:val="20"/>
                <w:lang w:eastAsia="en-ZA"/>
              </w:rPr>
              <w:lastRenderedPageBreak/>
              <w:t>Option 3: Payment delay hotline at DSBD</w:t>
            </w:r>
            <w:r w:rsidR="00225F34">
              <w:rPr>
                <w:sz w:val="20"/>
                <w:szCs w:val="20"/>
                <w:lang w:eastAsia="en-ZA"/>
              </w:rPr>
              <w:t xml:space="preserve"> in cooperation with DPME unit</w:t>
            </w:r>
          </w:p>
        </w:tc>
        <w:tc>
          <w:tcPr>
            <w:tcW w:w="1984" w:type="dxa"/>
          </w:tcPr>
          <w:p w14:paraId="38633EBC" w14:textId="1DEEA10B" w:rsidR="00CF67B8" w:rsidRDefault="00CF67B8" w:rsidP="00D66738">
            <w:pPr>
              <w:pStyle w:val="charts"/>
              <w:keepNext w:val="0"/>
              <w:spacing w:after="120"/>
              <w:jc w:val="both"/>
              <w:rPr>
                <w:sz w:val="20"/>
                <w:szCs w:val="20"/>
              </w:rPr>
            </w:pPr>
            <w:r>
              <w:rPr>
                <w:sz w:val="20"/>
                <w:szCs w:val="20"/>
              </w:rPr>
              <w:t xml:space="preserve">C: </w:t>
            </w:r>
            <w:r w:rsidR="00225F34">
              <w:rPr>
                <w:sz w:val="20"/>
                <w:szCs w:val="20"/>
              </w:rPr>
              <w:t>DSBD diverts resources to hotline rather than other forms of support</w:t>
            </w:r>
          </w:p>
          <w:p w14:paraId="2CED120B" w14:textId="77777777" w:rsidR="00CF67B8" w:rsidRDefault="00CF67B8" w:rsidP="00D66738">
            <w:pPr>
              <w:pStyle w:val="charts"/>
              <w:keepNext w:val="0"/>
              <w:spacing w:after="120"/>
              <w:jc w:val="both"/>
              <w:rPr>
                <w:sz w:val="20"/>
                <w:szCs w:val="20"/>
              </w:rPr>
            </w:pPr>
            <w:r>
              <w:rPr>
                <w:sz w:val="20"/>
                <w:szCs w:val="20"/>
              </w:rPr>
              <w:t>B: Improves appeals and mediation process with clients</w:t>
            </w:r>
          </w:p>
          <w:p w14:paraId="3E40BBD1" w14:textId="4BAAA29C" w:rsidR="00CF67B8" w:rsidRPr="00CF67B8" w:rsidRDefault="00CF67B8" w:rsidP="00D66738">
            <w:pPr>
              <w:pStyle w:val="charts"/>
              <w:keepNext w:val="0"/>
              <w:spacing w:after="120"/>
              <w:jc w:val="both"/>
              <w:rPr>
                <w:sz w:val="20"/>
                <w:szCs w:val="20"/>
              </w:rPr>
            </w:pPr>
            <w:r>
              <w:rPr>
                <w:sz w:val="20"/>
                <w:szCs w:val="20"/>
              </w:rPr>
              <w:t>R: May be afraid to use hotline because clients will refuse to contract them in future</w:t>
            </w:r>
          </w:p>
        </w:tc>
        <w:tc>
          <w:tcPr>
            <w:tcW w:w="2308" w:type="dxa"/>
          </w:tcPr>
          <w:p w14:paraId="6C2D2119" w14:textId="77777777" w:rsidR="00CF67B8" w:rsidRDefault="00CF67B8" w:rsidP="00D66738">
            <w:pPr>
              <w:pStyle w:val="charts"/>
              <w:keepNext w:val="0"/>
              <w:spacing w:after="120"/>
              <w:jc w:val="both"/>
              <w:rPr>
                <w:sz w:val="20"/>
                <w:szCs w:val="20"/>
              </w:rPr>
            </w:pPr>
            <w:r>
              <w:rPr>
                <w:sz w:val="20"/>
                <w:szCs w:val="20"/>
              </w:rPr>
              <w:t>C: May have to pay sooner than would otherwise</w:t>
            </w:r>
          </w:p>
          <w:p w14:paraId="4850DC5C" w14:textId="77777777" w:rsidR="00CF67B8" w:rsidRDefault="00CF67B8" w:rsidP="00D66738">
            <w:pPr>
              <w:pStyle w:val="charts"/>
              <w:keepNext w:val="0"/>
              <w:spacing w:after="120"/>
              <w:jc w:val="both"/>
              <w:rPr>
                <w:sz w:val="20"/>
                <w:szCs w:val="20"/>
              </w:rPr>
            </w:pPr>
            <w:r>
              <w:rPr>
                <w:sz w:val="20"/>
                <w:szCs w:val="20"/>
              </w:rPr>
              <w:t>B: Mediation system to assist in disputes with contractors</w:t>
            </w:r>
          </w:p>
          <w:p w14:paraId="54721EF6" w14:textId="0E7F475F" w:rsidR="00CF67B8" w:rsidRPr="00CF67B8" w:rsidRDefault="00CF67B8" w:rsidP="00D66738">
            <w:pPr>
              <w:pStyle w:val="charts"/>
              <w:keepNext w:val="0"/>
              <w:spacing w:after="120"/>
              <w:jc w:val="both"/>
              <w:rPr>
                <w:sz w:val="20"/>
                <w:szCs w:val="20"/>
              </w:rPr>
            </w:pPr>
            <w:r>
              <w:rPr>
                <w:sz w:val="20"/>
                <w:szCs w:val="20"/>
              </w:rPr>
              <w:t>R</w:t>
            </w:r>
            <w:r w:rsidR="00225F34">
              <w:rPr>
                <w:sz w:val="20"/>
                <w:szCs w:val="20"/>
              </w:rPr>
              <w:t>: Mediation is not handled well, leading to undesirable outcomes</w:t>
            </w:r>
          </w:p>
        </w:tc>
        <w:tc>
          <w:tcPr>
            <w:tcW w:w="1712" w:type="dxa"/>
          </w:tcPr>
          <w:p w14:paraId="61B83EA3" w14:textId="533970E0" w:rsidR="00CF67B8" w:rsidRDefault="00CF67B8" w:rsidP="00D66738">
            <w:pPr>
              <w:pStyle w:val="charts"/>
              <w:keepNext w:val="0"/>
              <w:spacing w:after="120"/>
              <w:jc w:val="both"/>
              <w:rPr>
                <w:sz w:val="20"/>
                <w:szCs w:val="20"/>
              </w:rPr>
            </w:pPr>
            <w:r>
              <w:rPr>
                <w:sz w:val="20"/>
                <w:szCs w:val="20"/>
              </w:rPr>
              <w:t xml:space="preserve">C: DSBD would have to staff hotline </w:t>
            </w:r>
            <w:r w:rsidR="00225F34">
              <w:rPr>
                <w:sz w:val="20"/>
                <w:szCs w:val="20"/>
              </w:rPr>
              <w:t>and allocate capacity to work with DPME unit</w:t>
            </w:r>
          </w:p>
          <w:p w14:paraId="325173FA" w14:textId="77777777" w:rsidR="00CF67B8" w:rsidRDefault="00225F34" w:rsidP="00D66738">
            <w:pPr>
              <w:pStyle w:val="charts"/>
              <w:keepNext w:val="0"/>
              <w:spacing w:after="120"/>
              <w:jc w:val="both"/>
              <w:rPr>
                <w:sz w:val="20"/>
                <w:szCs w:val="20"/>
              </w:rPr>
            </w:pPr>
            <w:r>
              <w:rPr>
                <w:sz w:val="20"/>
                <w:szCs w:val="20"/>
              </w:rPr>
              <w:t>B: More timely payments</w:t>
            </w:r>
          </w:p>
          <w:p w14:paraId="6AD9A185" w14:textId="151D834D" w:rsidR="00225F34" w:rsidRPr="00CF67B8" w:rsidRDefault="00225F34" w:rsidP="00D66738">
            <w:pPr>
              <w:pStyle w:val="charts"/>
              <w:keepNext w:val="0"/>
              <w:spacing w:after="120"/>
              <w:jc w:val="both"/>
              <w:rPr>
                <w:sz w:val="20"/>
                <w:szCs w:val="20"/>
              </w:rPr>
            </w:pPr>
            <w:r>
              <w:rPr>
                <w:sz w:val="20"/>
                <w:szCs w:val="20"/>
              </w:rPr>
              <w:t>R: Annoy either client departments or small businesses</w:t>
            </w:r>
          </w:p>
        </w:tc>
        <w:tc>
          <w:tcPr>
            <w:tcW w:w="1712" w:type="dxa"/>
          </w:tcPr>
          <w:p w14:paraId="5AAC42E6" w14:textId="28912D48" w:rsidR="00CF67B8" w:rsidRDefault="00225F34" w:rsidP="00D66738">
            <w:pPr>
              <w:pStyle w:val="charts"/>
              <w:keepNext w:val="0"/>
              <w:spacing w:after="120"/>
              <w:jc w:val="both"/>
              <w:rPr>
                <w:sz w:val="20"/>
                <w:szCs w:val="20"/>
              </w:rPr>
            </w:pPr>
            <w:r>
              <w:rPr>
                <w:sz w:val="20"/>
                <w:szCs w:val="20"/>
              </w:rPr>
              <w:t>C: Resources used for hotline rather than other purposes</w:t>
            </w:r>
          </w:p>
          <w:p w14:paraId="462A4456" w14:textId="77777777" w:rsidR="00225F34" w:rsidRDefault="00225F34" w:rsidP="00D66738">
            <w:pPr>
              <w:pStyle w:val="charts"/>
              <w:keepNext w:val="0"/>
              <w:spacing w:after="120"/>
              <w:jc w:val="both"/>
              <w:rPr>
                <w:sz w:val="20"/>
                <w:szCs w:val="20"/>
              </w:rPr>
            </w:pPr>
            <w:r>
              <w:rPr>
                <w:sz w:val="20"/>
                <w:szCs w:val="20"/>
              </w:rPr>
              <w:t>B: Spillovers from small business growth</w:t>
            </w:r>
          </w:p>
          <w:p w14:paraId="391A9BA2" w14:textId="3F363361" w:rsidR="00225F34" w:rsidRPr="00CF67B8" w:rsidRDefault="00225F34" w:rsidP="00D66738">
            <w:pPr>
              <w:pStyle w:val="charts"/>
              <w:keepNext w:val="0"/>
              <w:spacing w:after="120"/>
              <w:jc w:val="both"/>
              <w:rPr>
                <w:sz w:val="20"/>
                <w:szCs w:val="20"/>
              </w:rPr>
            </w:pPr>
            <w:r>
              <w:rPr>
                <w:sz w:val="20"/>
                <w:szCs w:val="20"/>
              </w:rPr>
              <w:t>R: Risk that departments accept faulty products in order to finalise invoices on time</w:t>
            </w:r>
          </w:p>
        </w:tc>
      </w:tr>
    </w:tbl>
    <w:p w14:paraId="3AFE593C" w14:textId="75B72BCB" w:rsidR="00CF67B8" w:rsidRDefault="00225F34" w:rsidP="00D66738">
      <w:pPr>
        <w:pStyle w:val="Caption"/>
        <w:jc w:val="both"/>
        <w:rPr>
          <w:b w:val="0"/>
        </w:rPr>
      </w:pPr>
      <w:r w:rsidRPr="000842B9">
        <w:rPr>
          <w:b w:val="0"/>
        </w:rPr>
        <w:t xml:space="preserve">The preferred options are to clarify that the 30-day period starts with the initial submission of an invoice, even if it is faulty, and to set turnaround times for disputes on contracting, paperwork and </w:t>
      </w:r>
      <w:r w:rsidR="008A44A6" w:rsidRPr="000842B9">
        <w:rPr>
          <w:b w:val="0"/>
        </w:rPr>
        <w:t>finalisation</w:t>
      </w:r>
      <w:r w:rsidRPr="000842B9">
        <w:rPr>
          <w:b w:val="0"/>
        </w:rPr>
        <w:t xml:space="preserve"> of products after that date. It would also</w:t>
      </w:r>
      <w:r>
        <w:rPr>
          <w:b w:val="0"/>
        </w:rPr>
        <w:t xml:space="preserve"> be necessary to set a date for when an initial invoice may be submitted – presumably, as a minimum, only after the deliverable has been provided, even if it has not yet been accepted. In effect a timeline would be instituted that could be subject to the audit process:</w:t>
      </w:r>
    </w:p>
    <w:p w14:paraId="1C06C71E" w14:textId="094C5330" w:rsidR="00225F34" w:rsidRDefault="00225F34" w:rsidP="00D66738">
      <w:pPr>
        <w:pStyle w:val="ListParagraph"/>
        <w:numPr>
          <w:ilvl w:val="0"/>
          <w:numId w:val="88"/>
        </w:numPr>
        <w:jc w:val="both"/>
      </w:pPr>
      <w:r>
        <w:t>Submission of deliverable</w:t>
      </w:r>
    </w:p>
    <w:p w14:paraId="78AFBF57" w14:textId="768D37A9" w:rsidR="00225F34" w:rsidRDefault="00225F34" w:rsidP="00D66738">
      <w:pPr>
        <w:pStyle w:val="ListParagraph"/>
        <w:numPr>
          <w:ilvl w:val="0"/>
          <w:numId w:val="88"/>
        </w:numPr>
        <w:jc w:val="both"/>
      </w:pPr>
      <w:r>
        <w:t>Submission of invoice</w:t>
      </w:r>
    </w:p>
    <w:p w14:paraId="501FFF2D" w14:textId="7130D06E" w:rsidR="00225F34" w:rsidRDefault="00225F34" w:rsidP="00D66738">
      <w:pPr>
        <w:pStyle w:val="ListParagraph"/>
        <w:numPr>
          <w:ilvl w:val="0"/>
          <w:numId w:val="88"/>
        </w:numPr>
        <w:jc w:val="both"/>
      </w:pPr>
      <w:r>
        <w:t>Specified turnaround time for approval of deliverable added to 30 days</w:t>
      </w:r>
    </w:p>
    <w:p w14:paraId="6ABD09E0" w14:textId="25B41D1E" w:rsidR="00225F34" w:rsidRDefault="00225F34" w:rsidP="00D66738">
      <w:pPr>
        <w:pStyle w:val="ListParagraph"/>
        <w:numPr>
          <w:ilvl w:val="0"/>
          <w:numId w:val="88"/>
        </w:numPr>
        <w:jc w:val="both"/>
      </w:pPr>
      <w:r>
        <w:t xml:space="preserve">Finalisation of invoice within the timeframe (30 days </w:t>
      </w:r>
      <w:r w:rsidR="008A44A6">
        <w:t>plus</w:t>
      </w:r>
      <w:r>
        <w:t xml:space="preserve"> turnaround time for deliverable), without adding time to the clock unless the contractor sends revised documentation after the deadline</w:t>
      </w:r>
    </w:p>
    <w:p w14:paraId="5B6F5663" w14:textId="22ECD044" w:rsidR="00225F34" w:rsidRDefault="00225F34" w:rsidP="00D66738">
      <w:pPr>
        <w:pStyle w:val="ListParagraph"/>
        <w:numPr>
          <w:ilvl w:val="0"/>
          <w:numId w:val="88"/>
        </w:numPr>
        <w:jc w:val="both"/>
      </w:pPr>
      <w:r>
        <w:t>Additional time added if there is a dispute over acceptance of the deliverable, with additional time added to the clock)</w:t>
      </w:r>
    </w:p>
    <w:p w14:paraId="4D08F45C" w14:textId="69CC6E25" w:rsidR="00225F34" w:rsidRDefault="00225F34" w:rsidP="00D66738">
      <w:pPr>
        <w:pStyle w:val="ListParagraph"/>
        <w:numPr>
          <w:ilvl w:val="0"/>
          <w:numId w:val="88"/>
        </w:numPr>
        <w:jc w:val="both"/>
      </w:pPr>
      <w:r>
        <w:t xml:space="preserve">Payment of invoice within timeframe. </w:t>
      </w:r>
    </w:p>
    <w:p w14:paraId="0DF42216" w14:textId="65604761" w:rsidR="00225F34" w:rsidRPr="00225F34" w:rsidRDefault="00612839" w:rsidP="00D66738">
      <w:pPr>
        <w:jc w:val="both"/>
      </w:pPr>
      <w:r>
        <w:t>A hotline at the DSBD would likely also be of assistance, but it would be important to consult the DPME unit</w:t>
      </w:r>
      <w:r w:rsidR="001F6443">
        <w:t xml:space="preserve"> and the Chief Procurement Officer</w:t>
      </w:r>
      <w:r>
        <w:t xml:space="preserve"> to ensure alignment and avoid duplicating efforts and forum shopping by small businesses.  </w:t>
      </w:r>
    </w:p>
    <w:p w14:paraId="1B8AB9E5" w14:textId="264E864C" w:rsidR="00612839" w:rsidRDefault="00612839" w:rsidP="00D66738">
      <w:pPr>
        <w:pStyle w:val="Heading3"/>
        <w:numPr>
          <w:ilvl w:val="2"/>
          <w:numId w:val="139"/>
        </w:numPr>
        <w:ind w:left="0" w:firstLine="0"/>
        <w:jc w:val="both"/>
      </w:pPr>
      <w:bookmarkStart w:id="844" w:name="_Ref479792267"/>
      <w:bookmarkStart w:id="845" w:name="_Toc479843939"/>
      <w:bookmarkStart w:id="846" w:name="_Toc479844563"/>
      <w:bookmarkStart w:id="847" w:name="_Toc479940893"/>
      <w:r>
        <w:t>Up-front payments</w:t>
      </w:r>
      <w:bookmarkEnd w:id="844"/>
      <w:bookmarkEnd w:id="845"/>
      <w:bookmarkEnd w:id="846"/>
      <w:bookmarkEnd w:id="847"/>
    </w:p>
    <w:p w14:paraId="1DCCAC02" w14:textId="2F170EF3" w:rsidR="00612839" w:rsidRDefault="00612839" w:rsidP="00D66738">
      <w:pPr>
        <w:jc w:val="both"/>
      </w:pPr>
      <w:r>
        <w:t xml:space="preserve">Options for up-front payments include the following, which would apply only to contracts for small business.  </w:t>
      </w:r>
    </w:p>
    <w:p w14:paraId="249B0BE0" w14:textId="5407AEE6" w:rsidR="00612839" w:rsidRDefault="00612839" w:rsidP="00D66738">
      <w:pPr>
        <w:pStyle w:val="ListParagraph"/>
        <w:numPr>
          <w:ilvl w:val="0"/>
          <w:numId w:val="87"/>
        </w:numPr>
        <w:jc w:val="both"/>
        <w:rPr>
          <w:lang w:eastAsia="en-ZA"/>
        </w:rPr>
      </w:pPr>
      <w:r>
        <w:rPr>
          <w:lang w:eastAsia="en-ZA"/>
        </w:rPr>
        <w:t xml:space="preserve">Option 1: </w:t>
      </w:r>
      <w:r w:rsidRPr="00612839">
        <w:rPr>
          <w:lang w:eastAsia="en-ZA"/>
        </w:rPr>
        <w:t>Permit up-front payment up to a maxi</w:t>
      </w:r>
      <w:r>
        <w:rPr>
          <w:lang w:eastAsia="en-ZA"/>
        </w:rPr>
        <w:t>mum of 25% of value of contract.</w:t>
      </w:r>
    </w:p>
    <w:p w14:paraId="412DB800" w14:textId="50B23C29" w:rsidR="00612839" w:rsidRDefault="00612839" w:rsidP="00D66738">
      <w:pPr>
        <w:pStyle w:val="ListParagraph"/>
        <w:numPr>
          <w:ilvl w:val="0"/>
          <w:numId w:val="87"/>
        </w:numPr>
        <w:jc w:val="both"/>
        <w:rPr>
          <w:lang w:eastAsia="en-ZA"/>
        </w:rPr>
      </w:pPr>
      <w:r>
        <w:rPr>
          <w:lang w:eastAsia="en-ZA"/>
        </w:rPr>
        <w:t xml:space="preserve">Option 2: </w:t>
      </w:r>
      <w:r w:rsidRPr="00612839">
        <w:rPr>
          <w:lang w:eastAsia="en-ZA"/>
        </w:rPr>
        <w:t xml:space="preserve">Set up </w:t>
      </w:r>
      <w:r w:rsidR="00A02F3B">
        <w:rPr>
          <w:lang w:eastAsia="en-ZA"/>
        </w:rPr>
        <w:t xml:space="preserve">revolving </w:t>
      </w:r>
      <w:r w:rsidRPr="00612839">
        <w:rPr>
          <w:lang w:eastAsia="en-ZA"/>
        </w:rPr>
        <w:t xml:space="preserve">fund with </w:t>
      </w:r>
      <w:r>
        <w:rPr>
          <w:lang w:eastAsia="en-ZA"/>
        </w:rPr>
        <w:t xml:space="preserve">an appropriate agency, such as the </w:t>
      </w:r>
      <w:r w:rsidRPr="00612839">
        <w:rPr>
          <w:lang w:eastAsia="en-ZA"/>
        </w:rPr>
        <w:t>IDC</w:t>
      </w:r>
      <w:r>
        <w:rPr>
          <w:lang w:eastAsia="en-ZA"/>
        </w:rPr>
        <w:t xml:space="preserve"> or </w:t>
      </w:r>
      <w:proofErr w:type="spellStart"/>
      <w:r w:rsidRPr="00612839">
        <w:rPr>
          <w:lang w:eastAsia="en-ZA"/>
        </w:rPr>
        <w:t>sefa</w:t>
      </w:r>
      <w:proofErr w:type="spellEnd"/>
      <w:r>
        <w:rPr>
          <w:lang w:eastAsia="en-ZA"/>
        </w:rPr>
        <w:t xml:space="preserve">, which would </w:t>
      </w:r>
      <w:r w:rsidRPr="00612839">
        <w:rPr>
          <w:lang w:eastAsia="en-ZA"/>
        </w:rPr>
        <w:t xml:space="preserve">cover initial </w:t>
      </w:r>
      <w:r w:rsidR="00A02F3B">
        <w:rPr>
          <w:lang w:eastAsia="en-ZA"/>
        </w:rPr>
        <w:t xml:space="preserve">costs for </w:t>
      </w:r>
      <w:r w:rsidRPr="00612839">
        <w:rPr>
          <w:lang w:eastAsia="en-ZA"/>
        </w:rPr>
        <w:t>small</w:t>
      </w:r>
      <w:r w:rsidR="00A02F3B">
        <w:rPr>
          <w:lang w:eastAsia="en-ZA"/>
        </w:rPr>
        <w:t xml:space="preserve"> suppliers</w:t>
      </w:r>
    </w:p>
    <w:p w14:paraId="458F759B" w14:textId="55CBE8D9" w:rsidR="00612839" w:rsidRPr="00612839" w:rsidRDefault="00612839" w:rsidP="00D66738">
      <w:pPr>
        <w:pStyle w:val="ListParagraph"/>
        <w:numPr>
          <w:ilvl w:val="0"/>
          <w:numId w:val="87"/>
        </w:numPr>
        <w:jc w:val="both"/>
        <w:rPr>
          <w:lang w:eastAsia="en-ZA"/>
        </w:rPr>
      </w:pPr>
      <w:r>
        <w:rPr>
          <w:lang w:eastAsia="en-ZA"/>
        </w:rPr>
        <w:t>Option 3: Encourage or require b</w:t>
      </w:r>
      <w:r w:rsidRPr="00612839">
        <w:rPr>
          <w:lang w:eastAsia="en-ZA"/>
        </w:rPr>
        <w:t>anks to provide loans to small businesses</w:t>
      </w:r>
      <w:r>
        <w:rPr>
          <w:lang w:eastAsia="en-ZA"/>
        </w:rPr>
        <w:t xml:space="preserve"> to cover up to 25% of contract amount</w:t>
      </w:r>
      <w:r w:rsidRPr="00612839">
        <w:rPr>
          <w:lang w:eastAsia="en-ZA"/>
        </w:rPr>
        <w:t>.</w:t>
      </w:r>
    </w:p>
    <w:p w14:paraId="340A4642" w14:textId="2F5CA768" w:rsidR="00612839" w:rsidRDefault="00612839" w:rsidP="00D66738">
      <w:pPr>
        <w:jc w:val="both"/>
      </w:pPr>
      <w:r>
        <w:lastRenderedPageBreak/>
        <w:t xml:space="preserve">The following table provides an assessment of the costs, benefits and risks of these options for the main stakeholders. </w:t>
      </w:r>
    </w:p>
    <w:p w14:paraId="68429F88" w14:textId="727420BA" w:rsidR="00D8358C" w:rsidRPr="000468A4" w:rsidRDefault="00040675" w:rsidP="00D66738">
      <w:pPr>
        <w:pStyle w:val="Caption"/>
        <w:jc w:val="both"/>
      </w:pPr>
      <w:bookmarkStart w:id="848" w:name="_Toc479940981"/>
      <w:r w:rsidRPr="00F209B7">
        <w:t xml:space="preserve">Table </w:t>
      </w:r>
      <w:fldSimple w:instr=" SEQ Table \* ARABIC ">
        <w:r w:rsidR="005062E7">
          <w:rPr>
            <w:noProof/>
          </w:rPr>
          <w:t>24</w:t>
        </w:r>
      </w:fldSimple>
      <w:r w:rsidRPr="00F209B7">
        <w:t>. Up-front payments: Analysis of costs, benefits and risks</w:t>
      </w:r>
      <w:bookmarkEnd w:id="848"/>
      <w:r w:rsidRPr="00F209B7">
        <w:t xml:space="preserve"> </w:t>
      </w:r>
    </w:p>
    <w:tbl>
      <w:tblPr>
        <w:tblStyle w:val="TableGrid"/>
        <w:tblW w:w="0" w:type="auto"/>
        <w:tblLook w:val="04A0" w:firstRow="1" w:lastRow="0" w:firstColumn="1" w:lastColumn="0" w:noHBand="0" w:noVBand="1"/>
      </w:tblPr>
      <w:tblGrid>
        <w:gridCol w:w="1526"/>
        <w:gridCol w:w="1984"/>
        <w:gridCol w:w="1985"/>
        <w:gridCol w:w="1701"/>
        <w:gridCol w:w="2046"/>
      </w:tblGrid>
      <w:tr w:rsidR="00612839" w:rsidRPr="00CF67B8" w14:paraId="31EEB511" w14:textId="77777777" w:rsidTr="009A1654">
        <w:trPr>
          <w:cantSplit/>
          <w:tblHeader/>
        </w:trPr>
        <w:tc>
          <w:tcPr>
            <w:tcW w:w="1526" w:type="dxa"/>
            <w:vAlign w:val="bottom"/>
          </w:tcPr>
          <w:p w14:paraId="20801F99" w14:textId="77777777" w:rsidR="00612839" w:rsidRPr="00CF67B8" w:rsidRDefault="00612839" w:rsidP="00D66738">
            <w:pPr>
              <w:pStyle w:val="charts"/>
              <w:keepNext w:val="0"/>
              <w:jc w:val="both"/>
              <w:rPr>
                <w:b/>
                <w:sz w:val="20"/>
                <w:szCs w:val="20"/>
              </w:rPr>
            </w:pPr>
          </w:p>
        </w:tc>
        <w:tc>
          <w:tcPr>
            <w:tcW w:w="1984" w:type="dxa"/>
            <w:vAlign w:val="bottom"/>
          </w:tcPr>
          <w:p w14:paraId="6E4901F4" w14:textId="77777777" w:rsidR="00612839" w:rsidRPr="00CF67B8" w:rsidRDefault="00612839" w:rsidP="00D66738">
            <w:pPr>
              <w:pStyle w:val="charts"/>
              <w:keepNext w:val="0"/>
              <w:jc w:val="both"/>
              <w:rPr>
                <w:b/>
                <w:sz w:val="20"/>
                <w:szCs w:val="20"/>
              </w:rPr>
            </w:pPr>
            <w:r w:rsidRPr="00CF67B8">
              <w:rPr>
                <w:b/>
                <w:sz w:val="20"/>
                <w:szCs w:val="20"/>
              </w:rPr>
              <w:t>Small business</w:t>
            </w:r>
          </w:p>
        </w:tc>
        <w:tc>
          <w:tcPr>
            <w:tcW w:w="1985" w:type="dxa"/>
            <w:vAlign w:val="bottom"/>
          </w:tcPr>
          <w:p w14:paraId="01DCD186" w14:textId="77777777" w:rsidR="00612839" w:rsidRPr="00CF67B8" w:rsidRDefault="00612839" w:rsidP="00D66738">
            <w:pPr>
              <w:pStyle w:val="charts"/>
              <w:keepNext w:val="0"/>
              <w:jc w:val="both"/>
              <w:rPr>
                <w:b/>
                <w:sz w:val="20"/>
                <w:szCs w:val="20"/>
              </w:rPr>
            </w:pPr>
            <w:r w:rsidRPr="00CF67B8">
              <w:rPr>
                <w:b/>
                <w:sz w:val="20"/>
                <w:szCs w:val="20"/>
              </w:rPr>
              <w:t>Client department or agency</w:t>
            </w:r>
          </w:p>
        </w:tc>
        <w:tc>
          <w:tcPr>
            <w:tcW w:w="1701" w:type="dxa"/>
            <w:vAlign w:val="bottom"/>
          </w:tcPr>
          <w:p w14:paraId="0F5EBA1B" w14:textId="09F17EC7" w:rsidR="00612839" w:rsidRPr="00CF67B8" w:rsidRDefault="00612839" w:rsidP="00D66738">
            <w:pPr>
              <w:pStyle w:val="charts"/>
              <w:keepNext w:val="0"/>
              <w:jc w:val="both"/>
              <w:rPr>
                <w:b/>
                <w:sz w:val="20"/>
                <w:szCs w:val="20"/>
              </w:rPr>
            </w:pPr>
            <w:r>
              <w:rPr>
                <w:b/>
                <w:sz w:val="20"/>
                <w:szCs w:val="20"/>
              </w:rPr>
              <w:t>Financing agency</w:t>
            </w:r>
          </w:p>
        </w:tc>
        <w:tc>
          <w:tcPr>
            <w:tcW w:w="2046" w:type="dxa"/>
            <w:vAlign w:val="bottom"/>
          </w:tcPr>
          <w:p w14:paraId="401648AC" w14:textId="77777777" w:rsidR="00612839" w:rsidRPr="00CF67B8" w:rsidRDefault="00612839" w:rsidP="00D66738">
            <w:pPr>
              <w:pStyle w:val="charts"/>
              <w:keepNext w:val="0"/>
              <w:jc w:val="both"/>
              <w:rPr>
                <w:b/>
                <w:sz w:val="20"/>
                <w:szCs w:val="20"/>
              </w:rPr>
            </w:pPr>
            <w:r w:rsidRPr="00CF67B8">
              <w:rPr>
                <w:b/>
                <w:sz w:val="20"/>
                <w:szCs w:val="20"/>
              </w:rPr>
              <w:t>Other stakeholders</w:t>
            </w:r>
          </w:p>
        </w:tc>
      </w:tr>
      <w:tr w:rsidR="00612839" w:rsidRPr="00CF67B8" w14:paraId="6BD7F3A9" w14:textId="77777777" w:rsidTr="009A1654">
        <w:trPr>
          <w:cantSplit/>
        </w:trPr>
        <w:tc>
          <w:tcPr>
            <w:tcW w:w="1526" w:type="dxa"/>
          </w:tcPr>
          <w:p w14:paraId="2DA52B10" w14:textId="1E9D1E8B" w:rsidR="00612839" w:rsidRPr="00612839" w:rsidRDefault="00612839" w:rsidP="00D66738">
            <w:pPr>
              <w:pStyle w:val="charts"/>
              <w:keepNext w:val="0"/>
              <w:spacing w:after="120"/>
              <w:jc w:val="both"/>
              <w:rPr>
                <w:sz w:val="20"/>
                <w:szCs w:val="20"/>
              </w:rPr>
            </w:pPr>
            <w:r w:rsidRPr="00612839">
              <w:rPr>
                <w:sz w:val="20"/>
                <w:lang w:eastAsia="en-ZA"/>
              </w:rPr>
              <w:t xml:space="preserve">Option 1: Permit up-front payment </w:t>
            </w:r>
          </w:p>
        </w:tc>
        <w:tc>
          <w:tcPr>
            <w:tcW w:w="1984" w:type="dxa"/>
          </w:tcPr>
          <w:p w14:paraId="0CA9843B" w14:textId="77777777" w:rsidR="00612839" w:rsidRDefault="00612839" w:rsidP="00D66738">
            <w:pPr>
              <w:pStyle w:val="charts"/>
              <w:keepNext w:val="0"/>
              <w:spacing w:after="120"/>
              <w:jc w:val="both"/>
              <w:rPr>
                <w:sz w:val="20"/>
                <w:szCs w:val="20"/>
              </w:rPr>
            </w:pPr>
            <w:r>
              <w:rPr>
                <w:sz w:val="20"/>
                <w:szCs w:val="20"/>
              </w:rPr>
              <w:t>C: None</w:t>
            </w:r>
          </w:p>
          <w:p w14:paraId="15356DAF" w14:textId="77777777" w:rsidR="00612839" w:rsidRDefault="00612839" w:rsidP="00D66738">
            <w:pPr>
              <w:pStyle w:val="charts"/>
              <w:keepNext w:val="0"/>
              <w:spacing w:after="120"/>
              <w:jc w:val="both"/>
              <w:rPr>
                <w:sz w:val="20"/>
                <w:szCs w:val="20"/>
              </w:rPr>
            </w:pPr>
            <w:r>
              <w:rPr>
                <w:sz w:val="20"/>
                <w:szCs w:val="20"/>
              </w:rPr>
              <w:t>B: Able to bid for more contracts</w:t>
            </w:r>
          </w:p>
          <w:p w14:paraId="4B4709A1" w14:textId="3DBD8AC5" w:rsidR="00612839" w:rsidRPr="00CF67B8" w:rsidRDefault="00612839" w:rsidP="00D66738">
            <w:pPr>
              <w:pStyle w:val="charts"/>
              <w:keepNext w:val="0"/>
              <w:spacing w:after="120"/>
              <w:jc w:val="both"/>
              <w:rPr>
                <w:sz w:val="20"/>
                <w:szCs w:val="20"/>
              </w:rPr>
            </w:pPr>
            <w:r>
              <w:rPr>
                <w:sz w:val="20"/>
                <w:szCs w:val="20"/>
              </w:rPr>
              <w:t>R: Take the up-front payment but unable to deliver, so end up in debt</w:t>
            </w:r>
          </w:p>
        </w:tc>
        <w:tc>
          <w:tcPr>
            <w:tcW w:w="1985" w:type="dxa"/>
          </w:tcPr>
          <w:p w14:paraId="2B818A40" w14:textId="77777777" w:rsidR="00612839" w:rsidRDefault="00612839" w:rsidP="00D66738">
            <w:pPr>
              <w:pStyle w:val="charts"/>
              <w:keepNext w:val="0"/>
              <w:spacing w:after="120"/>
              <w:jc w:val="both"/>
              <w:rPr>
                <w:sz w:val="20"/>
                <w:szCs w:val="20"/>
              </w:rPr>
            </w:pPr>
            <w:r>
              <w:rPr>
                <w:sz w:val="20"/>
                <w:szCs w:val="20"/>
              </w:rPr>
              <w:t>C: None</w:t>
            </w:r>
          </w:p>
          <w:p w14:paraId="0419BEA2" w14:textId="59F144FD" w:rsidR="00612839" w:rsidRDefault="00612839" w:rsidP="00D66738">
            <w:pPr>
              <w:pStyle w:val="charts"/>
              <w:keepNext w:val="0"/>
              <w:spacing w:after="120"/>
              <w:jc w:val="both"/>
              <w:rPr>
                <w:sz w:val="20"/>
                <w:szCs w:val="20"/>
              </w:rPr>
            </w:pPr>
            <w:r>
              <w:rPr>
                <w:sz w:val="20"/>
                <w:szCs w:val="20"/>
              </w:rPr>
              <w:t xml:space="preserve">B: </w:t>
            </w:r>
            <w:r w:rsidR="00A02F3B">
              <w:rPr>
                <w:sz w:val="20"/>
                <w:szCs w:val="20"/>
              </w:rPr>
              <w:t>Able to procure from more small businesses</w:t>
            </w:r>
          </w:p>
          <w:p w14:paraId="3C1B9FFA" w14:textId="6F431225" w:rsidR="00612839" w:rsidRPr="00CF67B8" w:rsidRDefault="00612839" w:rsidP="00D66738">
            <w:pPr>
              <w:pStyle w:val="charts"/>
              <w:keepNext w:val="0"/>
              <w:spacing w:after="120"/>
              <w:jc w:val="both"/>
              <w:rPr>
                <w:sz w:val="20"/>
                <w:szCs w:val="20"/>
              </w:rPr>
            </w:pPr>
            <w:r>
              <w:rPr>
                <w:sz w:val="20"/>
                <w:szCs w:val="20"/>
              </w:rPr>
              <w:t>R: Lose the up-front payment as contractor cannot deliver</w:t>
            </w:r>
          </w:p>
        </w:tc>
        <w:tc>
          <w:tcPr>
            <w:tcW w:w="1701" w:type="dxa"/>
          </w:tcPr>
          <w:p w14:paraId="6B75E34C" w14:textId="7B1BF93E" w:rsidR="00612839" w:rsidRPr="00CF67B8" w:rsidRDefault="00612839" w:rsidP="00D66738">
            <w:pPr>
              <w:pStyle w:val="charts"/>
              <w:keepNext w:val="0"/>
              <w:spacing w:after="120"/>
              <w:jc w:val="both"/>
              <w:rPr>
                <w:sz w:val="20"/>
                <w:szCs w:val="20"/>
              </w:rPr>
            </w:pPr>
            <w:proofErr w:type="spellStart"/>
            <w:r>
              <w:rPr>
                <w:sz w:val="20"/>
                <w:szCs w:val="20"/>
              </w:rPr>
              <w:t>n.a.</w:t>
            </w:r>
            <w:proofErr w:type="spellEnd"/>
          </w:p>
        </w:tc>
        <w:tc>
          <w:tcPr>
            <w:tcW w:w="2046" w:type="dxa"/>
          </w:tcPr>
          <w:p w14:paraId="7B35BDA0" w14:textId="77777777" w:rsidR="00612839" w:rsidRDefault="00612839" w:rsidP="00D66738">
            <w:pPr>
              <w:pStyle w:val="charts"/>
              <w:keepNext w:val="0"/>
              <w:spacing w:after="120"/>
              <w:jc w:val="both"/>
              <w:rPr>
                <w:sz w:val="20"/>
                <w:szCs w:val="20"/>
              </w:rPr>
            </w:pPr>
            <w:r>
              <w:rPr>
                <w:sz w:val="20"/>
                <w:szCs w:val="20"/>
              </w:rPr>
              <w:t>C: None</w:t>
            </w:r>
          </w:p>
          <w:p w14:paraId="0C41CE52" w14:textId="77777777" w:rsidR="00612839" w:rsidRDefault="00612839" w:rsidP="00D66738">
            <w:pPr>
              <w:pStyle w:val="charts"/>
              <w:keepNext w:val="0"/>
              <w:spacing w:after="120"/>
              <w:jc w:val="both"/>
              <w:rPr>
                <w:sz w:val="20"/>
                <w:szCs w:val="20"/>
              </w:rPr>
            </w:pPr>
            <w:r>
              <w:rPr>
                <w:sz w:val="20"/>
                <w:szCs w:val="20"/>
              </w:rPr>
              <w:t>B: Spillovers from growth in small business</w:t>
            </w:r>
          </w:p>
          <w:p w14:paraId="2C8455AF" w14:textId="63217B45" w:rsidR="00612839" w:rsidRPr="00CF67B8" w:rsidRDefault="00612839" w:rsidP="00D66738">
            <w:pPr>
              <w:pStyle w:val="charts"/>
              <w:keepNext w:val="0"/>
              <w:spacing w:after="120"/>
              <w:jc w:val="both"/>
              <w:rPr>
                <w:sz w:val="20"/>
                <w:szCs w:val="20"/>
              </w:rPr>
            </w:pPr>
            <w:r>
              <w:rPr>
                <w:sz w:val="20"/>
                <w:szCs w:val="20"/>
              </w:rPr>
              <w:t>R: Loss of resources for other priorities if contractor cannot deliver</w:t>
            </w:r>
          </w:p>
        </w:tc>
      </w:tr>
      <w:tr w:rsidR="00612839" w:rsidRPr="00CF67B8" w14:paraId="605B9F09" w14:textId="77777777" w:rsidTr="009A1654">
        <w:trPr>
          <w:cantSplit/>
        </w:trPr>
        <w:tc>
          <w:tcPr>
            <w:tcW w:w="1526" w:type="dxa"/>
          </w:tcPr>
          <w:p w14:paraId="56AB9979" w14:textId="7739403B" w:rsidR="00612839" w:rsidRPr="00612839" w:rsidRDefault="00612839" w:rsidP="00D66738">
            <w:pPr>
              <w:pStyle w:val="charts"/>
              <w:keepNext w:val="0"/>
              <w:spacing w:after="120"/>
              <w:jc w:val="both"/>
              <w:rPr>
                <w:sz w:val="20"/>
                <w:szCs w:val="20"/>
              </w:rPr>
            </w:pPr>
            <w:r w:rsidRPr="00612839">
              <w:rPr>
                <w:sz w:val="20"/>
                <w:lang w:eastAsia="en-ZA"/>
              </w:rPr>
              <w:t xml:space="preserve">Option 2: </w:t>
            </w:r>
            <w:r>
              <w:rPr>
                <w:sz w:val="20"/>
                <w:lang w:eastAsia="en-ZA"/>
              </w:rPr>
              <w:t>Revolving</w:t>
            </w:r>
            <w:r w:rsidRPr="00612839">
              <w:rPr>
                <w:sz w:val="20"/>
                <w:lang w:eastAsia="en-ZA"/>
              </w:rPr>
              <w:t xml:space="preserve"> fund </w:t>
            </w:r>
            <w:r w:rsidR="00A02F3B">
              <w:rPr>
                <w:sz w:val="20"/>
                <w:lang w:eastAsia="en-ZA"/>
              </w:rPr>
              <w:t>for small suppliers to state</w:t>
            </w:r>
          </w:p>
        </w:tc>
        <w:tc>
          <w:tcPr>
            <w:tcW w:w="1984" w:type="dxa"/>
          </w:tcPr>
          <w:p w14:paraId="77B55E70" w14:textId="40D66CEF" w:rsidR="00612839" w:rsidRDefault="00612839" w:rsidP="00D66738">
            <w:pPr>
              <w:pStyle w:val="charts"/>
              <w:keepNext w:val="0"/>
              <w:spacing w:after="120"/>
              <w:jc w:val="both"/>
              <w:rPr>
                <w:sz w:val="20"/>
                <w:szCs w:val="20"/>
              </w:rPr>
            </w:pPr>
            <w:r>
              <w:rPr>
                <w:sz w:val="20"/>
                <w:szCs w:val="20"/>
              </w:rPr>
              <w:t xml:space="preserve">C: </w:t>
            </w:r>
            <w:r w:rsidR="00A02F3B">
              <w:rPr>
                <w:sz w:val="20"/>
                <w:szCs w:val="20"/>
              </w:rPr>
              <w:t xml:space="preserve">Interest on </w:t>
            </w:r>
            <w:r>
              <w:rPr>
                <w:sz w:val="20"/>
                <w:szCs w:val="20"/>
              </w:rPr>
              <w:t>initial funds</w:t>
            </w:r>
          </w:p>
          <w:p w14:paraId="03F4E3E1" w14:textId="77777777" w:rsidR="00612839" w:rsidRDefault="00612839" w:rsidP="00D66738">
            <w:pPr>
              <w:pStyle w:val="charts"/>
              <w:keepNext w:val="0"/>
              <w:spacing w:after="120"/>
              <w:jc w:val="both"/>
              <w:rPr>
                <w:sz w:val="20"/>
                <w:szCs w:val="20"/>
              </w:rPr>
            </w:pPr>
            <w:r>
              <w:rPr>
                <w:sz w:val="20"/>
                <w:szCs w:val="20"/>
              </w:rPr>
              <w:t>B: Able to bid for more contracts</w:t>
            </w:r>
          </w:p>
          <w:p w14:paraId="7EF1158B" w14:textId="7DC15675" w:rsidR="00612839" w:rsidRPr="00CF67B8" w:rsidRDefault="00612839" w:rsidP="00D66738">
            <w:pPr>
              <w:pStyle w:val="charts"/>
              <w:keepNext w:val="0"/>
              <w:spacing w:after="120"/>
              <w:jc w:val="both"/>
              <w:rPr>
                <w:sz w:val="20"/>
                <w:szCs w:val="20"/>
              </w:rPr>
            </w:pPr>
            <w:r>
              <w:rPr>
                <w:sz w:val="20"/>
                <w:szCs w:val="20"/>
              </w:rPr>
              <w:t>R: Take the up-front payment but unable to deliver, so end up in debt</w:t>
            </w:r>
            <w:r w:rsidR="00A02F3B">
              <w:rPr>
                <w:sz w:val="20"/>
                <w:szCs w:val="20"/>
              </w:rPr>
              <w:t>; excessive failures mean revolving fund fails</w:t>
            </w:r>
          </w:p>
        </w:tc>
        <w:tc>
          <w:tcPr>
            <w:tcW w:w="1985" w:type="dxa"/>
          </w:tcPr>
          <w:p w14:paraId="41832443" w14:textId="77777777" w:rsidR="00612839" w:rsidRDefault="00612839" w:rsidP="00D66738">
            <w:pPr>
              <w:pStyle w:val="charts"/>
              <w:keepNext w:val="0"/>
              <w:spacing w:after="120"/>
              <w:jc w:val="both"/>
              <w:rPr>
                <w:sz w:val="20"/>
                <w:szCs w:val="20"/>
              </w:rPr>
            </w:pPr>
            <w:r>
              <w:rPr>
                <w:sz w:val="20"/>
                <w:szCs w:val="20"/>
              </w:rPr>
              <w:t>C: None</w:t>
            </w:r>
          </w:p>
          <w:p w14:paraId="5F12E465" w14:textId="3805E646" w:rsidR="00612839" w:rsidRDefault="00612839" w:rsidP="00D66738">
            <w:pPr>
              <w:pStyle w:val="charts"/>
              <w:keepNext w:val="0"/>
              <w:spacing w:after="120"/>
              <w:jc w:val="both"/>
              <w:rPr>
                <w:sz w:val="20"/>
                <w:szCs w:val="20"/>
              </w:rPr>
            </w:pPr>
            <w:r>
              <w:rPr>
                <w:sz w:val="20"/>
                <w:szCs w:val="20"/>
              </w:rPr>
              <w:t xml:space="preserve">B: </w:t>
            </w:r>
            <w:r w:rsidR="00A02F3B">
              <w:rPr>
                <w:sz w:val="20"/>
                <w:szCs w:val="20"/>
              </w:rPr>
              <w:t>Able to procure from more small businesses</w:t>
            </w:r>
          </w:p>
          <w:p w14:paraId="05C078A3" w14:textId="0C1ECC3E" w:rsidR="00612839" w:rsidRPr="00CF67B8" w:rsidRDefault="00612839" w:rsidP="00D66738">
            <w:pPr>
              <w:pStyle w:val="charts"/>
              <w:keepNext w:val="0"/>
              <w:spacing w:after="120"/>
              <w:jc w:val="both"/>
              <w:rPr>
                <w:sz w:val="20"/>
                <w:szCs w:val="20"/>
              </w:rPr>
            </w:pPr>
            <w:r>
              <w:rPr>
                <w:sz w:val="20"/>
                <w:szCs w:val="20"/>
              </w:rPr>
              <w:t>R: None (risk covered by guarantee fund)</w:t>
            </w:r>
          </w:p>
        </w:tc>
        <w:tc>
          <w:tcPr>
            <w:tcW w:w="1701" w:type="dxa"/>
          </w:tcPr>
          <w:p w14:paraId="7D03604F" w14:textId="7D1EC2E2" w:rsidR="00612839" w:rsidRDefault="00612839" w:rsidP="00D66738">
            <w:pPr>
              <w:pStyle w:val="charts"/>
              <w:keepNext w:val="0"/>
              <w:spacing w:after="120"/>
              <w:jc w:val="both"/>
              <w:rPr>
                <w:sz w:val="20"/>
                <w:szCs w:val="20"/>
              </w:rPr>
            </w:pPr>
            <w:r>
              <w:rPr>
                <w:sz w:val="20"/>
                <w:szCs w:val="20"/>
              </w:rPr>
              <w:t xml:space="preserve">C: </w:t>
            </w:r>
            <w:r w:rsidR="00A02F3B">
              <w:rPr>
                <w:sz w:val="20"/>
                <w:szCs w:val="20"/>
              </w:rPr>
              <w:t>Administration of fund; reserves against bad debts; initial funding</w:t>
            </w:r>
          </w:p>
          <w:p w14:paraId="6A03B30E" w14:textId="77777777" w:rsidR="00612839" w:rsidRDefault="00612839" w:rsidP="00D66738">
            <w:pPr>
              <w:pStyle w:val="charts"/>
              <w:keepNext w:val="0"/>
              <w:spacing w:after="120"/>
              <w:jc w:val="both"/>
              <w:rPr>
                <w:sz w:val="20"/>
                <w:szCs w:val="20"/>
              </w:rPr>
            </w:pPr>
            <w:r>
              <w:rPr>
                <w:sz w:val="20"/>
                <w:szCs w:val="20"/>
              </w:rPr>
              <w:t>B: Fees and possibly interest also</w:t>
            </w:r>
          </w:p>
          <w:p w14:paraId="7F9DC4F5" w14:textId="0B7C5878" w:rsidR="00612839" w:rsidRPr="00CF67B8" w:rsidRDefault="00612839" w:rsidP="00D66738">
            <w:pPr>
              <w:pStyle w:val="charts"/>
              <w:keepNext w:val="0"/>
              <w:spacing w:after="120"/>
              <w:jc w:val="both"/>
              <w:rPr>
                <w:sz w:val="20"/>
                <w:szCs w:val="20"/>
              </w:rPr>
            </w:pPr>
            <w:r>
              <w:rPr>
                <w:sz w:val="20"/>
                <w:szCs w:val="20"/>
              </w:rPr>
              <w:t xml:space="preserve">R: </w:t>
            </w:r>
            <w:r w:rsidR="00A02F3B">
              <w:rPr>
                <w:sz w:val="20"/>
                <w:szCs w:val="20"/>
              </w:rPr>
              <w:t>Underestimate bad debts including due payment delays by clients</w:t>
            </w:r>
          </w:p>
        </w:tc>
        <w:tc>
          <w:tcPr>
            <w:tcW w:w="2046" w:type="dxa"/>
          </w:tcPr>
          <w:p w14:paraId="713DEA5B" w14:textId="77777777" w:rsidR="00612839" w:rsidRDefault="00A02F3B" w:rsidP="00D66738">
            <w:pPr>
              <w:pStyle w:val="charts"/>
              <w:keepNext w:val="0"/>
              <w:spacing w:after="120"/>
              <w:jc w:val="both"/>
              <w:rPr>
                <w:sz w:val="20"/>
                <w:szCs w:val="20"/>
              </w:rPr>
            </w:pPr>
            <w:r>
              <w:rPr>
                <w:sz w:val="20"/>
                <w:szCs w:val="20"/>
              </w:rPr>
              <w:t>C: Financing agency uses funds for revolving fund rather than other purposes</w:t>
            </w:r>
          </w:p>
          <w:p w14:paraId="0068318E" w14:textId="44E2A03F" w:rsidR="00A02F3B" w:rsidRDefault="00A02F3B" w:rsidP="00D66738">
            <w:pPr>
              <w:pStyle w:val="charts"/>
              <w:keepNext w:val="0"/>
              <w:spacing w:after="120"/>
              <w:jc w:val="both"/>
              <w:rPr>
                <w:sz w:val="20"/>
                <w:szCs w:val="20"/>
              </w:rPr>
            </w:pPr>
            <w:r>
              <w:rPr>
                <w:sz w:val="20"/>
                <w:szCs w:val="20"/>
              </w:rPr>
              <w:t xml:space="preserve">B: </w:t>
            </w:r>
            <w:r w:rsidR="00876660">
              <w:rPr>
                <w:sz w:val="20"/>
                <w:szCs w:val="20"/>
              </w:rPr>
              <w:t>Spill overs</w:t>
            </w:r>
            <w:r>
              <w:rPr>
                <w:sz w:val="20"/>
                <w:szCs w:val="20"/>
              </w:rPr>
              <w:t xml:space="preserve"> from small business growth</w:t>
            </w:r>
          </w:p>
          <w:p w14:paraId="2014FDDC" w14:textId="52901D50" w:rsidR="00A02F3B" w:rsidRPr="00CF67B8" w:rsidRDefault="00A02F3B" w:rsidP="00D66738">
            <w:pPr>
              <w:pStyle w:val="charts"/>
              <w:keepNext w:val="0"/>
              <w:spacing w:after="120"/>
              <w:jc w:val="both"/>
              <w:rPr>
                <w:sz w:val="20"/>
                <w:szCs w:val="20"/>
              </w:rPr>
            </w:pPr>
            <w:r>
              <w:rPr>
                <w:sz w:val="20"/>
                <w:szCs w:val="20"/>
              </w:rPr>
              <w:t>R: Cost to revolving fund (and ultimately state) if estimate risk wrong</w:t>
            </w:r>
          </w:p>
        </w:tc>
      </w:tr>
      <w:tr w:rsidR="00612839" w:rsidRPr="00CF67B8" w14:paraId="7AF3970F" w14:textId="77777777" w:rsidTr="009A1654">
        <w:trPr>
          <w:cantSplit/>
        </w:trPr>
        <w:tc>
          <w:tcPr>
            <w:tcW w:w="1526" w:type="dxa"/>
          </w:tcPr>
          <w:p w14:paraId="35F10C5D" w14:textId="6F54972C" w:rsidR="00612839" w:rsidRPr="00612839" w:rsidRDefault="00612839" w:rsidP="00D66738">
            <w:pPr>
              <w:pStyle w:val="charts"/>
              <w:keepNext w:val="0"/>
              <w:spacing w:after="120"/>
              <w:jc w:val="both"/>
              <w:rPr>
                <w:sz w:val="20"/>
                <w:szCs w:val="20"/>
              </w:rPr>
            </w:pPr>
            <w:r w:rsidRPr="00612839">
              <w:rPr>
                <w:sz w:val="20"/>
                <w:lang w:eastAsia="en-ZA"/>
              </w:rPr>
              <w:t>Option 3: Encourage or require banks to provide loans to small businesses to cover up to 25% of contract amount.</w:t>
            </w:r>
          </w:p>
        </w:tc>
        <w:tc>
          <w:tcPr>
            <w:tcW w:w="1984" w:type="dxa"/>
          </w:tcPr>
          <w:p w14:paraId="5028C853" w14:textId="77777777" w:rsidR="00A02F3B" w:rsidRDefault="00A02F3B" w:rsidP="00D66738">
            <w:pPr>
              <w:pStyle w:val="charts"/>
              <w:keepNext w:val="0"/>
              <w:spacing w:after="120"/>
              <w:jc w:val="both"/>
              <w:rPr>
                <w:sz w:val="20"/>
                <w:szCs w:val="20"/>
              </w:rPr>
            </w:pPr>
            <w:r>
              <w:rPr>
                <w:sz w:val="20"/>
                <w:szCs w:val="20"/>
              </w:rPr>
              <w:t>C: Interest on funds (small business often pay close to 30% interest on commercial loans)</w:t>
            </w:r>
          </w:p>
          <w:p w14:paraId="790D819F" w14:textId="77777777" w:rsidR="00A02F3B" w:rsidRDefault="00A02F3B" w:rsidP="00D66738">
            <w:pPr>
              <w:pStyle w:val="charts"/>
              <w:keepNext w:val="0"/>
              <w:spacing w:after="120"/>
              <w:jc w:val="both"/>
              <w:rPr>
                <w:sz w:val="20"/>
                <w:szCs w:val="20"/>
              </w:rPr>
            </w:pPr>
            <w:r>
              <w:rPr>
                <w:sz w:val="20"/>
                <w:szCs w:val="20"/>
              </w:rPr>
              <w:t>B: Able to bid for more contracts</w:t>
            </w:r>
          </w:p>
          <w:p w14:paraId="20C4F65F" w14:textId="314BAA72" w:rsidR="00612839" w:rsidRPr="00CF67B8" w:rsidRDefault="00A02F3B" w:rsidP="00D66738">
            <w:pPr>
              <w:pStyle w:val="charts"/>
              <w:keepNext w:val="0"/>
              <w:spacing w:after="120"/>
              <w:jc w:val="both"/>
              <w:rPr>
                <w:sz w:val="20"/>
                <w:szCs w:val="20"/>
              </w:rPr>
            </w:pPr>
            <w:r>
              <w:rPr>
                <w:sz w:val="20"/>
                <w:szCs w:val="20"/>
              </w:rPr>
              <w:t xml:space="preserve">C: Contract fails and end up with debt </w:t>
            </w:r>
          </w:p>
        </w:tc>
        <w:tc>
          <w:tcPr>
            <w:tcW w:w="1985" w:type="dxa"/>
          </w:tcPr>
          <w:p w14:paraId="3ED6B812" w14:textId="77777777" w:rsidR="00612839" w:rsidRDefault="00A02F3B" w:rsidP="00D66738">
            <w:pPr>
              <w:pStyle w:val="charts"/>
              <w:keepNext w:val="0"/>
              <w:spacing w:after="120"/>
              <w:jc w:val="both"/>
              <w:rPr>
                <w:sz w:val="20"/>
                <w:szCs w:val="20"/>
              </w:rPr>
            </w:pPr>
            <w:r>
              <w:rPr>
                <w:sz w:val="20"/>
                <w:szCs w:val="20"/>
              </w:rPr>
              <w:t>C: None</w:t>
            </w:r>
          </w:p>
          <w:p w14:paraId="17F08491" w14:textId="77777777" w:rsidR="00A02F3B" w:rsidRDefault="00A02F3B" w:rsidP="00D66738">
            <w:pPr>
              <w:pStyle w:val="charts"/>
              <w:keepNext w:val="0"/>
              <w:spacing w:after="120"/>
              <w:jc w:val="both"/>
              <w:rPr>
                <w:sz w:val="20"/>
                <w:szCs w:val="20"/>
              </w:rPr>
            </w:pPr>
            <w:r>
              <w:rPr>
                <w:sz w:val="20"/>
                <w:szCs w:val="20"/>
              </w:rPr>
              <w:t>B: Able to procure from more small businesses</w:t>
            </w:r>
          </w:p>
          <w:p w14:paraId="2FF0BEDB" w14:textId="011A5C50" w:rsidR="00A02F3B" w:rsidRPr="00CF67B8" w:rsidRDefault="00A02F3B" w:rsidP="00D66738">
            <w:pPr>
              <w:pStyle w:val="charts"/>
              <w:keepNext w:val="0"/>
              <w:spacing w:after="120"/>
              <w:jc w:val="both"/>
              <w:rPr>
                <w:sz w:val="20"/>
                <w:szCs w:val="20"/>
              </w:rPr>
            </w:pPr>
            <w:r>
              <w:rPr>
                <w:sz w:val="20"/>
                <w:szCs w:val="20"/>
              </w:rPr>
              <w:t>R: None (risk covered by banks)</w:t>
            </w:r>
          </w:p>
        </w:tc>
        <w:tc>
          <w:tcPr>
            <w:tcW w:w="1701" w:type="dxa"/>
          </w:tcPr>
          <w:p w14:paraId="7F3E4B0E" w14:textId="77777777" w:rsidR="00612839" w:rsidRDefault="00A02F3B" w:rsidP="00D66738">
            <w:pPr>
              <w:pStyle w:val="charts"/>
              <w:keepNext w:val="0"/>
              <w:spacing w:after="120"/>
              <w:jc w:val="both"/>
              <w:rPr>
                <w:sz w:val="20"/>
                <w:szCs w:val="20"/>
              </w:rPr>
            </w:pPr>
            <w:r>
              <w:rPr>
                <w:sz w:val="20"/>
                <w:szCs w:val="20"/>
              </w:rPr>
              <w:t>C: Administration of loans; reserves against bad debts; initial funding</w:t>
            </w:r>
          </w:p>
          <w:p w14:paraId="13D25F69" w14:textId="77777777" w:rsidR="00A02F3B" w:rsidRDefault="00A02F3B" w:rsidP="00D66738">
            <w:pPr>
              <w:pStyle w:val="charts"/>
              <w:keepNext w:val="0"/>
              <w:spacing w:after="120"/>
              <w:jc w:val="both"/>
              <w:rPr>
                <w:sz w:val="20"/>
                <w:szCs w:val="20"/>
              </w:rPr>
            </w:pPr>
            <w:r>
              <w:rPr>
                <w:sz w:val="20"/>
                <w:szCs w:val="20"/>
              </w:rPr>
              <w:t>B: Interest and fees</w:t>
            </w:r>
          </w:p>
          <w:p w14:paraId="151B598C" w14:textId="408DBD60" w:rsidR="00A02F3B" w:rsidRPr="00CF67B8" w:rsidRDefault="00A02F3B" w:rsidP="00D66738">
            <w:pPr>
              <w:pStyle w:val="charts"/>
              <w:keepNext w:val="0"/>
              <w:spacing w:after="120"/>
              <w:jc w:val="both"/>
              <w:rPr>
                <w:sz w:val="20"/>
                <w:szCs w:val="20"/>
              </w:rPr>
            </w:pPr>
            <w:r>
              <w:rPr>
                <w:sz w:val="20"/>
                <w:szCs w:val="20"/>
              </w:rPr>
              <w:t>R: Underestimate bad debts, so make a loss</w:t>
            </w:r>
          </w:p>
        </w:tc>
        <w:tc>
          <w:tcPr>
            <w:tcW w:w="2046" w:type="dxa"/>
          </w:tcPr>
          <w:p w14:paraId="18A6D921" w14:textId="77777777" w:rsidR="00612839" w:rsidRDefault="00A02F3B" w:rsidP="00D66738">
            <w:pPr>
              <w:pStyle w:val="charts"/>
              <w:keepNext w:val="0"/>
              <w:spacing w:after="120"/>
              <w:jc w:val="both"/>
              <w:rPr>
                <w:sz w:val="20"/>
                <w:szCs w:val="20"/>
              </w:rPr>
            </w:pPr>
            <w:r>
              <w:rPr>
                <w:sz w:val="20"/>
                <w:szCs w:val="20"/>
              </w:rPr>
              <w:t>C: Banks use credit for small business, restricting loans to other borrowers</w:t>
            </w:r>
          </w:p>
          <w:p w14:paraId="30D04C9C" w14:textId="70E321ED" w:rsidR="00A02F3B" w:rsidRDefault="00A02F3B" w:rsidP="00D66738">
            <w:pPr>
              <w:pStyle w:val="charts"/>
              <w:keepNext w:val="0"/>
              <w:spacing w:after="120"/>
              <w:jc w:val="both"/>
              <w:rPr>
                <w:sz w:val="20"/>
                <w:szCs w:val="20"/>
              </w:rPr>
            </w:pPr>
            <w:r>
              <w:rPr>
                <w:sz w:val="20"/>
                <w:szCs w:val="20"/>
              </w:rPr>
              <w:t xml:space="preserve">B: </w:t>
            </w:r>
            <w:r w:rsidR="00876660">
              <w:rPr>
                <w:sz w:val="20"/>
                <w:szCs w:val="20"/>
              </w:rPr>
              <w:t>Spill overs</w:t>
            </w:r>
            <w:r>
              <w:rPr>
                <w:sz w:val="20"/>
                <w:szCs w:val="20"/>
              </w:rPr>
              <w:t xml:space="preserve"> from small business growth</w:t>
            </w:r>
          </w:p>
          <w:p w14:paraId="473FF054" w14:textId="5206B020" w:rsidR="00A02F3B" w:rsidRPr="00CF67B8" w:rsidRDefault="00A02F3B" w:rsidP="00D66738">
            <w:pPr>
              <w:pStyle w:val="charts"/>
              <w:keepNext w:val="0"/>
              <w:spacing w:after="120"/>
              <w:jc w:val="both"/>
              <w:rPr>
                <w:sz w:val="20"/>
                <w:szCs w:val="20"/>
              </w:rPr>
            </w:pPr>
            <w:r>
              <w:rPr>
                <w:sz w:val="20"/>
                <w:szCs w:val="20"/>
              </w:rPr>
              <w:t xml:space="preserve">R: If banks make losses on the scheme, it may affect customer service </w:t>
            </w:r>
          </w:p>
        </w:tc>
      </w:tr>
    </w:tbl>
    <w:p w14:paraId="3552DCE5" w14:textId="5CF7C3B3" w:rsidR="00A02F3B" w:rsidRDefault="00A02F3B" w:rsidP="00D66738">
      <w:pPr>
        <w:pStyle w:val="Caption"/>
        <w:jc w:val="both"/>
        <w:rPr>
          <w:b w:val="0"/>
        </w:rPr>
      </w:pPr>
      <w:r>
        <w:rPr>
          <w:b w:val="0"/>
        </w:rPr>
        <w:t>The preferred option is that up-front payments up to 25% of the value of the contract be allowed for contracts worth under a ceiling, for instance R6,5 million. As noted earlier, the available evidence suggests that these contracts are a small percentage of total state procurement of goods and services. The losses would therefore be relatively small if delivery failed. The risk of loss could also be mitigated if Treasury or DSBD developed guidelines indicating when up-front payment were warranted, including what kind of information should be required from small contractors to prove their reliability and creditworthiness.</w:t>
      </w:r>
    </w:p>
    <w:p w14:paraId="7681F867" w14:textId="445D9A71" w:rsidR="009A1654" w:rsidRDefault="009A1654" w:rsidP="00D66738">
      <w:pPr>
        <w:pStyle w:val="Heading3"/>
        <w:numPr>
          <w:ilvl w:val="2"/>
          <w:numId w:val="139"/>
        </w:numPr>
        <w:ind w:left="0" w:firstLine="0"/>
        <w:jc w:val="both"/>
      </w:pPr>
      <w:bookmarkStart w:id="849" w:name="_Ref479792298"/>
      <w:bookmarkStart w:id="850" w:name="_Toc479843940"/>
      <w:bookmarkStart w:id="851" w:name="_Toc479844564"/>
      <w:bookmarkStart w:id="852" w:name="_Toc479940894"/>
      <w:r>
        <w:t>Regulation of subcontracting</w:t>
      </w:r>
      <w:bookmarkEnd w:id="849"/>
      <w:bookmarkEnd w:id="850"/>
      <w:bookmarkEnd w:id="851"/>
      <w:bookmarkEnd w:id="852"/>
    </w:p>
    <w:p w14:paraId="24A50725" w14:textId="0E48355C" w:rsidR="009A1654" w:rsidRDefault="009A1654" w:rsidP="00D66738">
      <w:pPr>
        <w:jc w:val="both"/>
        <w:rPr>
          <w:lang w:eastAsia="en-ZA"/>
        </w:rPr>
      </w:pPr>
      <w:r>
        <w:rPr>
          <w:lang w:eastAsia="en-ZA"/>
        </w:rPr>
        <w:t xml:space="preserve">To ensure that subcontracting relations are fair to small business, the following options were analysed. </w:t>
      </w:r>
    </w:p>
    <w:p w14:paraId="6D30AAEC" w14:textId="19C058C2" w:rsidR="009A1654" w:rsidRPr="009A1654" w:rsidRDefault="009A1654" w:rsidP="00D66738">
      <w:pPr>
        <w:pStyle w:val="ListParagraph"/>
        <w:numPr>
          <w:ilvl w:val="0"/>
          <w:numId w:val="89"/>
        </w:numPr>
        <w:jc w:val="both"/>
        <w:rPr>
          <w:lang w:eastAsia="en-ZA"/>
        </w:rPr>
      </w:pPr>
      <w:r>
        <w:rPr>
          <w:lang w:eastAsia="en-ZA"/>
        </w:rPr>
        <w:lastRenderedPageBreak/>
        <w:t xml:space="preserve">Option 1: </w:t>
      </w:r>
      <w:r w:rsidRPr="009A1654">
        <w:rPr>
          <w:lang w:eastAsia="en-ZA"/>
        </w:rPr>
        <w:t xml:space="preserve">Set up </w:t>
      </w:r>
      <w:r>
        <w:rPr>
          <w:lang w:eastAsia="en-ZA"/>
        </w:rPr>
        <w:t xml:space="preserve">an easily accessible and low-cost </w:t>
      </w:r>
      <w:r w:rsidRPr="009A1654">
        <w:rPr>
          <w:lang w:eastAsia="en-ZA"/>
        </w:rPr>
        <w:t>dispute settlement panel.</w:t>
      </w:r>
    </w:p>
    <w:p w14:paraId="05F7DE86" w14:textId="77777777" w:rsidR="009A1654" w:rsidRDefault="009A1654" w:rsidP="00D66738">
      <w:pPr>
        <w:pStyle w:val="ListParagraph"/>
        <w:numPr>
          <w:ilvl w:val="0"/>
          <w:numId w:val="89"/>
        </w:numPr>
        <w:jc w:val="both"/>
        <w:rPr>
          <w:lang w:eastAsia="en-ZA"/>
        </w:rPr>
      </w:pPr>
      <w:r>
        <w:rPr>
          <w:lang w:eastAsia="en-ZA"/>
        </w:rPr>
        <w:t>Option 2: Establish regulations on key areas of dispute (particularly timing of payments and the definition of work required) with a dispute-settlement process.</w:t>
      </w:r>
    </w:p>
    <w:p w14:paraId="25540DE0" w14:textId="16DE2494" w:rsidR="009A1654" w:rsidRPr="009A1654" w:rsidRDefault="009A1654" w:rsidP="00D66738">
      <w:pPr>
        <w:pStyle w:val="ListParagraph"/>
        <w:numPr>
          <w:ilvl w:val="0"/>
          <w:numId w:val="89"/>
        </w:numPr>
        <w:jc w:val="both"/>
        <w:rPr>
          <w:lang w:eastAsia="en-ZA"/>
        </w:rPr>
      </w:pPr>
      <w:r>
        <w:rPr>
          <w:lang w:eastAsia="en-ZA"/>
        </w:rPr>
        <w:t xml:space="preserve">Option 3: </w:t>
      </w:r>
      <w:r w:rsidRPr="009A1654">
        <w:rPr>
          <w:lang w:eastAsia="en-ZA"/>
        </w:rPr>
        <w:t xml:space="preserve">DSDB </w:t>
      </w:r>
      <w:r>
        <w:rPr>
          <w:lang w:eastAsia="en-ZA"/>
        </w:rPr>
        <w:t xml:space="preserve">to establish a </w:t>
      </w:r>
      <w:r w:rsidRPr="009A1654">
        <w:rPr>
          <w:lang w:eastAsia="en-ZA"/>
        </w:rPr>
        <w:t>subcontracting hotline</w:t>
      </w:r>
      <w:r>
        <w:rPr>
          <w:lang w:eastAsia="en-ZA"/>
        </w:rPr>
        <w:t xml:space="preserve"> for small businesses</w:t>
      </w:r>
      <w:r w:rsidRPr="009A1654">
        <w:rPr>
          <w:lang w:eastAsia="en-ZA"/>
        </w:rPr>
        <w:t>.</w:t>
      </w:r>
    </w:p>
    <w:p w14:paraId="1220C29D" w14:textId="35E822A7" w:rsidR="00D8358C" w:rsidRDefault="00040675" w:rsidP="00D66738">
      <w:pPr>
        <w:pStyle w:val="Caption"/>
        <w:jc w:val="both"/>
      </w:pPr>
      <w:bookmarkStart w:id="853" w:name="_Toc479940982"/>
      <w:r w:rsidRPr="00F209B7">
        <w:t xml:space="preserve">Table </w:t>
      </w:r>
      <w:fldSimple w:instr=" SEQ Table \* ARABIC ">
        <w:r w:rsidR="005062E7">
          <w:rPr>
            <w:noProof/>
          </w:rPr>
          <w:t>25</w:t>
        </w:r>
      </w:fldSimple>
      <w:r w:rsidRPr="00F209B7">
        <w:t xml:space="preserve">. </w:t>
      </w:r>
      <w:r w:rsidR="00D8358C" w:rsidRPr="00F209B7">
        <w:t xml:space="preserve">Subcontracting: Analysis of costs, benefits and risks for </w:t>
      </w:r>
      <w:r w:rsidR="007C59D1">
        <w:t>small businesses</w:t>
      </w:r>
      <w:r w:rsidR="00D8358C" w:rsidRPr="00F209B7">
        <w:t xml:space="preserve"> and other stakeholders</w:t>
      </w:r>
      <w:bookmarkEnd w:id="853"/>
    </w:p>
    <w:tbl>
      <w:tblPr>
        <w:tblStyle w:val="TableGrid"/>
        <w:tblW w:w="0" w:type="auto"/>
        <w:tblLook w:val="04A0" w:firstRow="1" w:lastRow="0" w:firstColumn="1" w:lastColumn="0" w:noHBand="0" w:noVBand="1"/>
      </w:tblPr>
      <w:tblGrid>
        <w:gridCol w:w="1526"/>
        <w:gridCol w:w="1701"/>
        <w:gridCol w:w="1984"/>
        <w:gridCol w:w="2319"/>
        <w:gridCol w:w="1712"/>
      </w:tblGrid>
      <w:tr w:rsidR="009A1654" w:rsidRPr="00CF67B8" w14:paraId="73141A75" w14:textId="77777777" w:rsidTr="009A1654">
        <w:trPr>
          <w:cantSplit/>
          <w:tblHeader/>
        </w:trPr>
        <w:tc>
          <w:tcPr>
            <w:tcW w:w="1526" w:type="dxa"/>
            <w:vAlign w:val="bottom"/>
          </w:tcPr>
          <w:p w14:paraId="6EC5592E" w14:textId="77777777" w:rsidR="009A1654" w:rsidRPr="00CF67B8" w:rsidRDefault="009A1654" w:rsidP="00D66738">
            <w:pPr>
              <w:pStyle w:val="charts"/>
              <w:jc w:val="both"/>
              <w:rPr>
                <w:b/>
                <w:sz w:val="20"/>
                <w:szCs w:val="20"/>
              </w:rPr>
            </w:pPr>
          </w:p>
        </w:tc>
        <w:tc>
          <w:tcPr>
            <w:tcW w:w="1701" w:type="dxa"/>
            <w:vAlign w:val="bottom"/>
          </w:tcPr>
          <w:p w14:paraId="23FB3EEF" w14:textId="4C0D2D80" w:rsidR="009A1654" w:rsidRPr="00CF67B8" w:rsidRDefault="009A1654" w:rsidP="00D66738">
            <w:pPr>
              <w:pStyle w:val="charts"/>
              <w:jc w:val="both"/>
              <w:rPr>
                <w:b/>
                <w:sz w:val="20"/>
                <w:szCs w:val="20"/>
              </w:rPr>
            </w:pPr>
            <w:r>
              <w:rPr>
                <w:b/>
                <w:sz w:val="20"/>
                <w:szCs w:val="20"/>
              </w:rPr>
              <w:t>Subcontractor (small business)</w:t>
            </w:r>
          </w:p>
        </w:tc>
        <w:tc>
          <w:tcPr>
            <w:tcW w:w="1984" w:type="dxa"/>
            <w:vAlign w:val="bottom"/>
          </w:tcPr>
          <w:p w14:paraId="78AA2F03" w14:textId="1D95DCAF" w:rsidR="009A1654" w:rsidRPr="00CF67B8" w:rsidRDefault="009A1654" w:rsidP="00D66738">
            <w:pPr>
              <w:pStyle w:val="charts"/>
              <w:jc w:val="both"/>
              <w:rPr>
                <w:b/>
                <w:sz w:val="20"/>
                <w:szCs w:val="20"/>
              </w:rPr>
            </w:pPr>
            <w:r>
              <w:rPr>
                <w:b/>
                <w:sz w:val="20"/>
                <w:szCs w:val="20"/>
              </w:rPr>
              <w:t xml:space="preserve">Contractor </w:t>
            </w:r>
          </w:p>
        </w:tc>
        <w:tc>
          <w:tcPr>
            <w:tcW w:w="2319" w:type="dxa"/>
            <w:vAlign w:val="bottom"/>
          </w:tcPr>
          <w:p w14:paraId="33DA7E47" w14:textId="193FE75D" w:rsidR="009A1654" w:rsidRPr="00CF67B8" w:rsidRDefault="009A1654" w:rsidP="00D66738">
            <w:pPr>
              <w:pStyle w:val="charts"/>
              <w:jc w:val="both"/>
              <w:rPr>
                <w:b/>
                <w:sz w:val="20"/>
                <w:szCs w:val="20"/>
              </w:rPr>
            </w:pPr>
            <w:r>
              <w:rPr>
                <w:b/>
                <w:sz w:val="20"/>
                <w:szCs w:val="20"/>
              </w:rPr>
              <w:t>DSBD</w:t>
            </w:r>
          </w:p>
        </w:tc>
        <w:tc>
          <w:tcPr>
            <w:tcW w:w="1712" w:type="dxa"/>
            <w:vAlign w:val="bottom"/>
          </w:tcPr>
          <w:p w14:paraId="602B2AC1" w14:textId="77777777" w:rsidR="009A1654" w:rsidRPr="00CF67B8" w:rsidRDefault="009A1654" w:rsidP="00D66738">
            <w:pPr>
              <w:pStyle w:val="charts"/>
              <w:jc w:val="both"/>
              <w:rPr>
                <w:b/>
                <w:sz w:val="20"/>
                <w:szCs w:val="20"/>
              </w:rPr>
            </w:pPr>
            <w:r w:rsidRPr="00CF67B8">
              <w:rPr>
                <w:b/>
                <w:sz w:val="20"/>
                <w:szCs w:val="20"/>
              </w:rPr>
              <w:t>Other stakeholders</w:t>
            </w:r>
          </w:p>
        </w:tc>
      </w:tr>
      <w:tr w:rsidR="009A1654" w:rsidRPr="00CF67B8" w14:paraId="01884943" w14:textId="77777777" w:rsidTr="009A1654">
        <w:trPr>
          <w:cantSplit/>
        </w:trPr>
        <w:tc>
          <w:tcPr>
            <w:tcW w:w="1526" w:type="dxa"/>
          </w:tcPr>
          <w:p w14:paraId="6547ED5E" w14:textId="44CC8A3D" w:rsidR="009A1654" w:rsidRPr="009A1654" w:rsidRDefault="009A1654" w:rsidP="00D66738">
            <w:pPr>
              <w:pStyle w:val="charts"/>
              <w:keepNext w:val="0"/>
              <w:spacing w:after="120"/>
              <w:jc w:val="both"/>
              <w:rPr>
                <w:sz w:val="20"/>
                <w:szCs w:val="20"/>
              </w:rPr>
            </w:pPr>
            <w:r w:rsidRPr="009A1654">
              <w:rPr>
                <w:sz w:val="20"/>
                <w:lang w:eastAsia="en-ZA"/>
              </w:rPr>
              <w:t>Option 1: Set up an easily accessible and low-cost dispute settlement panel.</w:t>
            </w:r>
          </w:p>
        </w:tc>
        <w:tc>
          <w:tcPr>
            <w:tcW w:w="1701" w:type="dxa"/>
          </w:tcPr>
          <w:p w14:paraId="1CCE4A08" w14:textId="77777777" w:rsidR="009A1654" w:rsidRDefault="009A1654" w:rsidP="00D66738">
            <w:pPr>
              <w:pStyle w:val="charts"/>
              <w:keepNext w:val="0"/>
              <w:spacing w:after="120"/>
              <w:jc w:val="both"/>
              <w:rPr>
                <w:sz w:val="20"/>
                <w:szCs w:val="20"/>
              </w:rPr>
            </w:pPr>
            <w:r>
              <w:rPr>
                <w:sz w:val="20"/>
                <w:szCs w:val="20"/>
              </w:rPr>
              <w:t>C: Cost of dispute settlement</w:t>
            </w:r>
          </w:p>
          <w:p w14:paraId="21BAB432" w14:textId="0E68097C" w:rsidR="009A1654" w:rsidRDefault="009A1654" w:rsidP="00D66738">
            <w:pPr>
              <w:pStyle w:val="charts"/>
              <w:keepNext w:val="0"/>
              <w:spacing w:after="120"/>
              <w:jc w:val="both"/>
              <w:rPr>
                <w:sz w:val="20"/>
                <w:szCs w:val="20"/>
              </w:rPr>
            </w:pPr>
            <w:r>
              <w:rPr>
                <w:sz w:val="20"/>
                <w:szCs w:val="20"/>
              </w:rPr>
              <w:t>B: Disputes resolved fairly without legal costs</w:t>
            </w:r>
          </w:p>
          <w:p w14:paraId="4ED82EEF" w14:textId="054A763C" w:rsidR="009A1654" w:rsidRPr="00CF67B8" w:rsidRDefault="009A1654" w:rsidP="00D66738">
            <w:pPr>
              <w:pStyle w:val="charts"/>
              <w:keepNext w:val="0"/>
              <w:spacing w:after="120"/>
              <w:jc w:val="both"/>
              <w:rPr>
                <w:sz w:val="20"/>
                <w:szCs w:val="20"/>
              </w:rPr>
            </w:pPr>
            <w:r>
              <w:rPr>
                <w:sz w:val="20"/>
                <w:szCs w:val="20"/>
              </w:rPr>
              <w:t>R: Dispute mechanism becomes costly and over-legalised; wrong decisions; no enforcement powers</w:t>
            </w:r>
          </w:p>
        </w:tc>
        <w:tc>
          <w:tcPr>
            <w:tcW w:w="1984" w:type="dxa"/>
          </w:tcPr>
          <w:p w14:paraId="536352A8" w14:textId="5E26D9D4" w:rsidR="009A1654" w:rsidRDefault="009A1654" w:rsidP="00D66738">
            <w:pPr>
              <w:pStyle w:val="charts"/>
              <w:keepNext w:val="0"/>
              <w:spacing w:after="120"/>
              <w:jc w:val="both"/>
              <w:rPr>
                <w:sz w:val="20"/>
                <w:szCs w:val="20"/>
              </w:rPr>
            </w:pPr>
            <w:r>
              <w:rPr>
                <w:sz w:val="20"/>
                <w:szCs w:val="20"/>
              </w:rPr>
              <w:t xml:space="preserve">C: Cost of dispute settlement; providing fair conditions for subcontractors </w:t>
            </w:r>
          </w:p>
          <w:p w14:paraId="137F8EC2" w14:textId="77777777" w:rsidR="009A1654" w:rsidRDefault="009A1654" w:rsidP="00D66738">
            <w:pPr>
              <w:pStyle w:val="charts"/>
              <w:keepNext w:val="0"/>
              <w:spacing w:after="120"/>
              <w:jc w:val="both"/>
              <w:rPr>
                <w:sz w:val="20"/>
                <w:szCs w:val="20"/>
              </w:rPr>
            </w:pPr>
            <w:r>
              <w:rPr>
                <w:sz w:val="20"/>
                <w:szCs w:val="20"/>
              </w:rPr>
              <w:t>B: Disputes resolved fairly and cheaply; more motivated subcontractors</w:t>
            </w:r>
          </w:p>
          <w:p w14:paraId="3B8F3B56" w14:textId="1992B193" w:rsidR="009A1654" w:rsidRPr="00CF67B8" w:rsidRDefault="009A1654" w:rsidP="00D66738">
            <w:pPr>
              <w:pStyle w:val="charts"/>
              <w:keepNext w:val="0"/>
              <w:spacing w:after="120"/>
              <w:jc w:val="both"/>
              <w:rPr>
                <w:sz w:val="20"/>
                <w:szCs w:val="20"/>
              </w:rPr>
            </w:pPr>
            <w:r>
              <w:rPr>
                <w:sz w:val="20"/>
                <w:szCs w:val="20"/>
              </w:rPr>
              <w:t>R: As with small business</w:t>
            </w:r>
          </w:p>
        </w:tc>
        <w:tc>
          <w:tcPr>
            <w:tcW w:w="2319" w:type="dxa"/>
          </w:tcPr>
          <w:p w14:paraId="64B0DE29" w14:textId="77777777" w:rsidR="009A1654" w:rsidRDefault="009A1654" w:rsidP="00D66738">
            <w:pPr>
              <w:pStyle w:val="charts"/>
              <w:keepNext w:val="0"/>
              <w:spacing w:after="120"/>
              <w:jc w:val="both"/>
              <w:rPr>
                <w:sz w:val="20"/>
                <w:szCs w:val="20"/>
              </w:rPr>
            </w:pPr>
            <w:r>
              <w:rPr>
                <w:sz w:val="20"/>
                <w:szCs w:val="20"/>
              </w:rPr>
              <w:t>C: Setting up and maintaining dispute settlement panel, including payment for arbitrators</w:t>
            </w:r>
          </w:p>
          <w:p w14:paraId="5D8B3C1B" w14:textId="77777777" w:rsidR="009A1654" w:rsidRDefault="009A1654" w:rsidP="00D66738">
            <w:pPr>
              <w:pStyle w:val="charts"/>
              <w:keepNext w:val="0"/>
              <w:spacing w:after="120"/>
              <w:jc w:val="both"/>
              <w:rPr>
                <w:sz w:val="20"/>
                <w:szCs w:val="20"/>
              </w:rPr>
            </w:pPr>
            <w:r>
              <w:rPr>
                <w:sz w:val="20"/>
                <w:szCs w:val="20"/>
              </w:rPr>
              <w:t>B: Enable small business to benefit from state procurement, especially given newly gazetted proposals on subcontracting</w:t>
            </w:r>
          </w:p>
          <w:p w14:paraId="00E41D1A" w14:textId="7D863DB0" w:rsidR="009A1654" w:rsidRPr="00CF67B8" w:rsidRDefault="009A1654" w:rsidP="00D66738">
            <w:pPr>
              <w:pStyle w:val="charts"/>
              <w:keepNext w:val="0"/>
              <w:spacing w:after="120"/>
              <w:jc w:val="both"/>
              <w:rPr>
                <w:sz w:val="20"/>
                <w:szCs w:val="20"/>
              </w:rPr>
            </w:pPr>
            <w:r>
              <w:rPr>
                <w:sz w:val="20"/>
                <w:szCs w:val="20"/>
              </w:rPr>
              <w:t>R: Panel does not function; costs get out of hand</w:t>
            </w:r>
          </w:p>
        </w:tc>
        <w:tc>
          <w:tcPr>
            <w:tcW w:w="1712" w:type="dxa"/>
          </w:tcPr>
          <w:p w14:paraId="2B3051A0" w14:textId="0BDA1826" w:rsidR="009A1654" w:rsidRDefault="009A1654" w:rsidP="00D66738">
            <w:pPr>
              <w:pStyle w:val="charts"/>
              <w:keepNext w:val="0"/>
              <w:spacing w:after="120"/>
              <w:jc w:val="both"/>
              <w:rPr>
                <w:sz w:val="20"/>
                <w:szCs w:val="20"/>
              </w:rPr>
            </w:pPr>
            <w:r>
              <w:rPr>
                <w:sz w:val="20"/>
                <w:szCs w:val="20"/>
              </w:rPr>
              <w:t>C: State resources go for panel rather than other priorities</w:t>
            </w:r>
          </w:p>
          <w:p w14:paraId="77B83DF7" w14:textId="19B3BA23" w:rsidR="009A1654" w:rsidRDefault="009A1654" w:rsidP="00D66738">
            <w:pPr>
              <w:pStyle w:val="charts"/>
              <w:keepNext w:val="0"/>
              <w:spacing w:after="120"/>
              <w:jc w:val="both"/>
              <w:rPr>
                <w:sz w:val="20"/>
                <w:szCs w:val="20"/>
              </w:rPr>
            </w:pPr>
            <w:r>
              <w:rPr>
                <w:sz w:val="20"/>
                <w:szCs w:val="20"/>
              </w:rPr>
              <w:t xml:space="preserve">B: </w:t>
            </w:r>
            <w:r w:rsidR="00876660">
              <w:rPr>
                <w:sz w:val="20"/>
                <w:szCs w:val="20"/>
              </w:rPr>
              <w:t>Spill overs</w:t>
            </w:r>
            <w:r>
              <w:rPr>
                <w:sz w:val="20"/>
                <w:szCs w:val="20"/>
              </w:rPr>
              <w:t xml:space="preserve"> from growth in small business</w:t>
            </w:r>
          </w:p>
          <w:p w14:paraId="5AC2E2EB" w14:textId="6DBE5E2E" w:rsidR="009A1654" w:rsidRPr="00CF67B8" w:rsidRDefault="009A1654" w:rsidP="00D66738">
            <w:pPr>
              <w:pStyle w:val="charts"/>
              <w:keepNext w:val="0"/>
              <w:spacing w:after="120"/>
              <w:jc w:val="both"/>
              <w:rPr>
                <w:sz w:val="20"/>
                <w:szCs w:val="20"/>
              </w:rPr>
            </w:pPr>
            <w:r>
              <w:rPr>
                <w:sz w:val="20"/>
                <w:szCs w:val="20"/>
              </w:rPr>
              <w:t>R: As with DSBD</w:t>
            </w:r>
          </w:p>
        </w:tc>
      </w:tr>
      <w:tr w:rsidR="009A1654" w:rsidRPr="00CF67B8" w14:paraId="0D9FEBB5" w14:textId="77777777" w:rsidTr="009A1654">
        <w:trPr>
          <w:cantSplit/>
        </w:trPr>
        <w:tc>
          <w:tcPr>
            <w:tcW w:w="1526" w:type="dxa"/>
          </w:tcPr>
          <w:p w14:paraId="646F346D" w14:textId="722E1A93" w:rsidR="009A1654" w:rsidRPr="009A1654" w:rsidRDefault="009A1654" w:rsidP="00D66738">
            <w:pPr>
              <w:pStyle w:val="charts"/>
              <w:keepNext w:val="0"/>
              <w:spacing w:after="120"/>
              <w:jc w:val="both"/>
              <w:rPr>
                <w:sz w:val="20"/>
                <w:szCs w:val="20"/>
              </w:rPr>
            </w:pPr>
            <w:r w:rsidRPr="009A1654">
              <w:rPr>
                <w:sz w:val="20"/>
                <w:lang w:eastAsia="en-ZA"/>
              </w:rPr>
              <w:t>Option 2: Establish regulations on key areas of dispute (particularly timing of payments and the definition of work required) with a dispute-settlement process.</w:t>
            </w:r>
          </w:p>
        </w:tc>
        <w:tc>
          <w:tcPr>
            <w:tcW w:w="1701" w:type="dxa"/>
          </w:tcPr>
          <w:p w14:paraId="3925F289" w14:textId="23EF2F38" w:rsidR="009A1654" w:rsidRDefault="009A1654" w:rsidP="00D66738">
            <w:pPr>
              <w:pStyle w:val="charts"/>
              <w:keepNext w:val="0"/>
              <w:spacing w:after="120"/>
              <w:jc w:val="both"/>
              <w:rPr>
                <w:sz w:val="20"/>
                <w:szCs w:val="20"/>
              </w:rPr>
            </w:pPr>
            <w:r>
              <w:rPr>
                <w:sz w:val="20"/>
                <w:szCs w:val="20"/>
              </w:rPr>
              <w:t>C: Cost of dispute settlement, where relevant</w:t>
            </w:r>
          </w:p>
          <w:p w14:paraId="5C41C448" w14:textId="77777777" w:rsidR="009A1654" w:rsidRDefault="009A1654" w:rsidP="00D66738">
            <w:pPr>
              <w:pStyle w:val="charts"/>
              <w:keepNext w:val="0"/>
              <w:spacing w:after="120"/>
              <w:jc w:val="both"/>
              <w:rPr>
                <w:sz w:val="20"/>
                <w:szCs w:val="20"/>
              </w:rPr>
            </w:pPr>
            <w:r>
              <w:rPr>
                <w:sz w:val="20"/>
                <w:szCs w:val="20"/>
              </w:rPr>
              <w:t>B: Clear regulatory framework and dispute settlement process</w:t>
            </w:r>
          </w:p>
          <w:p w14:paraId="1F4B76F7" w14:textId="276F0158" w:rsidR="009A1654" w:rsidRPr="00CF67B8" w:rsidRDefault="009A1654" w:rsidP="00D66738">
            <w:pPr>
              <w:pStyle w:val="charts"/>
              <w:keepNext w:val="0"/>
              <w:spacing w:after="120"/>
              <w:jc w:val="both"/>
              <w:rPr>
                <w:sz w:val="20"/>
                <w:szCs w:val="20"/>
              </w:rPr>
            </w:pPr>
            <w:r>
              <w:rPr>
                <w:sz w:val="20"/>
                <w:szCs w:val="20"/>
              </w:rPr>
              <w:t>R: Limited enforcement mechanisms; inappropriate standards</w:t>
            </w:r>
          </w:p>
        </w:tc>
        <w:tc>
          <w:tcPr>
            <w:tcW w:w="1984" w:type="dxa"/>
          </w:tcPr>
          <w:p w14:paraId="443BEC03" w14:textId="77777777" w:rsidR="00644C05" w:rsidRDefault="00644C05" w:rsidP="00D66738">
            <w:pPr>
              <w:pStyle w:val="charts"/>
              <w:keepNext w:val="0"/>
              <w:spacing w:after="120"/>
              <w:jc w:val="both"/>
              <w:rPr>
                <w:sz w:val="20"/>
                <w:szCs w:val="20"/>
              </w:rPr>
            </w:pPr>
            <w:r>
              <w:rPr>
                <w:sz w:val="20"/>
                <w:szCs w:val="20"/>
              </w:rPr>
              <w:t xml:space="preserve">C: Cost of dispute settlement; providing fair conditions for subcontractors </w:t>
            </w:r>
          </w:p>
          <w:p w14:paraId="49D9F5BF" w14:textId="77777777" w:rsidR="00644C05" w:rsidRDefault="00644C05" w:rsidP="00D66738">
            <w:pPr>
              <w:pStyle w:val="charts"/>
              <w:keepNext w:val="0"/>
              <w:spacing w:after="120"/>
              <w:jc w:val="both"/>
              <w:rPr>
                <w:sz w:val="20"/>
                <w:szCs w:val="20"/>
              </w:rPr>
            </w:pPr>
            <w:r>
              <w:rPr>
                <w:sz w:val="20"/>
                <w:szCs w:val="20"/>
              </w:rPr>
              <w:t>B: Disputes resolved fairly and cheaply; more motivated subcontractors</w:t>
            </w:r>
          </w:p>
          <w:p w14:paraId="4A1FF875" w14:textId="49B5853D" w:rsidR="009A1654" w:rsidRPr="00CF67B8" w:rsidRDefault="00644C05" w:rsidP="00D66738">
            <w:pPr>
              <w:pStyle w:val="charts"/>
              <w:keepNext w:val="0"/>
              <w:spacing w:after="120"/>
              <w:jc w:val="both"/>
              <w:rPr>
                <w:sz w:val="20"/>
                <w:szCs w:val="20"/>
              </w:rPr>
            </w:pPr>
            <w:r>
              <w:rPr>
                <w:sz w:val="20"/>
                <w:szCs w:val="20"/>
              </w:rPr>
              <w:t>R: As with small business</w:t>
            </w:r>
          </w:p>
        </w:tc>
        <w:tc>
          <w:tcPr>
            <w:tcW w:w="2319" w:type="dxa"/>
          </w:tcPr>
          <w:p w14:paraId="36E76EB1" w14:textId="77777777" w:rsidR="009A1654" w:rsidRDefault="00644C05" w:rsidP="00D66738">
            <w:pPr>
              <w:pStyle w:val="charts"/>
              <w:keepNext w:val="0"/>
              <w:spacing w:after="120"/>
              <w:jc w:val="both"/>
              <w:rPr>
                <w:sz w:val="20"/>
                <w:szCs w:val="20"/>
              </w:rPr>
            </w:pPr>
            <w:r>
              <w:rPr>
                <w:sz w:val="20"/>
                <w:szCs w:val="20"/>
              </w:rPr>
              <w:t>C: Developing and monitoring standards; dispute settlement panel as above</w:t>
            </w:r>
          </w:p>
          <w:p w14:paraId="14AA5003" w14:textId="77777777" w:rsidR="00644C05" w:rsidRDefault="00644C05" w:rsidP="00D66738">
            <w:pPr>
              <w:pStyle w:val="charts"/>
              <w:keepNext w:val="0"/>
              <w:spacing w:after="120"/>
              <w:jc w:val="both"/>
              <w:rPr>
                <w:sz w:val="20"/>
                <w:szCs w:val="20"/>
              </w:rPr>
            </w:pPr>
            <w:r>
              <w:rPr>
                <w:sz w:val="20"/>
                <w:szCs w:val="20"/>
              </w:rPr>
              <w:t>B: Enable small business to benefit from state procurement, especially given newly gazetted proposals on subcontracting</w:t>
            </w:r>
          </w:p>
          <w:p w14:paraId="445E0AAF" w14:textId="6A942857" w:rsidR="00644C05" w:rsidRPr="00CF67B8" w:rsidRDefault="00644C05" w:rsidP="00D66738">
            <w:pPr>
              <w:pStyle w:val="charts"/>
              <w:keepNext w:val="0"/>
              <w:spacing w:after="120"/>
              <w:jc w:val="both"/>
              <w:rPr>
                <w:sz w:val="20"/>
                <w:szCs w:val="20"/>
              </w:rPr>
            </w:pPr>
            <w:r>
              <w:rPr>
                <w:sz w:val="20"/>
                <w:szCs w:val="20"/>
              </w:rPr>
              <w:t>R: Unable to monitor or enforce standards; panel does not function; costs get out of hand</w:t>
            </w:r>
          </w:p>
        </w:tc>
        <w:tc>
          <w:tcPr>
            <w:tcW w:w="1712" w:type="dxa"/>
          </w:tcPr>
          <w:p w14:paraId="4B9A433B" w14:textId="36B7AD98" w:rsidR="00644C05" w:rsidRDefault="00644C05" w:rsidP="00D66738">
            <w:pPr>
              <w:pStyle w:val="charts"/>
              <w:keepNext w:val="0"/>
              <w:spacing w:after="120"/>
              <w:jc w:val="both"/>
              <w:rPr>
                <w:sz w:val="20"/>
                <w:szCs w:val="20"/>
              </w:rPr>
            </w:pPr>
            <w:r>
              <w:rPr>
                <w:sz w:val="20"/>
                <w:szCs w:val="20"/>
              </w:rPr>
              <w:t>C: State resources go to enforce standards rather than other priorities</w:t>
            </w:r>
          </w:p>
          <w:p w14:paraId="78120D97" w14:textId="09837D20" w:rsidR="00644C05" w:rsidRDefault="00644C05" w:rsidP="00D66738">
            <w:pPr>
              <w:pStyle w:val="charts"/>
              <w:keepNext w:val="0"/>
              <w:spacing w:after="120"/>
              <w:jc w:val="both"/>
              <w:rPr>
                <w:sz w:val="20"/>
                <w:szCs w:val="20"/>
              </w:rPr>
            </w:pPr>
            <w:r>
              <w:rPr>
                <w:sz w:val="20"/>
                <w:szCs w:val="20"/>
              </w:rPr>
              <w:t xml:space="preserve">B: </w:t>
            </w:r>
            <w:r w:rsidR="00876660">
              <w:rPr>
                <w:sz w:val="20"/>
                <w:szCs w:val="20"/>
              </w:rPr>
              <w:t>Spill overs</w:t>
            </w:r>
            <w:r>
              <w:rPr>
                <w:sz w:val="20"/>
                <w:szCs w:val="20"/>
              </w:rPr>
              <w:t xml:space="preserve"> from growth in small business</w:t>
            </w:r>
          </w:p>
          <w:p w14:paraId="4FFF3BA4" w14:textId="67A04DEB" w:rsidR="009A1654" w:rsidRPr="00CF67B8" w:rsidRDefault="00644C05" w:rsidP="00D66738">
            <w:pPr>
              <w:pStyle w:val="charts"/>
              <w:keepNext w:val="0"/>
              <w:spacing w:after="120"/>
              <w:jc w:val="both"/>
              <w:rPr>
                <w:sz w:val="20"/>
                <w:szCs w:val="20"/>
              </w:rPr>
            </w:pPr>
            <w:r>
              <w:rPr>
                <w:sz w:val="20"/>
                <w:szCs w:val="20"/>
              </w:rPr>
              <w:t>R: As with DSBD</w:t>
            </w:r>
          </w:p>
        </w:tc>
      </w:tr>
      <w:tr w:rsidR="009A1654" w:rsidRPr="00CF67B8" w14:paraId="63A10EA7" w14:textId="77777777" w:rsidTr="009A1654">
        <w:trPr>
          <w:cantSplit/>
        </w:trPr>
        <w:tc>
          <w:tcPr>
            <w:tcW w:w="1526" w:type="dxa"/>
          </w:tcPr>
          <w:p w14:paraId="4B222C29" w14:textId="678E45BA" w:rsidR="009A1654" w:rsidRPr="009A1654" w:rsidRDefault="009A1654" w:rsidP="00D66738">
            <w:pPr>
              <w:pStyle w:val="charts"/>
              <w:keepNext w:val="0"/>
              <w:spacing w:after="120"/>
              <w:jc w:val="both"/>
              <w:rPr>
                <w:sz w:val="20"/>
                <w:szCs w:val="20"/>
              </w:rPr>
            </w:pPr>
            <w:r w:rsidRPr="009A1654">
              <w:rPr>
                <w:sz w:val="20"/>
                <w:lang w:eastAsia="en-ZA"/>
              </w:rPr>
              <w:t>Option 3: DSDB to establish a subcontracting hotline for small businesses.</w:t>
            </w:r>
          </w:p>
        </w:tc>
        <w:tc>
          <w:tcPr>
            <w:tcW w:w="1701" w:type="dxa"/>
          </w:tcPr>
          <w:p w14:paraId="3F8B8440" w14:textId="77777777" w:rsidR="009A1654" w:rsidRDefault="00644C05" w:rsidP="00D66738">
            <w:pPr>
              <w:pStyle w:val="charts"/>
              <w:keepNext w:val="0"/>
              <w:spacing w:after="120"/>
              <w:jc w:val="both"/>
              <w:rPr>
                <w:sz w:val="20"/>
                <w:szCs w:val="20"/>
              </w:rPr>
            </w:pPr>
            <w:r>
              <w:rPr>
                <w:sz w:val="20"/>
                <w:szCs w:val="20"/>
              </w:rPr>
              <w:t>C: None</w:t>
            </w:r>
          </w:p>
          <w:p w14:paraId="56216820" w14:textId="77777777" w:rsidR="00644C05" w:rsidRDefault="00644C05" w:rsidP="00D66738">
            <w:pPr>
              <w:pStyle w:val="charts"/>
              <w:keepNext w:val="0"/>
              <w:spacing w:after="120"/>
              <w:jc w:val="both"/>
              <w:rPr>
                <w:sz w:val="20"/>
                <w:szCs w:val="20"/>
              </w:rPr>
            </w:pPr>
            <w:r>
              <w:rPr>
                <w:sz w:val="20"/>
                <w:szCs w:val="20"/>
              </w:rPr>
              <w:t>B: Support from DSBD in disputes with contractors</w:t>
            </w:r>
          </w:p>
          <w:p w14:paraId="2491EE55" w14:textId="5AA4842A" w:rsidR="00644C05" w:rsidRPr="00CF67B8" w:rsidRDefault="00644C05" w:rsidP="00D66738">
            <w:pPr>
              <w:pStyle w:val="charts"/>
              <w:keepNext w:val="0"/>
              <w:spacing w:after="120"/>
              <w:jc w:val="both"/>
              <w:rPr>
                <w:sz w:val="20"/>
                <w:szCs w:val="20"/>
              </w:rPr>
            </w:pPr>
            <w:r>
              <w:rPr>
                <w:sz w:val="20"/>
                <w:szCs w:val="20"/>
              </w:rPr>
              <w:t>R: DSBD unable to resolve disputes in favour of small business</w:t>
            </w:r>
          </w:p>
        </w:tc>
        <w:tc>
          <w:tcPr>
            <w:tcW w:w="1984" w:type="dxa"/>
          </w:tcPr>
          <w:p w14:paraId="26152239" w14:textId="77777777" w:rsidR="00644C05" w:rsidRDefault="00644C05" w:rsidP="00D66738">
            <w:pPr>
              <w:pStyle w:val="charts"/>
              <w:keepNext w:val="0"/>
              <w:spacing w:after="120"/>
              <w:jc w:val="both"/>
              <w:rPr>
                <w:sz w:val="20"/>
                <w:szCs w:val="20"/>
              </w:rPr>
            </w:pPr>
            <w:r>
              <w:rPr>
                <w:sz w:val="20"/>
                <w:szCs w:val="20"/>
              </w:rPr>
              <w:t xml:space="preserve">C: Cost of dispute settlement; providing fair conditions for subcontractors </w:t>
            </w:r>
          </w:p>
          <w:p w14:paraId="13CEBD80" w14:textId="79D46C48" w:rsidR="00644C05" w:rsidRDefault="00644C05" w:rsidP="00D66738">
            <w:pPr>
              <w:pStyle w:val="charts"/>
              <w:keepNext w:val="0"/>
              <w:spacing w:after="120"/>
              <w:jc w:val="both"/>
              <w:rPr>
                <w:sz w:val="20"/>
                <w:szCs w:val="20"/>
              </w:rPr>
            </w:pPr>
            <w:r>
              <w:rPr>
                <w:sz w:val="20"/>
                <w:szCs w:val="20"/>
              </w:rPr>
              <w:t>B: Mediation of disputes with small business; more motivated subcontractors</w:t>
            </w:r>
          </w:p>
          <w:p w14:paraId="7610137E" w14:textId="6CBB31F5" w:rsidR="00644C05" w:rsidRPr="00CF67B8" w:rsidRDefault="00644C05" w:rsidP="00D66738">
            <w:pPr>
              <w:pStyle w:val="charts"/>
              <w:keepNext w:val="0"/>
              <w:spacing w:after="120"/>
              <w:jc w:val="both"/>
              <w:rPr>
                <w:sz w:val="20"/>
                <w:szCs w:val="20"/>
              </w:rPr>
            </w:pPr>
            <w:r>
              <w:rPr>
                <w:sz w:val="20"/>
                <w:szCs w:val="20"/>
              </w:rPr>
              <w:t>R: DSBD supports small business even if they are in the wrong</w:t>
            </w:r>
          </w:p>
        </w:tc>
        <w:tc>
          <w:tcPr>
            <w:tcW w:w="2319" w:type="dxa"/>
          </w:tcPr>
          <w:p w14:paraId="654AF067" w14:textId="77777777" w:rsidR="009A1654" w:rsidRDefault="00644C05" w:rsidP="00D66738">
            <w:pPr>
              <w:pStyle w:val="charts"/>
              <w:keepNext w:val="0"/>
              <w:spacing w:after="120"/>
              <w:jc w:val="both"/>
              <w:rPr>
                <w:sz w:val="20"/>
                <w:szCs w:val="20"/>
              </w:rPr>
            </w:pPr>
            <w:r>
              <w:rPr>
                <w:sz w:val="20"/>
                <w:szCs w:val="20"/>
              </w:rPr>
              <w:t>C: Staffing hotline and following up on issues</w:t>
            </w:r>
          </w:p>
          <w:p w14:paraId="445D79F9" w14:textId="77777777" w:rsidR="00644C05" w:rsidRDefault="00644C05" w:rsidP="00D66738">
            <w:pPr>
              <w:pStyle w:val="charts"/>
              <w:keepNext w:val="0"/>
              <w:spacing w:after="120"/>
              <w:jc w:val="both"/>
              <w:rPr>
                <w:sz w:val="20"/>
                <w:szCs w:val="20"/>
              </w:rPr>
            </w:pPr>
            <w:r>
              <w:rPr>
                <w:sz w:val="20"/>
                <w:szCs w:val="20"/>
              </w:rPr>
              <w:t>B: Enable small business to benefit from state procurement, especially given newly gazetted proposals on subcontracting</w:t>
            </w:r>
          </w:p>
          <w:p w14:paraId="4AE410D9" w14:textId="590D8FA3" w:rsidR="00644C05" w:rsidRPr="00CF67B8" w:rsidRDefault="00644C05" w:rsidP="00D66738">
            <w:pPr>
              <w:pStyle w:val="charts"/>
              <w:keepNext w:val="0"/>
              <w:spacing w:after="120"/>
              <w:jc w:val="both"/>
              <w:rPr>
                <w:sz w:val="20"/>
                <w:szCs w:val="20"/>
              </w:rPr>
            </w:pPr>
            <w:r>
              <w:rPr>
                <w:sz w:val="20"/>
                <w:szCs w:val="20"/>
              </w:rPr>
              <w:t>R: Unable to resolve issues raised on hotline, which is a reputational risk</w:t>
            </w:r>
          </w:p>
        </w:tc>
        <w:tc>
          <w:tcPr>
            <w:tcW w:w="1712" w:type="dxa"/>
          </w:tcPr>
          <w:p w14:paraId="784C5074" w14:textId="77777777" w:rsidR="009A1654" w:rsidRDefault="00644C05" w:rsidP="00D66738">
            <w:pPr>
              <w:pStyle w:val="charts"/>
              <w:keepNext w:val="0"/>
              <w:spacing w:after="120"/>
              <w:jc w:val="both"/>
              <w:rPr>
                <w:sz w:val="20"/>
                <w:szCs w:val="20"/>
              </w:rPr>
            </w:pPr>
            <w:r>
              <w:rPr>
                <w:sz w:val="20"/>
                <w:szCs w:val="20"/>
              </w:rPr>
              <w:t>C: DSBD resources go to hotline rather than other initiatives</w:t>
            </w:r>
          </w:p>
          <w:p w14:paraId="733A253F" w14:textId="77777777" w:rsidR="00644C05" w:rsidRDefault="00644C05" w:rsidP="00D66738">
            <w:pPr>
              <w:pStyle w:val="charts"/>
              <w:keepNext w:val="0"/>
              <w:spacing w:after="120"/>
              <w:jc w:val="both"/>
              <w:rPr>
                <w:sz w:val="20"/>
                <w:szCs w:val="20"/>
              </w:rPr>
            </w:pPr>
            <w:r>
              <w:rPr>
                <w:sz w:val="20"/>
                <w:szCs w:val="20"/>
              </w:rPr>
              <w:t>B: Spillovers from growth in small business</w:t>
            </w:r>
          </w:p>
          <w:p w14:paraId="1A5FADF3" w14:textId="46CD4B59" w:rsidR="00644C05" w:rsidRPr="00CF67B8" w:rsidRDefault="00644C05" w:rsidP="00D66738">
            <w:pPr>
              <w:pStyle w:val="charts"/>
              <w:keepNext w:val="0"/>
              <w:spacing w:after="120"/>
              <w:jc w:val="both"/>
              <w:rPr>
                <w:sz w:val="20"/>
                <w:szCs w:val="20"/>
              </w:rPr>
            </w:pPr>
            <w:r>
              <w:rPr>
                <w:sz w:val="20"/>
                <w:szCs w:val="20"/>
              </w:rPr>
              <w:t>R: None</w:t>
            </w:r>
          </w:p>
        </w:tc>
      </w:tr>
    </w:tbl>
    <w:p w14:paraId="06AE7B85" w14:textId="2BEE94E7" w:rsidR="009A1654" w:rsidRDefault="00644C05" w:rsidP="00D66738">
      <w:pPr>
        <w:jc w:val="both"/>
      </w:pPr>
      <w:r>
        <w:lastRenderedPageBreak/>
        <w:t xml:space="preserve">The optimal option would be to develop a Code of Good Practice for subcontracting by suppliers to the state, with a mediation and arbitration process to manage disputes. Developing the code and a panel of experts for dispute-resolution would, however, require substantial effort, expertise and resources. It would require support from Treasury as well as other relevant departments, notably the </w:t>
      </w:r>
      <w:r w:rsidRPr="003C6473">
        <w:rPr>
          <w:b/>
        </w:rPr>
        <w:t>dti</w:t>
      </w:r>
      <w:r>
        <w:t>, as well as provincial governments.</w:t>
      </w:r>
    </w:p>
    <w:p w14:paraId="7AD31D7C" w14:textId="7B92E8C6" w:rsidR="00644C05" w:rsidRDefault="00777101" w:rsidP="00D66738">
      <w:pPr>
        <w:pStyle w:val="Heading3"/>
        <w:numPr>
          <w:ilvl w:val="2"/>
          <w:numId w:val="139"/>
        </w:numPr>
        <w:ind w:left="0" w:firstLine="0"/>
        <w:jc w:val="both"/>
      </w:pPr>
      <w:r>
        <w:t xml:space="preserve"> </w:t>
      </w:r>
      <w:bookmarkStart w:id="854" w:name="_Toc479843941"/>
      <w:bookmarkStart w:id="855" w:name="_Toc479844565"/>
      <w:bookmarkStart w:id="856" w:name="_Toc479940895"/>
      <w:r>
        <w:t>Stakeholder responses</w:t>
      </w:r>
      <w:bookmarkEnd w:id="854"/>
      <w:bookmarkEnd w:id="855"/>
      <w:bookmarkEnd w:id="856"/>
    </w:p>
    <w:p w14:paraId="13C7C321" w14:textId="77777777" w:rsidR="003A1BFF" w:rsidRDefault="003A1BFF" w:rsidP="00D66738">
      <w:pPr>
        <w:jc w:val="both"/>
      </w:pPr>
      <w:r>
        <w:t xml:space="preserve">On the regulation of payment conditions, Treasury would have to play a leading role. Departmental supply-chain managers would also have to participate in order to develop realistic turnaround times. In any case, most departments will likely see stronger rules as yet another audit requirement.  </w:t>
      </w:r>
    </w:p>
    <w:p w14:paraId="67746478" w14:textId="6B48C9C9" w:rsidR="00644C05" w:rsidRDefault="00644C05" w:rsidP="00D66738">
      <w:pPr>
        <w:jc w:val="both"/>
      </w:pPr>
      <w:r>
        <w:t>In terms of up-front payments, Treasury has long held that they impose an unacceptable risk on the state. They might, however, be more amenable if the payments were limited to relatively small contracts. In addition, the supply-chain management in most departments would likely be unwilling to take a risk on this kind of payment unless DSBD communicated the importance of the process and assisted in developing risk-mitigation processes.</w:t>
      </w:r>
    </w:p>
    <w:p w14:paraId="1A981257" w14:textId="2321F2FF" w:rsidR="00644C05" w:rsidRPr="00644C05" w:rsidRDefault="00644C05" w:rsidP="00D66738">
      <w:pPr>
        <w:jc w:val="both"/>
      </w:pPr>
      <w:r>
        <w:t xml:space="preserve">On subcontracting, there would certainly be a degree of resistance from the contractors </w:t>
      </w:r>
      <w:proofErr w:type="gramStart"/>
      <w:r>
        <w:t>themselves, since</w:t>
      </w:r>
      <w:proofErr w:type="gramEnd"/>
      <w:r>
        <w:t xml:space="preserve"> they would be required to uphold higher standards in their relations with subcontractors. </w:t>
      </w:r>
    </w:p>
    <w:p w14:paraId="79659E24" w14:textId="17CFA080" w:rsidR="00C00A97" w:rsidRPr="00A215BF" w:rsidRDefault="004C003F" w:rsidP="00D66738">
      <w:pPr>
        <w:pStyle w:val="Heading1"/>
        <w:numPr>
          <w:ilvl w:val="0"/>
          <w:numId w:val="118"/>
        </w:numPr>
        <w:spacing w:after="160" w:line="259" w:lineRule="auto"/>
        <w:jc w:val="both"/>
        <w:rPr>
          <w:rFonts w:ascii="Calibri" w:hAnsi="Calibri"/>
          <w:caps/>
          <w:color w:val="1B5068"/>
        </w:rPr>
      </w:pPr>
      <w:bookmarkStart w:id="857" w:name="_Toc479843942"/>
      <w:bookmarkStart w:id="858" w:name="_Toc479844566"/>
      <w:bookmarkStart w:id="859" w:name="_Ref479939152"/>
      <w:bookmarkStart w:id="860" w:name="_Toc479940896"/>
      <w:r w:rsidRPr="00A215BF">
        <w:rPr>
          <w:rFonts w:ascii="Calibri" w:hAnsi="Calibri"/>
          <w:caps/>
          <w:color w:val="1B5068"/>
        </w:rPr>
        <w:t>The c</w:t>
      </w:r>
      <w:r w:rsidR="00493691" w:rsidRPr="00A215BF">
        <w:rPr>
          <w:rFonts w:ascii="Calibri" w:hAnsi="Calibri"/>
          <w:caps/>
          <w:color w:val="1B5068"/>
        </w:rPr>
        <w:t>onstruction industry</w:t>
      </w:r>
      <w:bookmarkEnd w:id="857"/>
      <w:bookmarkEnd w:id="858"/>
      <w:bookmarkEnd w:id="859"/>
      <w:bookmarkEnd w:id="860"/>
    </w:p>
    <w:p w14:paraId="4A70C24A" w14:textId="1D998389" w:rsidR="00C00A97" w:rsidRPr="00F209B7" w:rsidRDefault="00C00A97" w:rsidP="00D66738">
      <w:pPr>
        <w:jc w:val="both"/>
      </w:pPr>
      <w:r w:rsidRPr="00F209B7">
        <w:t xml:space="preserve">As shown in section </w:t>
      </w:r>
      <w:r w:rsidRPr="00F209B7">
        <w:fldChar w:fldCharType="begin"/>
      </w:r>
      <w:r w:rsidRPr="00F209B7">
        <w:instrText xml:space="preserve"> REF _Ref477943298 \r \h </w:instrText>
      </w:r>
      <w:r w:rsidR="00D66738">
        <w:instrText xml:space="preserve"> \* MERGEFORMAT </w:instrText>
      </w:r>
      <w:r w:rsidRPr="00F209B7">
        <w:fldChar w:fldCharType="separate"/>
      </w:r>
      <w:r w:rsidR="005062E7">
        <w:t>2.2.4</w:t>
      </w:r>
      <w:r w:rsidRPr="00F209B7">
        <w:fldChar w:fldCharType="end"/>
      </w:r>
      <w:r w:rsidRPr="00F209B7">
        <w:t xml:space="preserve">, construction is a major industry for small business. Many small businesspeople however argue that they find it difficult to </w:t>
      </w:r>
      <w:r w:rsidR="001F6443">
        <w:t>get formal contracts</w:t>
      </w:r>
      <w:r w:rsidRPr="00F209B7">
        <w:t xml:space="preserve">, including through tenders with government entities. They also argue that programmes that are supposed to assist them, notably the establishment of the Construction Industry Development Board (CIDB) add to their regulatory burdens. </w:t>
      </w:r>
    </w:p>
    <w:p w14:paraId="62DA6A6C" w14:textId="10CCD62B" w:rsidR="00C00A97" w:rsidRPr="00F209B7" w:rsidRDefault="00C00A97" w:rsidP="00D66738">
      <w:pPr>
        <w:jc w:val="both"/>
      </w:pPr>
      <w:r w:rsidRPr="00F209B7">
        <w:t xml:space="preserve">The construction industry is also regulated to protect consumers, workers and the environment. Many of these rules are imposed at municipal level, however. </w:t>
      </w:r>
      <w:r w:rsidR="00433005" w:rsidRPr="00F209B7">
        <w:t xml:space="preserve">The </w:t>
      </w:r>
      <w:r w:rsidR="00696E79">
        <w:t xml:space="preserve">national </w:t>
      </w:r>
      <w:r w:rsidR="00433005" w:rsidRPr="00F209B7">
        <w:t xml:space="preserve">laws that affect construction include: </w:t>
      </w:r>
    </w:p>
    <w:p w14:paraId="70318D65" w14:textId="3A02073B" w:rsidR="00433005" w:rsidRPr="00F209B7" w:rsidRDefault="00433005" w:rsidP="00D66738">
      <w:pPr>
        <w:pStyle w:val="ListParagraph"/>
        <w:numPr>
          <w:ilvl w:val="0"/>
          <w:numId w:val="57"/>
        </w:numPr>
        <w:ind w:left="357" w:hanging="357"/>
        <w:contextualSpacing/>
        <w:jc w:val="both"/>
      </w:pPr>
      <w:r w:rsidRPr="00F209B7">
        <w:t>The Construction Industry Development Board Act of 2000</w:t>
      </w:r>
    </w:p>
    <w:p w14:paraId="380A4591" w14:textId="08149278" w:rsidR="00433005" w:rsidRPr="00F209B7" w:rsidRDefault="00433005" w:rsidP="00D66738">
      <w:pPr>
        <w:pStyle w:val="ListParagraph"/>
        <w:numPr>
          <w:ilvl w:val="0"/>
          <w:numId w:val="57"/>
        </w:numPr>
        <w:ind w:left="357" w:hanging="357"/>
        <w:contextualSpacing/>
        <w:jc w:val="both"/>
      </w:pPr>
      <w:r w:rsidRPr="00F209B7">
        <w:t>Housing Consumer Protection Measures Act of 1998</w:t>
      </w:r>
    </w:p>
    <w:p w14:paraId="7D1B9879" w14:textId="6CE8C1F8" w:rsidR="00433005" w:rsidRPr="00F209B7" w:rsidRDefault="00433005" w:rsidP="00D66738">
      <w:pPr>
        <w:pStyle w:val="ListParagraph"/>
        <w:numPr>
          <w:ilvl w:val="0"/>
          <w:numId w:val="57"/>
        </w:numPr>
        <w:ind w:left="357" w:hanging="357"/>
        <w:contextualSpacing/>
        <w:jc w:val="both"/>
      </w:pPr>
      <w:r w:rsidRPr="00F209B7">
        <w:t>Council for the Built Environment Act of 2000</w:t>
      </w:r>
    </w:p>
    <w:p w14:paraId="26B56121" w14:textId="102AA418" w:rsidR="00433005" w:rsidRPr="00F209B7" w:rsidRDefault="00433005" w:rsidP="00D66738">
      <w:pPr>
        <w:pStyle w:val="ListParagraph"/>
        <w:numPr>
          <w:ilvl w:val="0"/>
          <w:numId w:val="57"/>
        </w:numPr>
        <w:ind w:left="357" w:hanging="357"/>
        <w:contextualSpacing/>
        <w:jc w:val="both"/>
      </w:pPr>
      <w:r w:rsidRPr="00F209B7">
        <w:t>Quantity Surveying Profession Act of 2009</w:t>
      </w:r>
    </w:p>
    <w:p w14:paraId="175BFC8B" w14:textId="4417648A" w:rsidR="00433005" w:rsidRPr="00F209B7" w:rsidRDefault="00433005" w:rsidP="00D66738">
      <w:pPr>
        <w:pStyle w:val="ListParagraph"/>
        <w:numPr>
          <w:ilvl w:val="0"/>
          <w:numId w:val="57"/>
        </w:numPr>
        <w:ind w:left="357" w:hanging="357"/>
        <w:contextualSpacing/>
        <w:jc w:val="both"/>
      </w:pPr>
      <w:r w:rsidRPr="00F209B7">
        <w:t>Council for the Built Environment Act of 2000</w:t>
      </w:r>
    </w:p>
    <w:p w14:paraId="3EF413E6" w14:textId="5078C81D" w:rsidR="00433005" w:rsidRPr="00F209B7" w:rsidRDefault="00433005" w:rsidP="00D66738">
      <w:pPr>
        <w:pStyle w:val="ListParagraph"/>
        <w:numPr>
          <w:ilvl w:val="0"/>
          <w:numId w:val="57"/>
        </w:numPr>
        <w:ind w:left="357" w:hanging="357"/>
        <w:contextualSpacing/>
        <w:jc w:val="both"/>
      </w:pPr>
      <w:r w:rsidRPr="00F209B7">
        <w:t>Engineering Profession Act of 2000</w:t>
      </w:r>
    </w:p>
    <w:p w14:paraId="34AC2942" w14:textId="44A1F366" w:rsidR="00433005" w:rsidRPr="00F209B7" w:rsidRDefault="00433005" w:rsidP="00D66738">
      <w:pPr>
        <w:pStyle w:val="ListParagraph"/>
        <w:numPr>
          <w:ilvl w:val="0"/>
          <w:numId w:val="57"/>
        </w:numPr>
        <w:ind w:left="357" w:hanging="357"/>
        <w:contextualSpacing/>
        <w:jc w:val="both"/>
      </w:pPr>
      <w:r w:rsidRPr="00F209B7">
        <w:t>The Architectural Profession Act of 2000</w:t>
      </w:r>
    </w:p>
    <w:p w14:paraId="4BB7A67D" w14:textId="14037B5B" w:rsidR="00433005" w:rsidRPr="00F209B7" w:rsidRDefault="00433005" w:rsidP="00D66738">
      <w:pPr>
        <w:pStyle w:val="ListParagraph"/>
        <w:numPr>
          <w:ilvl w:val="0"/>
          <w:numId w:val="57"/>
        </w:numPr>
        <w:ind w:left="357" w:hanging="357"/>
        <w:contextualSpacing/>
        <w:jc w:val="both"/>
      </w:pPr>
      <w:r w:rsidRPr="00F209B7">
        <w:t>Consumer Protection Act of 2008</w:t>
      </w:r>
    </w:p>
    <w:p w14:paraId="5F7AD742" w14:textId="64A009BA" w:rsidR="00433005" w:rsidRPr="00F209B7" w:rsidRDefault="00433005" w:rsidP="00D66738">
      <w:pPr>
        <w:pStyle w:val="ListParagraph"/>
        <w:numPr>
          <w:ilvl w:val="0"/>
          <w:numId w:val="57"/>
        </w:numPr>
        <w:ind w:left="357" w:hanging="357"/>
        <w:contextualSpacing/>
        <w:jc w:val="both"/>
      </w:pPr>
      <w:r w:rsidRPr="00F209B7">
        <w:t>Environment Conservation Act of 1989</w:t>
      </w:r>
    </w:p>
    <w:p w14:paraId="06A0F49E" w14:textId="6AA22332" w:rsidR="00433005" w:rsidRPr="00F209B7" w:rsidRDefault="00433005" w:rsidP="00D66738">
      <w:pPr>
        <w:pStyle w:val="ListParagraph"/>
        <w:numPr>
          <w:ilvl w:val="0"/>
          <w:numId w:val="57"/>
        </w:numPr>
        <w:ind w:left="357" w:hanging="357"/>
        <w:contextualSpacing/>
        <w:jc w:val="both"/>
      </w:pPr>
      <w:r w:rsidRPr="00F209B7">
        <w:t>National Environmental Management Act of 1998</w:t>
      </w:r>
    </w:p>
    <w:p w14:paraId="67D50B9E" w14:textId="134FFC36" w:rsidR="00433005" w:rsidRPr="00F209B7" w:rsidRDefault="00433005" w:rsidP="00D66738">
      <w:pPr>
        <w:pStyle w:val="ListParagraph"/>
        <w:numPr>
          <w:ilvl w:val="0"/>
          <w:numId w:val="57"/>
        </w:numPr>
        <w:ind w:left="357" w:hanging="357"/>
        <w:contextualSpacing/>
        <w:jc w:val="both"/>
      </w:pPr>
      <w:r w:rsidRPr="00F209B7">
        <w:t xml:space="preserve">National Water Act </w:t>
      </w:r>
      <w:r w:rsidR="00696E79">
        <w:t>of</w:t>
      </w:r>
      <w:r w:rsidRPr="00F209B7">
        <w:t xml:space="preserve"> 1998</w:t>
      </w:r>
    </w:p>
    <w:p w14:paraId="732B8B68" w14:textId="6C0E5398" w:rsidR="00433005" w:rsidRPr="00F209B7" w:rsidRDefault="00433005" w:rsidP="00D66738">
      <w:pPr>
        <w:pStyle w:val="ListParagraph"/>
        <w:numPr>
          <w:ilvl w:val="0"/>
          <w:numId w:val="57"/>
        </w:numPr>
        <w:ind w:left="357" w:hanging="357"/>
        <w:contextualSpacing/>
        <w:jc w:val="both"/>
      </w:pPr>
      <w:r w:rsidRPr="00F209B7">
        <w:t>Air Quality Act of 2004</w:t>
      </w:r>
    </w:p>
    <w:p w14:paraId="688FFAE8" w14:textId="7E8B64F3" w:rsidR="00433005" w:rsidRPr="00F209B7" w:rsidRDefault="00433005" w:rsidP="00D66738">
      <w:pPr>
        <w:pStyle w:val="ListParagraph"/>
        <w:numPr>
          <w:ilvl w:val="0"/>
          <w:numId w:val="57"/>
        </w:numPr>
        <w:ind w:left="357" w:hanging="357"/>
        <w:contextualSpacing/>
        <w:jc w:val="both"/>
      </w:pPr>
      <w:r w:rsidRPr="00F209B7">
        <w:t>Waste Act of 2008</w:t>
      </w:r>
    </w:p>
    <w:p w14:paraId="7699864C" w14:textId="7F27B48B" w:rsidR="00C00A97" w:rsidRPr="00F209B7" w:rsidRDefault="00C00A97" w:rsidP="00D66738">
      <w:pPr>
        <w:jc w:val="both"/>
      </w:pPr>
      <w:r w:rsidRPr="00F209B7">
        <w:lastRenderedPageBreak/>
        <w:t xml:space="preserve">This section focuses on </w:t>
      </w:r>
      <w:r w:rsidR="00433005" w:rsidRPr="00F209B7">
        <w:t>the CIDB Act</w:t>
      </w:r>
      <w:r w:rsidR="00C8046A">
        <w:t xml:space="preserve">, which is supposed amongst other functions to facilitate access to government tenders for small businesses. </w:t>
      </w:r>
      <w:r w:rsidRPr="00F209B7">
        <w:t xml:space="preserve"> </w:t>
      </w:r>
    </w:p>
    <w:p w14:paraId="7F9FE7FF" w14:textId="77777777" w:rsidR="006454CA" w:rsidRPr="00F209B7" w:rsidRDefault="006454CA" w:rsidP="00D66738">
      <w:pPr>
        <w:pStyle w:val="Heading2"/>
        <w:numPr>
          <w:ilvl w:val="1"/>
          <w:numId w:val="140"/>
        </w:numPr>
        <w:ind w:left="0" w:firstLine="0"/>
        <w:jc w:val="both"/>
      </w:pPr>
      <w:bookmarkStart w:id="861" w:name="_Toc479843943"/>
      <w:bookmarkStart w:id="862" w:name="_Toc479844567"/>
      <w:bookmarkStart w:id="863" w:name="_Toc479940897"/>
      <w:bookmarkStart w:id="864" w:name="_Toc469585778"/>
      <w:r w:rsidRPr="00F209B7">
        <w:t>The legal framework</w:t>
      </w:r>
      <w:bookmarkEnd w:id="861"/>
      <w:bookmarkEnd w:id="862"/>
      <w:bookmarkEnd w:id="863"/>
    </w:p>
    <w:p w14:paraId="3494200B" w14:textId="77777777" w:rsidR="00433005" w:rsidRPr="00F209B7" w:rsidRDefault="00433005" w:rsidP="00D66738">
      <w:pPr>
        <w:jc w:val="both"/>
      </w:pPr>
      <w:r w:rsidRPr="00F209B7">
        <w:t>The CIDB Act provides for the establishment of the CIDB in order to implement an integrated strategy for the reconstruction, growth and development of the construction industry</w:t>
      </w:r>
      <w:bookmarkEnd w:id="864"/>
      <w:r w:rsidRPr="00F209B7">
        <w:t xml:space="preserve">. Specifically, </w:t>
      </w:r>
    </w:p>
    <w:p w14:paraId="319E09F5" w14:textId="77777777" w:rsidR="00433005" w:rsidRPr="00F209B7" w:rsidRDefault="00433005" w:rsidP="00D66738">
      <w:pPr>
        <w:pStyle w:val="ListParagraph"/>
        <w:numPr>
          <w:ilvl w:val="0"/>
          <w:numId w:val="58"/>
        </w:numPr>
        <w:jc w:val="both"/>
      </w:pPr>
      <w:r w:rsidRPr="00F209B7">
        <w:t xml:space="preserve">Businesses that want to bid for government construction tenders are required to register with the CIDB and, for larger tenders, to demonstrate appropriate competency. </w:t>
      </w:r>
    </w:p>
    <w:p w14:paraId="16F0CC2E" w14:textId="77777777" w:rsidR="00433005" w:rsidRPr="00F209B7" w:rsidRDefault="00433005" w:rsidP="00D66738">
      <w:pPr>
        <w:pStyle w:val="ListParagraph"/>
        <w:numPr>
          <w:ilvl w:val="0"/>
          <w:numId w:val="58"/>
        </w:numPr>
        <w:jc w:val="both"/>
      </w:pPr>
      <w:r w:rsidRPr="00F209B7">
        <w:t>Government departments are expected to take the CIDB rating into account in construction tender processes.</w:t>
      </w:r>
    </w:p>
    <w:p w14:paraId="2ED5C1D3" w14:textId="77777777" w:rsidR="00433005" w:rsidRPr="00F209B7" w:rsidRDefault="00433005" w:rsidP="00D66738">
      <w:pPr>
        <w:pStyle w:val="ListParagraph"/>
        <w:numPr>
          <w:ilvl w:val="0"/>
          <w:numId w:val="58"/>
        </w:numPr>
        <w:jc w:val="both"/>
      </w:pPr>
      <w:r w:rsidRPr="00F209B7">
        <w:t xml:space="preserve">The CIDB provides some mentoring and support for emerging construction businesses so that they can gradually improve their competencies and bid for larger tenders. </w:t>
      </w:r>
    </w:p>
    <w:p w14:paraId="59798F92" w14:textId="77777777" w:rsidR="006454CA" w:rsidRPr="00F209B7" w:rsidRDefault="006454CA" w:rsidP="00D66738">
      <w:pPr>
        <w:pStyle w:val="Heading2"/>
        <w:numPr>
          <w:ilvl w:val="1"/>
          <w:numId w:val="140"/>
        </w:numPr>
        <w:ind w:left="0" w:firstLine="0"/>
        <w:jc w:val="both"/>
      </w:pPr>
      <w:bookmarkStart w:id="865" w:name="_Toc479843944"/>
      <w:bookmarkStart w:id="866" w:name="_Toc479844568"/>
      <w:bookmarkStart w:id="867" w:name="_Toc479940898"/>
      <w:r w:rsidRPr="00F209B7">
        <w:t>Aims and theory of change</w:t>
      </w:r>
      <w:bookmarkEnd w:id="865"/>
      <w:bookmarkEnd w:id="866"/>
      <w:bookmarkEnd w:id="867"/>
    </w:p>
    <w:p w14:paraId="2785BEAA" w14:textId="77777777" w:rsidR="006454CA" w:rsidRPr="00F209B7" w:rsidRDefault="006454CA" w:rsidP="00D66738">
      <w:pPr>
        <w:jc w:val="both"/>
      </w:pPr>
      <w:r w:rsidRPr="00F209B7">
        <w:t>The main problem addressed by the law or regulation is that (a) state agencies often could not tell which small contractors were competent, which meant they sometimes ended up with substandard products, and (b) historically large companies dominated state construction tenders.</w:t>
      </w:r>
    </w:p>
    <w:p w14:paraId="50F04571" w14:textId="3DFE64CD" w:rsidR="006454CA" w:rsidRPr="00F209B7" w:rsidRDefault="006454CA" w:rsidP="00D66738">
      <w:pPr>
        <w:jc w:val="both"/>
      </w:pPr>
      <w:r w:rsidRPr="00F209B7">
        <w:fldChar w:fldCharType="begin"/>
      </w:r>
      <w:r w:rsidRPr="00F209B7">
        <w:instrText xml:space="preserve"> REF _Ref469410510 \h  \* MERGEFORMAT </w:instrText>
      </w:r>
      <w:r w:rsidRPr="00F209B7">
        <w:fldChar w:fldCharType="separate"/>
      </w:r>
      <w:r w:rsidR="005062E7" w:rsidRPr="005062E7">
        <w:rPr>
          <w:bCs/>
          <w:color w:val="000000" w:themeColor="text1"/>
          <w:szCs w:val="18"/>
        </w:rPr>
        <w:t xml:space="preserve">Table </w:t>
      </w:r>
      <w:r w:rsidR="005062E7" w:rsidRPr="005062E7">
        <w:rPr>
          <w:bCs/>
          <w:noProof/>
          <w:color w:val="000000" w:themeColor="text1"/>
          <w:szCs w:val="18"/>
        </w:rPr>
        <w:t>26</w:t>
      </w:r>
      <w:r w:rsidRPr="00F209B7">
        <w:fldChar w:fldCharType="end"/>
      </w:r>
      <w:r w:rsidRPr="00F209B7">
        <w:t xml:space="preserve"> indicates the main beneficiaries and cost bearers from the problems that the CIDB Act seek to alleviate. </w:t>
      </w:r>
    </w:p>
    <w:p w14:paraId="2CA4D70B" w14:textId="7337B4C5" w:rsidR="006454CA" w:rsidRPr="000468A4" w:rsidRDefault="006454CA" w:rsidP="00D66738">
      <w:pPr>
        <w:pStyle w:val="Caption"/>
        <w:jc w:val="both"/>
      </w:pPr>
      <w:bookmarkStart w:id="868" w:name="_Ref469410510"/>
      <w:bookmarkStart w:id="869" w:name="_Toc469410602"/>
      <w:bookmarkStart w:id="870" w:name="_Toc469411195"/>
      <w:bookmarkStart w:id="871" w:name="_Toc469411513"/>
      <w:bookmarkStart w:id="872" w:name="_Toc469485020"/>
      <w:bookmarkStart w:id="873" w:name="_Toc479940983"/>
      <w:r w:rsidRPr="000468A4">
        <w:t xml:space="preserve">Table </w:t>
      </w:r>
      <w:fldSimple w:instr=" SEQ Table \* ARABIC ">
        <w:r w:rsidR="005062E7">
          <w:rPr>
            <w:noProof/>
          </w:rPr>
          <w:t>26</w:t>
        </w:r>
      </w:fldSimple>
      <w:bookmarkEnd w:id="868"/>
      <w:r w:rsidR="00696E79">
        <w:rPr>
          <w:noProof/>
        </w:rPr>
        <w:t>.</w:t>
      </w:r>
      <w:r w:rsidRPr="000468A4">
        <w:t xml:space="preserve"> The problems that the CIDB Act seeks to address, and their beneficiaries and cost bearers</w:t>
      </w:r>
      <w:bookmarkEnd w:id="869"/>
      <w:bookmarkEnd w:id="870"/>
      <w:bookmarkEnd w:id="871"/>
      <w:bookmarkEnd w:id="872"/>
      <w:bookmarkEnd w:id="873"/>
    </w:p>
    <w:tbl>
      <w:tblPr>
        <w:tblStyle w:val="TableGrid1"/>
        <w:tblW w:w="5000" w:type="pct"/>
        <w:tblLook w:val="0600" w:firstRow="0" w:lastRow="0" w:firstColumn="0" w:lastColumn="0" w:noHBand="1" w:noVBand="1"/>
      </w:tblPr>
      <w:tblGrid>
        <w:gridCol w:w="1810"/>
        <w:gridCol w:w="1843"/>
        <w:gridCol w:w="2693"/>
        <w:gridCol w:w="2896"/>
      </w:tblGrid>
      <w:tr w:rsidR="006454CA" w:rsidRPr="003C6473" w14:paraId="7FC72EA2" w14:textId="77777777" w:rsidTr="003C6473">
        <w:tc>
          <w:tcPr>
            <w:tcW w:w="979" w:type="pct"/>
          </w:tcPr>
          <w:p w14:paraId="4ADA966A" w14:textId="77777777" w:rsidR="006454CA" w:rsidRPr="003C6473" w:rsidRDefault="006454CA" w:rsidP="00D66738">
            <w:pPr>
              <w:keepNext/>
              <w:spacing w:before="0"/>
              <w:contextualSpacing/>
              <w:jc w:val="both"/>
              <w:rPr>
                <w:b/>
                <w:sz w:val="20"/>
                <w:szCs w:val="20"/>
              </w:rPr>
            </w:pPr>
            <w:r w:rsidRPr="003C6473">
              <w:rPr>
                <w:b/>
                <w:sz w:val="20"/>
                <w:szCs w:val="20"/>
              </w:rPr>
              <w:t xml:space="preserve">Problem </w:t>
            </w:r>
          </w:p>
        </w:tc>
        <w:tc>
          <w:tcPr>
            <w:tcW w:w="997" w:type="pct"/>
          </w:tcPr>
          <w:p w14:paraId="3EC93D0B" w14:textId="77777777" w:rsidR="006454CA" w:rsidRPr="003C6473" w:rsidRDefault="006454CA" w:rsidP="00D66738">
            <w:pPr>
              <w:keepNext/>
              <w:spacing w:before="0"/>
              <w:contextualSpacing/>
              <w:jc w:val="both"/>
              <w:rPr>
                <w:b/>
                <w:sz w:val="20"/>
                <w:szCs w:val="20"/>
              </w:rPr>
            </w:pPr>
            <w:r w:rsidRPr="003C6473">
              <w:rPr>
                <w:b/>
                <w:sz w:val="20"/>
                <w:szCs w:val="20"/>
              </w:rPr>
              <w:t>Beneficiaries from the problem</w:t>
            </w:r>
          </w:p>
        </w:tc>
        <w:tc>
          <w:tcPr>
            <w:tcW w:w="1457" w:type="pct"/>
          </w:tcPr>
          <w:p w14:paraId="4937B559" w14:textId="77777777" w:rsidR="006454CA" w:rsidRPr="003C6473" w:rsidRDefault="006454CA" w:rsidP="00D66738">
            <w:pPr>
              <w:keepNext/>
              <w:spacing w:before="0"/>
              <w:contextualSpacing/>
              <w:jc w:val="both"/>
              <w:rPr>
                <w:b/>
                <w:sz w:val="20"/>
                <w:szCs w:val="20"/>
              </w:rPr>
            </w:pPr>
            <w:r w:rsidRPr="003C6473">
              <w:rPr>
                <w:b/>
                <w:sz w:val="20"/>
                <w:szCs w:val="20"/>
              </w:rPr>
              <w:t>Cost bearers of the problem</w:t>
            </w:r>
          </w:p>
        </w:tc>
        <w:tc>
          <w:tcPr>
            <w:tcW w:w="1567" w:type="pct"/>
          </w:tcPr>
          <w:p w14:paraId="7934F5D0" w14:textId="77777777" w:rsidR="006454CA" w:rsidRPr="003C6473" w:rsidRDefault="006454CA" w:rsidP="00D66738">
            <w:pPr>
              <w:keepNext/>
              <w:spacing w:before="0"/>
              <w:contextualSpacing/>
              <w:jc w:val="both"/>
              <w:rPr>
                <w:b/>
                <w:sz w:val="20"/>
                <w:szCs w:val="20"/>
              </w:rPr>
            </w:pPr>
            <w:r w:rsidRPr="003C6473">
              <w:rPr>
                <w:b/>
                <w:sz w:val="20"/>
                <w:szCs w:val="20"/>
              </w:rPr>
              <w:t xml:space="preserve">Measures </w:t>
            </w:r>
          </w:p>
        </w:tc>
      </w:tr>
      <w:tr w:rsidR="006454CA" w:rsidRPr="003C6473" w14:paraId="34212F53" w14:textId="77777777" w:rsidTr="003C6473">
        <w:tc>
          <w:tcPr>
            <w:tcW w:w="979" w:type="pct"/>
          </w:tcPr>
          <w:p w14:paraId="175509A5" w14:textId="77777777" w:rsidR="006454CA" w:rsidRPr="003C6473" w:rsidRDefault="006454CA" w:rsidP="00D66738">
            <w:pPr>
              <w:keepNext/>
              <w:spacing w:before="0"/>
              <w:contextualSpacing/>
              <w:jc w:val="both"/>
              <w:rPr>
                <w:sz w:val="20"/>
                <w:szCs w:val="20"/>
              </w:rPr>
            </w:pPr>
            <w:r w:rsidRPr="003C6473">
              <w:rPr>
                <w:rFonts w:ascii="Calibri" w:eastAsia="Calibri" w:hAnsi="Calibri" w:cs="Times New Roman"/>
                <w:b/>
                <w:sz w:val="20"/>
                <w:szCs w:val="20"/>
              </w:rPr>
              <w:t>State agencies often unable to assess competency of contractors</w:t>
            </w:r>
          </w:p>
        </w:tc>
        <w:tc>
          <w:tcPr>
            <w:tcW w:w="997" w:type="pct"/>
          </w:tcPr>
          <w:p w14:paraId="345FBE1B" w14:textId="77777777" w:rsidR="006454CA" w:rsidRPr="003C6473" w:rsidRDefault="006454CA" w:rsidP="00D66738">
            <w:pPr>
              <w:keepNext/>
              <w:spacing w:before="0"/>
              <w:contextualSpacing/>
              <w:jc w:val="both"/>
              <w:rPr>
                <w:sz w:val="20"/>
                <w:szCs w:val="20"/>
              </w:rPr>
            </w:pPr>
            <w:r w:rsidRPr="003C6473">
              <w:rPr>
                <w:sz w:val="20"/>
                <w:szCs w:val="20"/>
              </w:rPr>
              <w:t>Substandard tenderers who could not comply with new requirements</w:t>
            </w:r>
          </w:p>
        </w:tc>
        <w:tc>
          <w:tcPr>
            <w:tcW w:w="1457" w:type="pct"/>
          </w:tcPr>
          <w:p w14:paraId="580CF05E" w14:textId="143F5DF3" w:rsidR="006454CA" w:rsidRPr="003C6473" w:rsidRDefault="006454CA" w:rsidP="00D66738">
            <w:pPr>
              <w:keepNext/>
              <w:spacing w:before="0"/>
              <w:contextualSpacing/>
              <w:jc w:val="both"/>
              <w:rPr>
                <w:rFonts w:ascii="Calibri" w:eastAsia="Calibri" w:hAnsi="Calibri" w:cs="Times New Roman"/>
                <w:sz w:val="20"/>
                <w:szCs w:val="20"/>
              </w:rPr>
            </w:pPr>
            <w:r w:rsidRPr="003C6473">
              <w:rPr>
                <w:sz w:val="20"/>
                <w:szCs w:val="20"/>
              </w:rPr>
              <w:t>Government institutions/</w:t>
            </w:r>
            <w:r w:rsidR="00696E79" w:rsidRPr="003C6473">
              <w:rPr>
                <w:sz w:val="20"/>
                <w:szCs w:val="20"/>
              </w:rPr>
              <w:t xml:space="preserve"> </w:t>
            </w:r>
            <w:r w:rsidRPr="003C6473">
              <w:rPr>
                <w:sz w:val="20"/>
                <w:szCs w:val="20"/>
              </w:rPr>
              <w:t>National Treasury; competent contractors; users of substandard or delayed infrastructure</w:t>
            </w:r>
          </w:p>
        </w:tc>
        <w:tc>
          <w:tcPr>
            <w:tcW w:w="1567" w:type="pct"/>
          </w:tcPr>
          <w:p w14:paraId="036E28D5" w14:textId="77777777" w:rsidR="006454CA" w:rsidRPr="003C6473" w:rsidRDefault="006454CA" w:rsidP="00D66738">
            <w:pPr>
              <w:keepNext/>
              <w:spacing w:before="0"/>
              <w:contextualSpacing/>
              <w:jc w:val="both"/>
              <w:rPr>
                <w:sz w:val="20"/>
                <w:szCs w:val="20"/>
              </w:rPr>
            </w:pPr>
            <w:r w:rsidRPr="003C6473">
              <w:rPr>
                <w:sz w:val="20"/>
                <w:szCs w:val="20"/>
              </w:rPr>
              <w:t>CIDB to assess competency of construction businesses that want to tender for state tenders</w:t>
            </w:r>
          </w:p>
        </w:tc>
      </w:tr>
      <w:tr w:rsidR="006454CA" w:rsidRPr="003C6473" w14:paraId="4E201DF6" w14:textId="77777777" w:rsidTr="003C6473">
        <w:tc>
          <w:tcPr>
            <w:tcW w:w="979" w:type="pct"/>
          </w:tcPr>
          <w:p w14:paraId="7821429D" w14:textId="77777777" w:rsidR="006454CA" w:rsidRPr="003C6473" w:rsidRDefault="006454CA" w:rsidP="00D66738">
            <w:pPr>
              <w:spacing w:before="0"/>
              <w:contextualSpacing/>
              <w:jc w:val="both"/>
              <w:rPr>
                <w:rFonts w:ascii="Calibri" w:eastAsia="Calibri" w:hAnsi="Calibri" w:cs="Times New Roman"/>
                <w:sz w:val="20"/>
                <w:szCs w:val="20"/>
              </w:rPr>
            </w:pPr>
            <w:r w:rsidRPr="003C6473">
              <w:rPr>
                <w:rFonts w:ascii="Calibri" w:eastAsia="Calibri" w:hAnsi="Calibri" w:cs="Times New Roman"/>
                <w:b/>
                <w:sz w:val="20"/>
                <w:szCs w:val="20"/>
              </w:rPr>
              <w:t>Small contractors not participating in state contracts</w:t>
            </w:r>
          </w:p>
        </w:tc>
        <w:tc>
          <w:tcPr>
            <w:tcW w:w="997" w:type="pct"/>
          </w:tcPr>
          <w:p w14:paraId="2F057B78" w14:textId="77777777" w:rsidR="006454CA" w:rsidRPr="003C6473" w:rsidRDefault="006454CA" w:rsidP="00D66738">
            <w:pPr>
              <w:spacing w:before="0"/>
              <w:contextualSpacing/>
              <w:jc w:val="both"/>
              <w:rPr>
                <w:sz w:val="20"/>
                <w:szCs w:val="20"/>
              </w:rPr>
            </w:pPr>
            <w:r w:rsidRPr="003C6473">
              <w:rPr>
                <w:sz w:val="20"/>
                <w:szCs w:val="20"/>
              </w:rPr>
              <w:t>Large companies</w:t>
            </w:r>
          </w:p>
        </w:tc>
        <w:tc>
          <w:tcPr>
            <w:tcW w:w="1457" w:type="pct"/>
          </w:tcPr>
          <w:p w14:paraId="005E7CF2" w14:textId="77777777" w:rsidR="006454CA" w:rsidRPr="003C6473" w:rsidRDefault="006454CA" w:rsidP="00D66738">
            <w:pPr>
              <w:spacing w:before="0"/>
              <w:contextualSpacing/>
              <w:jc w:val="both"/>
              <w:rPr>
                <w:sz w:val="20"/>
                <w:szCs w:val="20"/>
              </w:rPr>
            </w:pPr>
            <w:r w:rsidRPr="003C6473">
              <w:rPr>
                <w:sz w:val="20"/>
                <w:szCs w:val="20"/>
              </w:rPr>
              <w:t>Competent small contractors</w:t>
            </w:r>
          </w:p>
        </w:tc>
        <w:tc>
          <w:tcPr>
            <w:tcW w:w="1567" w:type="pct"/>
          </w:tcPr>
          <w:p w14:paraId="43EBF4EE" w14:textId="77777777" w:rsidR="006454CA" w:rsidRPr="003C6473" w:rsidRDefault="006454CA" w:rsidP="00D66738">
            <w:pPr>
              <w:spacing w:before="0"/>
              <w:contextualSpacing/>
              <w:jc w:val="both"/>
              <w:rPr>
                <w:sz w:val="20"/>
                <w:szCs w:val="20"/>
              </w:rPr>
            </w:pPr>
            <w:r w:rsidRPr="003C6473">
              <w:rPr>
                <w:sz w:val="20"/>
                <w:szCs w:val="20"/>
              </w:rPr>
              <w:t>Small contractors can get certification of competency and some mentoring from CIDB</w:t>
            </w:r>
          </w:p>
        </w:tc>
      </w:tr>
    </w:tbl>
    <w:p w14:paraId="412A43E1" w14:textId="003A87E9" w:rsidR="00C00A97" w:rsidRPr="00F209B7" w:rsidRDefault="00C00A97" w:rsidP="00D66738">
      <w:pPr>
        <w:jc w:val="both"/>
      </w:pPr>
      <w:r w:rsidRPr="00F209B7">
        <w:t xml:space="preserve">The legislation presumes that the root cause of substandard </w:t>
      </w:r>
      <w:r w:rsidR="00696E79">
        <w:t>delivery by small construction firms</w:t>
      </w:r>
      <w:r w:rsidRPr="00F209B7">
        <w:t xml:space="preserve"> was that government clients </w:t>
      </w:r>
      <w:r w:rsidR="00696E79">
        <w:t>could not adequately vet</w:t>
      </w:r>
      <w:r w:rsidRPr="00F209B7">
        <w:t xml:space="preserve"> contractor's capabilities</w:t>
      </w:r>
      <w:r w:rsidR="00696E79">
        <w:t xml:space="preserve">. As a result, they either did not </w:t>
      </w:r>
      <w:r w:rsidRPr="00F209B7">
        <w:t xml:space="preserve">award contracts to </w:t>
      </w:r>
      <w:r w:rsidR="007C59D1">
        <w:t>small businesses</w:t>
      </w:r>
      <w:r w:rsidRPr="00F209B7">
        <w:t xml:space="preserve"> </w:t>
      </w:r>
      <w:r w:rsidR="00696E79">
        <w:t xml:space="preserve">at all, or they contracted small businesses that did </w:t>
      </w:r>
      <w:r w:rsidRPr="00F209B7">
        <w:t xml:space="preserve">substandard work. </w:t>
      </w:r>
    </w:p>
    <w:p w14:paraId="0D7ADC98" w14:textId="77777777" w:rsidR="00C00A97" w:rsidRPr="00F209B7" w:rsidRDefault="00C00A97" w:rsidP="00D66738">
      <w:pPr>
        <w:jc w:val="both"/>
        <w:rPr>
          <w:szCs w:val="24"/>
        </w:rPr>
      </w:pPr>
      <w:r w:rsidRPr="00F209B7">
        <w:rPr>
          <w:szCs w:val="24"/>
        </w:rPr>
        <w:t>The legislation presumes the following steps will lead to achievement of the desired outcomes.</w:t>
      </w:r>
    </w:p>
    <w:p w14:paraId="3D6D5C21" w14:textId="585D470E" w:rsidR="00C00A97" w:rsidRPr="00F209B7" w:rsidRDefault="00C00A97" w:rsidP="00D66738">
      <w:pPr>
        <w:pStyle w:val="ListParagraph"/>
        <w:numPr>
          <w:ilvl w:val="0"/>
          <w:numId w:val="56"/>
        </w:numPr>
        <w:jc w:val="both"/>
        <w:rPr>
          <w:szCs w:val="24"/>
        </w:rPr>
      </w:pPr>
      <w:r w:rsidRPr="00F209B7">
        <w:rPr>
          <w:szCs w:val="24"/>
        </w:rPr>
        <w:t xml:space="preserve">CIDB will set up a </w:t>
      </w:r>
      <w:r w:rsidR="00696E79">
        <w:rPr>
          <w:szCs w:val="24"/>
        </w:rPr>
        <w:t xml:space="preserve">system to </w:t>
      </w:r>
      <w:r w:rsidRPr="00F209B7">
        <w:rPr>
          <w:szCs w:val="24"/>
        </w:rPr>
        <w:t xml:space="preserve">assess </w:t>
      </w:r>
      <w:r w:rsidR="00696E79">
        <w:rPr>
          <w:szCs w:val="24"/>
        </w:rPr>
        <w:t xml:space="preserve">and certify </w:t>
      </w:r>
      <w:r w:rsidRPr="00F209B7">
        <w:rPr>
          <w:szCs w:val="24"/>
        </w:rPr>
        <w:t>competency for different types of contract</w:t>
      </w:r>
      <w:r w:rsidR="00696E79">
        <w:rPr>
          <w:szCs w:val="24"/>
        </w:rPr>
        <w:t>; that is, it will</w:t>
      </w:r>
      <w:r w:rsidRPr="00F209B7">
        <w:rPr>
          <w:szCs w:val="24"/>
        </w:rPr>
        <w:t xml:space="preserve"> categorise and grade contractors according to capability to carry out public infrastructure projects. </w:t>
      </w:r>
    </w:p>
    <w:p w14:paraId="27743E93" w14:textId="490429C6" w:rsidR="00C00A97" w:rsidRPr="00F209B7" w:rsidRDefault="00C00A97" w:rsidP="00D66738">
      <w:pPr>
        <w:pStyle w:val="ListParagraph"/>
        <w:numPr>
          <w:ilvl w:val="0"/>
          <w:numId w:val="56"/>
        </w:numPr>
        <w:jc w:val="both"/>
        <w:rPr>
          <w:szCs w:val="24"/>
        </w:rPr>
      </w:pPr>
      <w:r w:rsidRPr="00F209B7">
        <w:rPr>
          <w:szCs w:val="24"/>
        </w:rPr>
        <w:t xml:space="preserve">Government clients in construction procurement will be able to </w:t>
      </w:r>
      <w:r w:rsidR="00696E79">
        <w:rPr>
          <w:szCs w:val="24"/>
        </w:rPr>
        <w:t xml:space="preserve">determine a </w:t>
      </w:r>
      <w:r w:rsidRPr="00F209B7">
        <w:rPr>
          <w:szCs w:val="24"/>
        </w:rPr>
        <w:t xml:space="preserve">contractor's </w:t>
      </w:r>
      <w:r w:rsidR="00696E79">
        <w:rPr>
          <w:szCs w:val="24"/>
        </w:rPr>
        <w:t xml:space="preserve">ability to meet contract requirements based on their CIDB </w:t>
      </w:r>
      <w:r w:rsidRPr="00F209B7">
        <w:rPr>
          <w:szCs w:val="24"/>
        </w:rPr>
        <w:t xml:space="preserve">grade. </w:t>
      </w:r>
    </w:p>
    <w:p w14:paraId="3191460D" w14:textId="43732087" w:rsidR="00C00A97" w:rsidRPr="00F209B7" w:rsidRDefault="00696E79" w:rsidP="00D66738">
      <w:pPr>
        <w:pStyle w:val="ListParagraph"/>
        <w:numPr>
          <w:ilvl w:val="0"/>
          <w:numId w:val="56"/>
        </w:numPr>
        <w:jc w:val="both"/>
        <w:rPr>
          <w:szCs w:val="24"/>
        </w:rPr>
      </w:pPr>
      <w:r>
        <w:rPr>
          <w:szCs w:val="24"/>
        </w:rPr>
        <w:lastRenderedPageBreak/>
        <w:t xml:space="preserve">Competent small and </w:t>
      </w:r>
      <w:r w:rsidR="00C00A97" w:rsidRPr="00F209B7">
        <w:rPr>
          <w:szCs w:val="24"/>
        </w:rPr>
        <w:t xml:space="preserve">emerging contractors </w:t>
      </w:r>
      <w:r>
        <w:rPr>
          <w:szCs w:val="24"/>
        </w:rPr>
        <w:t xml:space="preserve">will be able to obtain </w:t>
      </w:r>
      <w:r w:rsidR="00C00A97" w:rsidRPr="00F209B7">
        <w:rPr>
          <w:szCs w:val="24"/>
        </w:rPr>
        <w:t xml:space="preserve">state contracts. </w:t>
      </w:r>
    </w:p>
    <w:p w14:paraId="2D39207D" w14:textId="77777777" w:rsidR="00C00A97" w:rsidRPr="00F209B7" w:rsidRDefault="00C00A97" w:rsidP="00D66738">
      <w:pPr>
        <w:jc w:val="both"/>
        <w:rPr>
          <w:szCs w:val="24"/>
        </w:rPr>
      </w:pPr>
      <w:r w:rsidRPr="00F209B7">
        <w:rPr>
          <w:szCs w:val="24"/>
        </w:rPr>
        <w:t>The core assumptions in this theory of change are the following:</w:t>
      </w:r>
    </w:p>
    <w:p w14:paraId="03A024FE" w14:textId="2554F290" w:rsidR="00C00A97" w:rsidRPr="00F209B7" w:rsidRDefault="00696E79" w:rsidP="00D66738">
      <w:pPr>
        <w:pStyle w:val="ListParagraph"/>
        <w:numPr>
          <w:ilvl w:val="0"/>
          <w:numId w:val="142"/>
        </w:numPr>
        <w:jc w:val="both"/>
        <w:rPr>
          <w:szCs w:val="24"/>
        </w:rPr>
      </w:pPr>
      <w:r>
        <w:rPr>
          <w:szCs w:val="24"/>
        </w:rPr>
        <w:t>S</w:t>
      </w:r>
      <w:r w:rsidR="00C00A97" w:rsidRPr="00F209B7">
        <w:rPr>
          <w:szCs w:val="24"/>
        </w:rPr>
        <w:t>tate agencies will comply with requirements in contracting (</w:t>
      </w:r>
      <w:r>
        <w:rPr>
          <w:szCs w:val="24"/>
        </w:rPr>
        <w:t>they will pay attention to the CIDB grade and they will not be corrupt or misguided in decision making</w:t>
      </w:r>
      <w:r w:rsidR="00C00A97" w:rsidRPr="00F209B7">
        <w:rPr>
          <w:szCs w:val="24"/>
        </w:rPr>
        <w:t>)</w:t>
      </w:r>
      <w:r>
        <w:rPr>
          <w:szCs w:val="24"/>
        </w:rPr>
        <w:t>.</w:t>
      </w:r>
    </w:p>
    <w:p w14:paraId="31B7E5FD" w14:textId="7462DEF7" w:rsidR="00C00A97" w:rsidRPr="00F209B7" w:rsidRDefault="00696E79" w:rsidP="00D66738">
      <w:pPr>
        <w:pStyle w:val="ListParagraph"/>
        <w:numPr>
          <w:ilvl w:val="0"/>
          <w:numId w:val="142"/>
        </w:numPr>
        <w:jc w:val="both"/>
        <w:rPr>
          <w:szCs w:val="24"/>
        </w:rPr>
      </w:pPr>
      <w:r>
        <w:rPr>
          <w:szCs w:val="24"/>
        </w:rPr>
        <w:t>The</w:t>
      </w:r>
      <w:r w:rsidR="00C00A97" w:rsidRPr="00F209B7">
        <w:rPr>
          <w:szCs w:val="24"/>
        </w:rPr>
        <w:t xml:space="preserve"> CIDB assessment is </w:t>
      </w:r>
      <w:proofErr w:type="gramStart"/>
      <w:r w:rsidR="00C00A97" w:rsidRPr="00F209B7">
        <w:rPr>
          <w:szCs w:val="24"/>
        </w:rPr>
        <w:t>reliable</w:t>
      </w:r>
      <w:proofErr w:type="gramEnd"/>
      <w:r>
        <w:rPr>
          <w:szCs w:val="24"/>
        </w:rPr>
        <w:t>.</w:t>
      </w:r>
    </w:p>
    <w:p w14:paraId="76FED9D9" w14:textId="4428C966" w:rsidR="00C00A97" w:rsidRPr="00F209B7" w:rsidRDefault="00C00A97" w:rsidP="00D66738">
      <w:pPr>
        <w:pStyle w:val="ListParagraph"/>
        <w:numPr>
          <w:ilvl w:val="0"/>
          <w:numId w:val="142"/>
        </w:numPr>
        <w:jc w:val="both"/>
        <w:rPr>
          <w:szCs w:val="24"/>
        </w:rPr>
      </w:pPr>
      <w:r w:rsidRPr="00F209B7">
        <w:rPr>
          <w:szCs w:val="24"/>
        </w:rPr>
        <w:t>The cost</w:t>
      </w:r>
      <w:r w:rsidR="00696E79">
        <w:rPr>
          <w:szCs w:val="24"/>
        </w:rPr>
        <w:t>s</w:t>
      </w:r>
      <w:r w:rsidRPr="00F209B7">
        <w:rPr>
          <w:szCs w:val="24"/>
        </w:rPr>
        <w:t xml:space="preserve"> of registration </w:t>
      </w:r>
      <w:r w:rsidR="00696E79">
        <w:rPr>
          <w:szCs w:val="24"/>
        </w:rPr>
        <w:t xml:space="preserve">and assessment are </w:t>
      </w:r>
      <w:r w:rsidRPr="00F209B7">
        <w:rPr>
          <w:szCs w:val="24"/>
        </w:rPr>
        <w:t xml:space="preserve">not excessive compared to benefits of being registered </w:t>
      </w:r>
      <w:r w:rsidR="00696E79">
        <w:rPr>
          <w:szCs w:val="24"/>
        </w:rPr>
        <w:t>in the various grades.</w:t>
      </w:r>
    </w:p>
    <w:p w14:paraId="29F849DA" w14:textId="491D6D58" w:rsidR="00C00A97" w:rsidRPr="00F209B7" w:rsidRDefault="00696E79" w:rsidP="00D66738">
      <w:pPr>
        <w:pStyle w:val="ListParagraph"/>
        <w:numPr>
          <w:ilvl w:val="0"/>
          <w:numId w:val="142"/>
        </w:numPr>
        <w:jc w:val="both"/>
        <w:rPr>
          <w:szCs w:val="24"/>
        </w:rPr>
      </w:pPr>
      <w:r>
        <w:rPr>
          <w:szCs w:val="24"/>
        </w:rPr>
        <w:t>S</w:t>
      </w:r>
      <w:r w:rsidR="00C00A97" w:rsidRPr="00F209B7">
        <w:rPr>
          <w:szCs w:val="24"/>
        </w:rPr>
        <w:t xml:space="preserve">mall enterprises can meet requirements at higher levels as they gain experience and if </w:t>
      </w:r>
      <w:r>
        <w:rPr>
          <w:szCs w:val="24"/>
        </w:rPr>
        <w:t xml:space="preserve">they are </w:t>
      </w:r>
      <w:r w:rsidR="00C00A97" w:rsidRPr="00F209B7">
        <w:rPr>
          <w:szCs w:val="24"/>
        </w:rPr>
        <w:t>coached</w:t>
      </w:r>
      <w:r>
        <w:rPr>
          <w:szCs w:val="24"/>
        </w:rPr>
        <w:t>.</w:t>
      </w:r>
    </w:p>
    <w:p w14:paraId="3535F8F4" w14:textId="77777777" w:rsidR="006454CA" w:rsidRPr="00F209B7" w:rsidRDefault="00C00A97" w:rsidP="00D66738">
      <w:pPr>
        <w:pStyle w:val="Heading2"/>
        <w:numPr>
          <w:ilvl w:val="1"/>
          <w:numId w:val="140"/>
        </w:numPr>
        <w:ind w:left="0" w:firstLine="0"/>
        <w:jc w:val="both"/>
      </w:pPr>
      <w:bookmarkStart w:id="874" w:name="_Toc479843945"/>
      <w:bookmarkStart w:id="875" w:name="_Toc479844569"/>
      <w:bookmarkStart w:id="876" w:name="_Toc479940899"/>
      <w:r w:rsidRPr="00F209B7">
        <w:t>The regulatory requirements</w:t>
      </w:r>
      <w:bookmarkEnd w:id="874"/>
      <w:bookmarkEnd w:id="875"/>
      <w:bookmarkEnd w:id="876"/>
    </w:p>
    <w:p w14:paraId="440543CE" w14:textId="77777777" w:rsidR="00696E79" w:rsidRDefault="00696E79" w:rsidP="00D66738">
      <w:pPr>
        <w:jc w:val="both"/>
      </w:pPr>
      <w:r>
        <w:t>Under the CIDB Act, t</w:t>
      </w:r>
      <w:r w:rsidR="006454CA" w:rsidRPr="00F209B7">
        <w:t xml:space="preserve">he </w:t>
      </w:r>
      <w:r>
        <w:t>CIDB</w:t>
      </w:r>
      <w:r w:rsidR="006454CA" w:rsidRPr="00F209B7">
        <w:t xml:space="preserve"> acts as a regulatory body </w:t>
      </w:r>
      <w:r>
        <w:t xml:space="preserve">for the construction industry. It is expected </w:t>
      </w:r>
      <w:r w:rsidR="006454CA" w:rsidRPr="00F209B7">
        <w:t xml:space="preserve">to determine and establish best practice, develop methods for monitoring and regulating </w:t>
      </w:r>
      <w:r>
        <w:t xml:space="preserve">company and industry </w:t>
      </w:r>
      <w:r w:rsidR="006454CA" w:rsidRPr="00F209B7">
        <w:t>performance</w:t>
      </w:r>
      <w:r>
        <w:t>,</w:t>
      </w:r>
      <w:r w:rsidR="006454CA" w:rsidRPr="00F209B7">
        <w:t xml:space="preserve"> and </w:t>
      </w:r>
      <w:r>
        <w:t xml:space="preserve">register </w:t>
      </w:r>
      <w:r w:rsidR="006454CA" w:rsidRPr="00F209B7">
        <w:t xml:space="preserve">projects and contractors. </w:t>
      </w:r>
    </w:p>
    <w:p w14:paraId="7A446A7E" w14:textId="16DCA095" w:rsidR="00B02B4D" w:rsidRDefault="006454CA" w:rsidP="00D66738">
      <w:pPr>
        <w:jc w:val="both"/>
        <w:rPr>
          <w:rStyle w:val="Heading1Char"/>
          <w:rFonts w:ascii="Segoe UI" w:hAnsi="Segoe UI" w:cs="Segoe UI"/>
          <w:color w:val="444444"/>
          <w:sz w:val="21"/>
          <w:szCs w:val="21"/>
          <w:shd w:val="clear" w:color="auto" w:fill="FFFFFF"/>
        </w:rPr>
      </w:pPr>
      <w:r w:rsidRPr="00F209B7">
        <w:t xml:space="preserve">The Act also requires prospective </w:t>
      </w:r>
      <w:r w:rsidR="00B02B4D">
        <w:t xml:space="preserve">construction </w:t>
      </w:r>
      <w:r w:rsidRPr="00F209B7">
        <w:t xml:space="preserve">contractors </w:t>
      </w:r>
      <w:r w:rsidR="00B02B4D">
        <w:t xml:space="preserve">with government agencies </w:t>
      </w:r>
      <w:r w:rsidRPr="00F209B7">
        <w:t xml:space="preserve">to apply to the Register of Contractors with CIBD. </w:t>
      </w:r>
      <w:r w:rsidR="00B02B4D" w:rsidRPr="00F209B7">
        <w:t>Contractors are graded according to the size and complexity of construction project they are capable of completing. Grades range from 1 to 9</w:t>
      </w:r>
      <w:r w:rsidR="00B02B4D">
        <w:t xml:space="preserve">. </w:t>
      </w:r>
      <w:proofErr w:type="gramStart"/>
      <w:r w:rsidR="00B02B4D">
        <w:t>Grades are defined by the maximum tender</w:t>
      </w:r>
      <w:proofErr w:type="gramEnd"/>
      <w:r w:rsidR="00B02B4D">
        <w:t xml:space="preserve"> allowable to contractors in the grade.</w:t>
      </w:r>
      <w:r w:rsidR="00B02B4D" w:rsidRPr="00F209B7">
        <w:rPr>
          <w:rStyle w:val="Heading1Char"/>
          <w:rFonts w:ascii="Segoe UI" w:hAnsi="Segoe UI" w:cs="Segoe UI"/>
          <w:color w:val="444444"/>
          <w:sz w:val="21"/>
          <w:szCs w:val="21"/>
          <w:shd w:val="clear" w:color="auto" w:fill="FFFFFF"/>
        </w:rPr>
        <w:t xml:space="preserve"> </w:t>
      </w:r>
    </w:p>
    <w:p w14:paraId="5986079E" w14:textId="43970B67" w:rsidR="006454CA" w:rsidRPr="0011777B" w:rsidRDefault="000525EE" w:rsidP="00D66738">
      <w:pPr>
        <w:pStyle w:val="Caption"/>
        <w:jc w:val="both"/>
      </w:pPr>
      <w:bookmarkStart w:id="877" w:name="_Toc479845232"/>
      <w:bookmarkStart w:id="878" w:name="_Toc479940984"/>
      <w:r w:rsidRPr="000525EE">
        <w:t xml:space="preserve">Table </w:t>
      </w:r>
      <w:fldSimple w:instr=" SEQ Table \* ARABIC ">
        <w:r w:rsidR="005062E7">
          <w:rPr>
            <w:noProof/>
          </w:rPr>
          <w:t>27</w:t>
        </w:r>
      </w:fldSimple>
      <w:r w:rsidRPr="000525EE">
        <w:t xml:space="preserve">. </w:t>
      </w:r>
      <w:r w:rsidR="006454CA" w:rsidRPr="0011777B">
        <w:rPr>
          <w:b w:val="0"/>
          <w:bCs w:val="0"/>
        </w:rPr>
        <w:t>Maximum value of contracts in the different grades</w:t>
      </w:r>
      <w:bookmarkEnd w:id="877"/>
      <w:bookmarkEnd w:id="878"/>
    </w:p>
    <w:tbl>
      <w:tblPr>
        <w:tblStyle w:val="TableGrid"/>
        <w:tblW w:w="0" w:type="auto"/>
        <w:tblLook w:val="04A0" w:firstRow="1" w:lastRow="0" w:firstColumn="1" w:lastColumn="0" w:noHBand="0" w:noVBand="1"/>
      </w:tblPr>
      <w:tblGrid>
        <w:gridCol w:w="1788"/>
        <w:gridCol w:w="2998"/>
        <w:gridCol w:w="4456"/>
      </w:tblGrid>
      <w:tr w:rsidR="00B02B4D" w:rsidRPr="00B02B4D" w14:paraId="7C05EA00" w14:textId="07618D0D" w:rsidTr="00B02B4D">
        <w:tc>
          <w:tcPr>
            <w:tcW w:w="1788" w:type="dxa"/>
          </w:tcPr>
          <w:p w14:paraId="05DF2EDD" w14:textId="5F94933A" w:rsidR="00B02B4D" w:rsidRPr="00B02B4D" w:rsidRDefault="00B02B4D" w:rsidP="00D66738">
            <w:pPr>
              <w:spacing w:before="0"/>
              <w:jc w:val="both"/>
              <w:rPr>
                <w:b/>
                <w:sz w:val="20"/>
                <w:szCs w:val="20"/>
              </w:rPr>
            </w:pPr>
            <w:r w:rsidRPr="00B02B4D">
              <w:rPr>
                <w:b/>
                <w:sz w:val="20"/>
                <w:szCs w:val="20"/>
              </w:rPr>
              <w:t>Grade</w:t>
            </w:r>
          </w:p>
        </w:tc>
        <w:tc>
          <w:tcPr>
            <w:tcW w:w="2998" w:type="dxa"/>
          </w:tcPr>
          <w:p w14:paraId="5E158E6E" w14:textId="12B22F83" w:rsidR="00B02B4D" w:rsidRPr="00B02B4D" w:rsidRDefault="00B02B4D" w:rsidP="00D66738">
            <w:pPr>
              <w:spacing w:before="0"/>
              <w:jc w:val="both"/>
              <w:rPr>
                <w:b/>
                <w:sz w:val="20"/>
                <w:szCs w:val="20"/>
              </w:rPr>
            </w:pPr>
            <w:r w:rsidRPr="00B02B4D">
              <w:rPr>
                <w:b/>
                <w:sz w:val="20"/>
                <w:szCs w:val="20"/>
              </w:rPr>
              <w:t>Tender value ceiling</w:t>
            </w:r>
          </w:p>
        </w:tc>
        <w:tc>
          <w:tcPr>
            <w:tcW w:w="4456" w:type="dxa"/>
          </w:tcPr>
          <w:p w14:paraId="446CF0F5" w14:textId="5AE34D2D" w:rsidR="00B02B4D" w:rsidRPr="00B02B4D" w:rsidRDefault="00B02B4D" w:rsidP="00D66738">
            <w:pPr>
              <w:spacing w:before="0"/>
              <w:jc w:val="both"/>
              <w:rPr>
                <w:b/>
                <w:sz w:val="20"/>
                <w:szCs w:val="20"/>
              </w:rPr>
            </w:pPr>
            <w:r w:rsidRPr="00B02B4D">
              <w:rPr>
                <w:b/>
                <w:sz w:val="20"/>
                <w:szCs w:val="20"/>
              </w:rPr>
              <w:t>Number in grade, 201</w:t>
            </w:r>
            <w:r>
              <w:rPr>
                <w:b/>
                <w:sz w:val="20"/>
                <w:szCs w:val="20"/>
              </w:rPr>
              <w:t>6</w:t>
            </w:r>
          </w:p>
        </w:tc>
      </w:tr>
      <w:tr w:rsidR="00B02B4D" w:rsidRPr="00B02B4D" w14:paraId="42A07D0B" w14:textId="2264D18B" w:rsidTr="0049756B">
        <w:tc>
          <w:tcPr>
            <w:tcW w:w="1788" w:type="dxa"/>
          </w:tcPr>
          <w:p w14:paraId="26C69ADD" w14:textId="21E9DD26" w:rsidR="00B02B4D" w:rsidRPr="00B02B4D" w:rsidRDefault="00B02B4D" w:rsidP="00D66738">
            <w:pPr>
              <w:spacing w:before="0"/>
              <w:jc w:val="both"/>
              <w:rPr>
                <w:sz w:val="20"/>
                <w:szCs w:val="20"/>
              </w:rPr>
            </w:pPr>
            <w:r w:rsidRPr="00B02B4D">
              <w:rPr>
                <w:sz w:val="20"/>
                <w:szCs w:val="20"/>
              </w:rPr>
              <w:t>1</w:t>
            </w:r>
          </w:p>
        </w:tc>
        <w:tc>
          <w:tcPr>
            <w:tcW w:w="2998" w:type="dxa"/>
          </w:tcPr>
          <w:p w14:paraId="2C2FD8E4" w14:textId="23D5BF97" w:rsidR="00B02B4D" w:rsidRPr="00B02B4D" w:rsidRDefault="00B02B4D" w:rsidP="00D66738">
            <w:pPr>
              <w:spacing w:before="0"/>
              <w:jc w:val="both"/>
              <w:rPr>
                <w:sz w:val="20"/>
                <w:szCs w:val="20"/>
              </w:rPr>
            </w:pPr>
            <w:r w:rsidRPr="00B02B4D">
              <w:rPr>
                <w:sz w:val="20"/>
                <w:szCs w:val="20"/>
              </w:rPr>
              <w:t>R200 000</w:t>
            </w:r>
          </w:p>
        </w:tc>
        <w:tc>
          <w:tcPr>
            <w:tcW w:w="4456" w:type="dxa"/>
            <w:vAlign w:val="bottom"/>
          </w:tcPr>
          <w:p w14:paraId="10C7974B" w14:textId="742C5FFC" w:rsidR="00B02B4D" w:rsidRPr="00B02B4D" w:rsidRDefault="00B02B4D" w:rsidP="00D66738">
            <w:pPr>
              <w:spacing w:before="0"/>
              <w:jc w:val="both"/>
              <w:rPr>
                <w:sz w:val="20"/>
                <w:szCs w:val="20"/>
              </w:rPr>
            </w:pPr>
            <w:r w:rsidRPr="00B02B4D">
              <w:rPr>
                <w:rFonts w:ascii="Calibri" w:hAnsi="Calibri"/>
                <w:color w:val="000000"/>
                <w:sz w:val="20"/>
                <w:szCs w:val="20"/>
              </w:rPr>
              <w:t xml:space="preserve">   132 265 </w:t>
            </w:r>
          </w:p>
        </w:tc>
      </w:tr>
      <w:tr w:rsidR="00B02B4D" w:rsidRPr="00B02B4D" w14:paraId="0958397C" w14:textId="5403CAE6" w:rsidTr="0049756B">
        <w:tc>
          <w:tcPr>
            <w:tcW w:w="1788" w:type="dxa"/>
          </w:tcPr>
          <w:p w14:paraId="09EEEC41" w14:textId="77777777" w:rsidR="00B02B4D" w:rsidRPr="00B02B4D" w:rsidRDefault="00B02B4D" w:rsidP="00D66738">
            <w:pPr>
              <w:spacing w:before="0"/>
              <w:jc w:val="both"/>
              <w:rPr>
                <w:sz w:val="20"/>
                <w:szCs w:val="20"/>
              </w:rPr>
            </w:pPr>
            <w:r w:rsidRPr="00B02B4D">
              <w:rPr>
                <w:sz w:val="20"/>
                <w:szCs w:val="20"/>
              </w:rPr>
              <w:t>2</w:t>
            </w:r>
          </w:p>
        </w:tc>
        <w:tc>
          <w:tcPr>
            <w:tcW w:w="2998" w:type="dxa"/>
          </w:tcPr>
          <w:p w14:paraId="2DEA1C9B" w14:textId="77777777" w:rsidR="00B02B4D" w:rsidRPr="00B02B4D" w:rsidRDefault="00B02B4D" w:rsidP="00D66738">
            <w:pPr>
              <w:spacing w:before="0"/>
              <w:jc w:val="both"/>
              <w:rPr>
                <w:sz w:val="20"/>
                <w:szCs w:val="20"/>
              </w:rPr>
            </w:pPr>
            <w:r w:rsidRPr="00B02B4D">
              <w:rPr>
                <w:sz w:val="20"/>
                <w:szCs w:val="20"/>
              </w:rPr>
              <w:t>R650 000</w:t>
            </w:r>
          </w:p>
        </w:tc>
        <w:tc>
          <w:tcPr>
            <w:tcW w:w="4456" w:type="dxa"/>
            <w:vAlign w:val="bottom"/>
          </w:tcPr>
          <w:p w14:paraId="308BAB4D" w14:textId="656B2BA0" w:rsidR="00B02B4D" w:rsidRPr="00B02B4D" w:rsidRDefault="00B02B4D" w:rsidP="00D66738">
            <w:pPr>
              <w:spacing w:before="0"/>
              <w:jc w:val="both"/>
              <w:rPr>
                <w:sz w:val="20"/>
                <w:szCs w:val="20"/>
              </w:rPr>
            </w:pPr>
            <w:r w:rsidRPr="00B02B4D">
              <w:rPr>
                <w:rFonts w:ascii="Calibri" w:hAnsi="Calibri"/>
                <w:color w:val="000000"/>
                <w:sz w:val="20"/>
                <w:szCs w:val="20"/>
              </w:rPr>
              <w:t>2016</w:t>
            </w:r>
          </w:p>
        </w:tc>
      </w:tr>
      <w:tr w:rsidR="00B02B4D" w:rsidRPr="00B02B4D" w14:paraId="78CE4A4B" w14:textId="79378954" w:rsidTr="0049756B">
        <w:tc>
          <w:tcPr>
            <w:tcW w:w="1788" w:type="dxa"/>
          </w:tcPr>
          <w:p w14:paraId="18A1EEFD" w14:textId="77777777" w:rsidR="00B02B4D" w:rsidRPr="00B02B4D" w:rsidRDefault="00B02B4D" w:rsidP="00D66738">
            <w:pPr>
              <w:spacing w:before="0"/>
              <w:jc w:val="both"/>
              <w:rPr>
                <w:sz w:val="20"/>
                <w:szCs w:val="20"/>
              </w:rPr>
            </w:pPr>
            <w:r w:rsidRPr="00B02B4D">
              <w:rPr>
                <w:sz w:val="20"/>
                <w:szCs w:val="20"/>
              </w:rPr>
              <w:t>3</w:t>
            </w:r>
          </w:p>
        </w:tc>
        <w:tc>
          <w:tcPr>
            <w:tcW w:w="2998" w:type="dxa"/>
          </w:tcPr>
          <w:p w14:paraId="175A2872" w14:textId="77777777" w:rsidR="00B02B4D" w:rsidRPr="00B02B4D" w:rsidRDefault="00B02B4D" w:rsidP="00D66738">
            <w:pPr>
              <w:spacing w:before="0"/>
              <w:jc w:val="both"/>
              <w:rPr>
                <w:sz w:val="20"/>
                <w:szCs w:val="20"/>
              </w:rPr>
            </w:pPr>
            <w:r w:rsidRPr="00B02B4D">
              <w:rPr>
                <w:sz w:val="20"/>
                <w:szCs w:val="20"/>
              </w:rPr>
              <w:t>R2 000 000</w:t>
            </w:r>
          </w:p>
        </w:tc>
        <w:tc>
          <w:tcPr>
            <w:tcW w:w="4456" w:type="dxa"/>
            <w:vAlign w:val="bottom"/>
          </w:tcPr>
          <w:p w14:paraId="629C4BFB" w14:textId="5B757450" w:rsidR="00B02B4D" w:rsidRPr="00B02B4D" w:rsidRDefault="00B02B4D" w:rsidP="00D66738">
            <w:pPr>
              <w:spacing w:before="0"/>
              <w:jc w:val="both"/>
              <w:rPr>
                <w:sz w:val="20"/>
                <w:szCs w:val="20"/>
              </w:rPr>
            </w:pPr>
            <w:r w:rsidRPr="00B02B4D">
              <w:rPr>
                <w:rFonts w:ascii="Calibri" w:hAnsi="Calibri"/>
                <w:color w:val="000000"/>
                <w:sz w:val="20"/>
                <w:szCs w:val="20"/>
              </w:rPr>
              <w:t xml:space="preserve">        5 588 </w:t>
            </w:r>
          </w:p>
        </w:tc>
      </w:tr>
      <w:tr w:rsidR="00B02B4D" w:rsidRPr="00B02B4D" w14:paraId="1B1D1DF4" w14:textId="211BCEC0" w:rsidTr="0049756B">
        <w:tc>
          <w:tcPr>
            <w:tcW w:w="1788" w:type="dxa"/>
          </w:tcPr>
          <w:p w14:paraId="1D0517E2" w14:textId="77777777" w:rsidR="00B02B4D" w:rsidRPr="00B02B4D" w:rsidRDefault="00B02B4D" w:rsidP="00D66738">
            <w:pPr>
              <w:spacing w:before="0"/>
              <w:jc w:val="both"/>
              <w:rPr>
                <w:sz w:val="20"/>
                <w:szCs w:val="20"/>
              </w:rPr>
            </w:pPr>
            <w:r w:rsidRPr="00B02B4D">
              <w:rPr>
                <w:sz w:val="20"/>
                <w:szCs w:val="20"/>
              </w:rPr>
              <w:t>4</w:t>
            </w:r>
          </w:p>
        </w:tc>
        <w:tc>
          <w:tcPr>
            <w:tcW w:w="2998" w:type="dxa"/>
          </w:tcPr>
          <w:p w14:paraId="6771FDA9" w14:textId="77777777" w:rsidR="00B02B4D" w:rsidRPr="00B02B4D" w:rsidRDefault="00B02B4D" w:rsidP="00D66738">
            <w:pPr>
              <w:spacing w:before="0"/>
              <w:jc w:val="both"/>
              <w:rPr>
                <w:sz w:val="20"/>
                <w:szCs w:val="20"/>
              </w:rPr>
            </w:pPr>
            <w:r w:rsidRPr="00B02B4D">
              <w:rPr>
                <w:sz w:val="20"/>
                <w:szCs w:val="20"/>
              </w:rPr>
              <w:t>R4 000 000</w:t>
            </w:r>
          </w:p>
        </w:tc>
        <w:tc>
          <w:tcPr>
            <w:tcW w:w="4456" w:type="dxa"/>
            <w:vAlign w:val="bottom"/>
          </w:tcPr>
          <w:p w14:paraId="42D76B2D" w14:textId="43FBFD13" w:rsidR="00B02B4D" w:rsidRPr="00B02B4D" w:rsidRDefault="00B02B4D" w:rsidP="00D66738">
            <w:pPr>
              <w:spacing w:before="0"/>
              <w:jc w:val="both"/>
              <w:rPr>
                <w:sz w:val="20"/>
                <w:szCs w:val="20"/>
              </w:rPr>
            </w:pPr>
            <w:r w:rsidRPr="00B02B4D">
              <w:rPr>
                <w:rFonts w:ascii="Calibri" w:hAnsi="Calibri"/>
                <w:color w:val="000000"/>
                <w:sz w:val="20"/>
                <w:szCs w:val="20"/>
              </w:rPr>
              <w:t xml:space="preserve">        2 264 </w:t>
            </w:r>
          </w:p>
        </w:tc>
      </w:tr>
      <w:tr w:rsidR="00B02B4D" w:rsidRPr="00B02B4D" w14:paraId="0E45CFA9" w14:textId="5D376581" w:rsidTr="0049756B">
        <w:tc>
          <w:tcPr>
            <w:tcW w:w="1788" w:type="dxa"/>
          </w:tcPr>
          <w:p w14:paraId="4712E026" w14:textId="77777777" w:rsidR="00B02B4D" w:rsidRPr="00B02B4D" w:rsidRDefault="00B02B4D" w:rsidP="00D66738">
            <w:pPr>
              <w:spacing w:before="0"/>
              <w:jc w:val="both"/>
              <w:rPr>
                <w:sz w:val="20"/>
                <w:szCs w:val="20"/>
              </w:rPr>
            </w:pPr>
            <w:r w:rsidRPr="00B02B4D">
              <w:rPr>
                <w:sz w:val="20"/>
                <w:szCs w:val="20"/>
              </w:rPr>
              <w:t>5</w:t>
            </w:r>
          </w:p>
        </w:tc>
        <w:tc>
          <w:tcPr>
            <w:tcW w:w="2998" w:type="dxa"/>
          </w:tcPr>
          <w:p w14:paraId="3A2DE8B9" w14:textId="77777777" w:rsidR="00B02B4D" w:rsidRPr="00B02B4D" w:rsidRDefault="00B02B4D" w:rsidP="00D66738">
            <w:pPr>
              <w:spacing w:before="0"/>
              <w:jc w:val="both"/>
              <w:rPr>
                <w:sz w:val="20"/>
                <w:szCs w:val="20"/>
              </w:rPr>
            </w:pPr>
            <w:r w:rsidRPr="00B02B4D">
              <w:rPr>
                <w:sz w:val="20"/>
                <w:szCs w:val="20"/>
              </w:rPr>
              <w:t>R6 500 000</w:t>
            </w:r>
          </w:p>
        </w:tc>
        <w:tc>
          <w:tcPr>
            <w:tcW w:w="4456" w:type="dxa"/>
            <w:vAlign w:val="bottom"/>
          </w:tcPr>
          <w:p w14:paraId="313DDCA2" w14:textId="35289DD7" w:rsidR="00B02B4D" w:rsidRPr="00B02B4D" w:rsidRDefault="00B02B4D" w:rsidP="00D66738">
            <w:pPr>
              <w:spacing w:before="0"/>
              <w:jc w:val="both"/>
              <w:rPr>
                <w:sz w:val="20"/>
                <w:szCs w:val="20"/>
              </w:rPr>
            </w:pPr>
            <w:r w:rsidRPr="00B02B4D">
              <w:rPr>
                <w:rFonts w:ascii="Calibri" w:hAnsi="Calibri"/>
                <w:color w:val="000000"/>
                <w:sz w:val="20"/>
                <w:szCs w:val="20"/>
              </w:rPr>
              <w:t xml:space="preserve">        2 809 </w:t>
            </w:r>
          </w:p>
        </w:tc>
      </w:tr>
      <w:tr w:rsidR="00B02B4D" w:rsidRPr="00B02B4D" w14:paraId="56404403" w14:textId="2D45F35E" w:rsidTr="0049756B">
        <w:tc>
          <w:tcPr>
            <w:tcW w:w="1788" w:type="dxa"/>
          </w:tcPr>
          <w:p w14:paraId="273C40B1" w14:textId="77777777" w:rsidR="00B02B4D" w:rsidRPr="00B02B4D" w:rsidRDefault="00B02B4D" w:rsidP="00D66738">
            <w:pPr>
              <w:spacing w:before="0"/>
              <w:jc w:val="both"/>
              <w:rPr>
                <w:sz w:val="20"/>
                <w:szCs w:val="20"/>
              </w:rPr>
            </w:pPr>
            <w:r w:rsidRPr="00B02B4D">
              <w:rPr>
                <w:sz w:val="20"/>
                <w:szCs w:val="20"/>
              </w:rPr>
              <w:t>6</w:t>
            </w:r>
          </w:p>
        </w:tc>
        <w:tc>
          <w:tcPr>
            <w:tcW w:w="2998" w:type="dxa"/>
          </w:tcPr>
          <w:p w14:paraId="4D8A85EA" w14:textId="77777777" w:rsidR="00B02B4D" w:rsidRPr="00B02B4D" w:rsidRDefault="00B02B4D" w:rsidP="00D66738">
            <w:pPr>
              <w:spacing w:before="0"/>
              <w:jc w:val="both"/>
              <w:rPr>
                <w:sz w:val="20"/>
                <w:szCs w:val="20"/>
              </w:rPr>
            </w:pPr>
            <w:r w:rsidRPr="00B02B4D">
              <w:rPr>
                <w:sz w:val="20"/>
                <w:szCs w:val="20"/>
              </w:rPr>
              <w:t>R13 000 000</w:t>
            </w:r>
          </w:p>
        </w:tc>
        <w:tc>
          <w:tcPr>
            <w:tcW w:w="4456" w:type="dxa"/>
            <w:vAlign w:val="bottom"/>
          </w:tcPr>
          <w:p w14:paraId="6F961FAF" w14:textId="723C1612" w:rsidR="00B02B4D" w:rsidRPr="00B02B4D" w:rsidRDefault="00B02B4D" w:rsidP="00D66738">
            <w:pPr>
              <w:spacing w:before="0"/>
              <w:jc w:val="both"/>
              <w:rPr>
                <w:sz w:val="20"/>
                <w:szCs w:val="20"/>
              </w:rPr>
            </w:pPr>
            <w:r w:rsidRPr="00B02B4D">
              <w:rPr>
                <w:rFonts w:ascii="Calibri" w:hAnsi="Calibri"/>
                <w:color w:val="000000"/>
                <w:sz w:val="20"/>
                <w:szCs w:val="20"/>
              </w:rPr>
              <w:t xml:space="preserve">        1 868 </w:t>
            </w:r>
          </w:p>
        </w:tc>
      </w:tr>
      <w:tr w:rsidR="00B02B4D" w:rsidRPr="00B02B4D" w14:paraId="1B891518" w14:textId="6D4A61CD" w:rsidTr="0049756B">
        <w:tc>
          <w:tcPr>
            <w:tcW w:w="1788" w:type="dxa"/>
          </w:tcPr>
          <w:p w14:paraId="7A7E1767" w14:textId="77777777" w:rsidR="00B02B4D" w:rsidRPr="00B02B4D" w:rsidRDefault="00B02B4D" w:rsidP="00D66738">
            <w:pPr>
              <w:spacing w:before="0"/>
              <w:jc w:val="both"/>
              <w:rPr>
                <w:sz w:val="20"/>
                <w:szCs w:val="20"/>
              </w:rPr>
            </w:pPr>
            <w:r w:rsidRPr="00B02B4D">
              <w:rPr>
                <w:sz w:val="20"/>
                <w:szCs w:val="20"/>
              </w:rPr>
              <w:t>7</w:t>
            </w:r>
          </w:p>
        </w:tc>
        <w:tc>
          <w:tcPr>
            <w:tcW w:w="2998" w:type="dxa"/>
          </w:tcPr>
          <w:p w14:paraId="5254D556" w14:textId="77777777" w:rsidR="00B02B4D" w:rsidRPr="00B02B4D" w:rsidRDefault="00B02B4D" w:rsidP="00D66738">
            <w:pPr>
              <w:spacing w:before="0"/>
              <w:jc w:val="both"/>
              <w:rPr>
                <w:sz w:val="20"/>
                <w:szCs w:val="20"/>
              </w:rPr>
            </w:pPr>
            <w:r w:rsidRPr="00B02B4D">
              <w:rPr>
                <w:sz w:val="20"/>
                <w:szCs w:val="20"/>
              </w:rPr>
              <w:t>R40 000 000</w:t>
            </w:r>
          </w:p>
        </w:tc>
        <w:tc>
          <w:tcPr>
            <w:tcW w:w="4456" w:type="dxa"/>
            <w:vAlign w:val="bottom"/>
          </w:tcPr>
          <w:p w14:paraId="5996DE99" w14:textId="0627AFFF" w:rsidR="00B02B4D" w:rsidRPr="00B02B4D" w:rsidRDefault="00B02B4D" w:rsidP="00D66738">
            <w:pPr>
              <w:spacing w:before="0"/>
              <w:jc w:val="both"/>
              <w:rPr>
                <w:sz w:val="20"/>
                <w:szCs w:val="20"/>
              </w:rPr>
            </w:pPr>
            <w:r w:rsidRPr="00B02B4D">
              <w:rPr>
                <w:rFonts w:ascii="Calibri" w:hAnsi="Calibri"/>
                <w:color w:val="000000"/>
                <w:sz w:val="20"/>
                <w:szCs w:val="20"/>
              </w:rPr>
              <w:t xml:space="preserve">        2 078 </w:t>
            </w:r>
          </w:p>
        </w:tc>
      </w:tr>
      <w:tr w:rsidR="00B02B4D" w:rsidRPr="00B02B4D" w14:paraId="3AE4A1C1" w14:textId="0BE6676E" w:rsidTr="0049756B">
        <w:tc>
          <w:tcPr>
            <w:tcW w:w="1788" w:type="dxa"/>
          </w:tcPr>
          <w:p w14:paraId="74FAECD1" w14:textId="77777777" w:rsidR="00B02B4D" w:rsidRPr="00B02B4D" w:rsidRDefault="00B02B4D" w:rsidP="00D66738">
            <w:pPr>
              <w:spacing w:before="0"/>
              <w:jc w:val="both"/>
              <w:rPr>
                <w:sz w:val="20"/>
                <w:szCs w:val="20"/>
              </w:rPr>
            </w:pPr>
            <w:r w:rsidRPr="00B02B4D">
              <w:rPr>
                <w:sz w:val="20"/>
                <w:szCs w:val="20"/>
              </w:rPr>
              <w:t>8</w:t>
            </w:r>
          </w:p>
        </w:tc>
        <w:tc>
          <w:tcPr>
            <w:tcW w:w="2998" w:type="dxa"/>
          </w:tcPr>
          <w:p w14:paraId="595C097B" w14:textId="77777777" w:rsidR="00B02B4D" w:rsidRPr="00B02B4D" w:rsidRDefault="00B02B4D" w:rsidP="00D66738">
            <w:pPr>
              <w:spacing w:before="0"/>
              <w:jc w:val="both"/>
              <w:rPr>
                <w:sz w:val="20"/>
                <w:szCs w:val="20"/>
              </w:rPr>
            </w:pPr>
            <w:r w:rsidRPr="00B02B4D">
              <w:rPr>
                <w:sz w:val="20"/>
                <w:szCs w:val="20"/>
              </w:rPr>
              <w:t>R130 000 000</w:t>
            </w:r>
          </w:p>
        </w:tc>
        <w:tc>
          <w:tcPr>
            <w:tcW w:w="4456" w:type="dxa"/>
            <w:vAlign w:val="bottom"/>
          </w:tcPr>
          <w:p w14:paraId="211AA441" w14:textId="3B977C10" w:rsidR="00B02B4D" w:rsidRPr="00B02B4D" w:rsidRDefault="00B02B4D" w:rsidP="00D66738">
            <w:pPr>
              <w:spacing w:before="0"/>
              <w:jc w:val="both"/>
              <w:rPr>
                <w:sz w:val="20"/>
                <w:szCs w:val="20"/>
              </w:rPr>
            </w:pPr>
            <w:r w:rsidRPr="00B02B4D">
              <w:rPr>
                <w:rFonts w:ascii="Calibri" w:hAnsi="Calibri"/>
                <w:color w:val="000000"/>
                <w:sz w:val="20"/>
                <w:szCs w:val="20"/>
              </w:rPr>
              <w:t xml:space="preserve">        1 176 </w:t>
            </w:r>
          </w:p>
        </w:tc>
      </w:tr>
      <w:tr w:rsidR="00B02B4D" w:rsidRPr="00B02B4D" w14:paraId="73234609" w14:textId="161C1B6C" w:rsidTr="0049756B">
        <w:tc>
          <w:tcPr>
            <w:tcW w:w="1788" w:type="dxa"/>
          </w:tcPr>
          <w:p w14:paraId="701E3C6E" w14:textId="77777777" w:rsidR="00B02B4D" w:rsidRPr="00B02B4D" w:rsidRDefault="00B02B4D" w:rsidP="00D66738">
            <w:pPr>
              <w:spacing w:before="0"/>
              <w:jc w:val="both"/>
              <w:rPr>
                <w:sz w:val="20"/>
                <w:szCs w:val="20"/>
              </w:rPr>
            </w:pPr>
            <w:r w:rsidRPr="00B02B4D">
              <w:rPr>
                <w:sz w:val="20"/>
                <w:szCs w:val="20"/>
              </w:rPr>
              <w:t>9</w:t>
            </w:r>
          </w:p>
        </w:tc>
        <w:tc>
          <w:tcPr>
            <w:tcW w:w="2998" w:type="dxa"/>
          </w:tcPr>
          <w:p w14:paraId="53014790" w14:textId="77777777" w:rsidR="00B02B4D" w:rsidRPr="00B02B4D" w:rsidRDefault="00B02B4D" w:rsidP="00D66738">
            <w:pPr>
              <w:spacing w:before="0"/>
              <w:jc w:val="both"/>
              <w:rPr>
                <w:sz w:val="20"/>
                <w:szCs w:val="20"/>
              </w:rPr>
            </w:pPr>
            <w:r w:rsidRPr="00B02B4D">
              <w:rPr>
                <w:sz w:val="20"/>
                <w:szCs w:val="20"/>
              </w:rPr>
              <w:t>No limit</w:t>
            </w:r>
          </w:p>
        </w:tc>
        <w:tc>
          <w:tcPr>
            <w:tcW w:w="4456" w:type="dxa"/>
            <w:vAlign w:val="bottom"/>
          </w:tcPr>
          <w:p w14:paraId="4F54AE7D" w14:textId="3D7F5505" w:rsidR="00B02B4D" w:rsidRPr="00B02B4D" w:rsidRDefault="00B02B4D" w:rsidP="00D66738">
            <w:pPr>
              <w:spacing w:before="0"/>
              <w:jc w:val="both"/>
              <w:rPr>
                <w:sz w:val="20"/>
                <w:szCs w:val="20"/>
              </w:rPr>
            </w:pPr>
            <w:r w:rsidRPr="00B02B4D">
              <w:rPr>
                <w:rFonts w:ascii="Calibri" w:hAnsi="Calibri"/>
                <w:color w:val="000000"/>
                <w:sz w:val="20"/>
                <w:szCs w:val="20"/>
              </w:rPr>
              <w:t xml:space="preserve">           438 </w:t>
            </w:r>
          </w:p>
        </w:tc>
      </w:tr>
    </w:tbl>
    <w:p w14:paraId="2B42C899" w14:textId="64E93107" w:rsidR="006454CA" w:rsidRPr="00F209B7" w:rsidRDefault="006454CA" w:rsidP="00D66738">
      <w:pPr>
        <w:pStyle w:val="source"/>
        <w:jc w:val="both"/>
      </w:pPr>
      <w:r w:rsidRPr="00F209B7">
        <w:rPr>
          <w:i/>
        </w:rPr>
        <w:t>Source:</w:t>
      </w:r>
      <w:r w:rsidRPr="00F209B7">
        <w:t xml:space="preserve"> CIDB</w:t>
      </w:r>
      <w:r w:rsidR="001F6443">
        <w:t xml:space="preserve">. Annual Report 2015/16. </w:t>
      </w:r>
    </w:p>
    <w:p w14:paraId="5C0F4000" w14:textId="77777777" w:rsidR="00B02B4D" w:rsidRPr="00F209B7" w:rsidRDefault="00B02B4D" w:rsidP="00D66738">
      <w:pPr>
        <w:jc w:val="both"/>
        <w:rPr>
          <w:rStyle w:val="Heading1Char"/>
          <w:rFonts w:ascii="Segoe UI" w:hAnsi="Segoe UI" w:cs="Segoe UI"/>
          <w:color w:val="444444"/>
          <w:sz w:val="21"/>
          <w:szCs w:val="21"/>
          <w:shd w:val="clear" w:color="auto" w:fill="FFFFFF"/>
        </w:rPr>
      </w:pPr>
      <w:r>
        <w:t>All public-</w:t>
      </w:r>
      <w:r w:rsidRPr="00F209B7">
        <w:t xml:space="preserve">sector </w:t>
      </w:r>
      <w:r>
        <w:t xml:space="preserve">construction </w:t>
      </w:r>
      <w:r w:rsidRPr="00F209B7">
        <w:t xml:space="preserve">clients are bound by the Act to </w:t>
      </w:r>
      <w:r>
        <w:t xml:space="preserve">use </w:t>
      </w:r>
      <w:r w:rsidRPr="00F209B7">
        <w:t xml:space="preserve">the Register of Contractors in construction procurement. </w:t>
      </w:r>
      <w:r>
        <w:t xml:space="preserve">Company that do not register are supposed to be excluded from </w:t>
      </w:r>
      <w:r w:rsidRPr="00F209B7">
        <w:t>public work</w:t>
      </w:r>
      <w:r>
        <w:t xml:space="preserve">. If they do not move up the registration grades, they will be barred </w:t>
      </w:r>
      <w:r w:rsidRPr="00F209B7">
        <w:t xml:space="preserve">from larger contracts. </w:t>
      </w:r>
    </w:p>
    <w:p w14:paraId="3C165CD7" w14:textId="065DEC9F" w:rsidR="006454CA" w:rsidRDefault="006454CA" w:rsidP="00D66738">
      <w:pPr>
        <w:jc w:val="both"/>
        <w:rPr>
          <w:szCs w:val="24"/>
        </w:rPr>
      </w:pPr>
      <w:r w:rsidRPr="00F209B7">
        <w:t xml:space="preserve">The </w:t>
      </w:r>
      <w:r w:rsidR="00B02B4D">
        <w:t xml:space="preserve">following table indicates the document required to </w:t>
      </w:r>
      <w:r w:rsidRPr="00F209B7">
        <w:t>register</w:t>
      </w:r>
      <w:r w:rsidR="00B02B4D">
        <w:rPr>
          <w:szCs w:val="24"/>
        </w:rPr>
        <w:t xml:space="preserve">. For contracts above Grade 1 – that is, valued at over R200 000 – requirements with respects to competencies and resources gradually escalate. </w:t>
      </w:r>
      <w:r w:rsidR="00AE046D">
        <w:rPr>
          <w:szCs w:val="24"/>
        </w:rPr>
        <w:t xml:space="preserve"> </w:t>
      </w:r>
    </w:p>
    <w:p w14:paraId="61CCA699" w14:textId="060F7906" w:rsidR="00530DA8" w:rsidRPr="00F209B7" w:rsidRDefault="00530DA8" w:rsidP="00D66738">
      <w:pPr>
        <w:pStyle w:val="Caption"/>
        <w:jc w:val="both"/>
        <w:rPr>
          <w:szCs w:val="24"/>
        </w:rPr>
      </w:pPr>
      <w:bookmarkStart w:id="879" w:name="_Toc479940985"/>
      <w:r>
        <w:lastRenderedPageBreak/>
        <w:t xml:space="preserve">Table </w:t>
      </w:r>
      <w:fldSimple w:instr=" SEQ Table \* ARABIC ">
        <w:r w:rsidR="005062E7">
          <w:rPr>
            <w:noProof/>
          </w:rPr>
          <w:t>28</w:t>
        </w:r>
      </w:fldSimple>
      <w:r>
        <w:t>. Requirements for application to CIDB registry, by grade</w:t>
      </w:r>
      <w:bookmarkEnd w:id="879"/>
    </w:p>
    <w:tbl>
      <w:tblPr>
        <w:tblStyle w:val="TableGrid"/>
        <w:tblW w:w="0" w:type="auto"/>
        <w:tblLook w:val="04A0" w:firstRow="1" w:lastRow="0" w:firstColumn="1" w:lastColumn="0" w:noHBand="0" w:noVBand="1"/>
      </w:tblPr>
      <w:tblGrid>
        <w:gridCol w:w="2134"/>
        <w:gridCol w:w="7108"/>
      </w:tblGrid>
      <w:tr w:rsidR="00530DA8" w:rsidRPr="00530DA8" w14:paraId="56F1D60A" w14:textId="77777777" w:rsidTr="00530DA8">
        <w:trPr>
          <w:cantSplit/>
          <w:tblHeader/>
        </w:trPr>
        <w:tc>
          <w:tcPr>
            <w:tcW w:w="2134" w:type="dxa"/>
          </w:tcPr>
          <w:p w14:paraId="48C5DBC4" w14:textId="04EE81D9" w:rsidR="00530DA8" w:rsidRPr="00530DA8" w:rsidRDefault="00530DA8" w:rsidP="00D66738">
            <w:pPr>
              <w:keepNext/>
              <w:spacing w:before="0"/>
              <w:jc w:val="both"/>
              <w:rPr>
                <w:b/>
                <w:sz w:val="20"/>
                <w:szCs w:val="20"/>
              </w:rPr>
            </w:pPr>
            <w:r w:rsidRPr="00530DA8">
              <w:rPr>
                <w:b/>
                <w:sz w:val="20"/>
                <w:szCs w:val="20"/>
              </w:rPr>
              <w:t>Requirements</w:t>
            </w:r>
          </w:p>
        </w:tc>
        <w:tc>
          <w:tcPr>
            <w:tcW w:w="7108" w:type="dxa"/>
          </w:tcPr>
          <w:p w14:paraId="698CBB14" w14:textId="4CF80460" w:rsidR="00530DA8" w:rsidRPr="00530DA8" w:rsidRDefault="00530DA8" w:rsidP="00D66738">
            <w:pPr>
              <w:keepNext/>
              <w:spacing w:before="0"/>
              <w:jc w:val="both"/>
              <w:rPr>
                <w:b/>
                <w:sz w:val="20"/>
                <w:szCs w:val="20"/>
              </w:rPr>
            </w:pPr>
            <w:r w:rsidRPr="00530DA8">
              <w:rPr>
                <w:b/>
                <w:sz w:val="20"/>
                <w:szCs w:val="20"/>
              </w:rPr>
              <w:t>Documentation required</w:t>
            </w:r>
          </w:p>
        </w:tc>
      </w:tr>
      <w:tr w:rsidR="00530DA8" w:rsidRPr="00530DA8" w14:paraId="6387D098" w14:textId="73317A1D" w:rsidTr="006A41B7">
        <w:trPr>
          <w:cantSplit/>
        </w:trPr>
        <w:tc>
          <w:tcPr>
            <w:tcW w:w="9242" w:type="dxa"/>
            <w:gridSpan w:val="2"/>
            <w:shd w:val="clear" w:color="auto" w:fill="BFBFBF" w:themeFill="background1" w:themeFillShade="BF"/>
          </w:tcPr>
          <w:p w14:paraId="4C269143" w14:textId="17212A2F" w:rsidR="00530DA8" w:rsidRPr="006A41B7" w:rsidRDefault="00530DA8" w:rsidP="00D66738">
            <w:pPr>
              <w:keepNext/>
              <w:spacing w:before="0"/>
              <w:jc w:val="both"/>
              <w:rPr>
                <w:b/>
                <w:sz w:val="20"/>
                <w:szCs w:val="20"/>
              </w:rPr>
            </w:pPr>
            <w:r w:rsidRPr="006A41B7">
              <w:rPr>
                <w:b/>
                <w:sz w:val="20"/>
                <w:szCs w:val="20"/>
              </w:rPr>
              <w:t>Grade 1 (eligible for contracts up to R200 000)</w:t>
            </w:r>
          </w:p>
        </w:tc>
      </w:tr>
      <w:tr w:rsidR="00530DA8" w:rsidRPr="00530DA8" w14:paraId="5E071C5E" w14:textId="7E9F9260" w:rsidTr="00530DA8">
        <w:trPr>
          <w:cantSplit/>
        </w:trPr>
        <w:tc>
          <w:tcPr>
            <w:tcW w:w="2134" w:type="dxa"/>
            <w:vMerge w:val="restart"/>
          </w:tcPr>
          <w:p w14:paraId="6C5A449D" w14:textId="77777777" w:rsidR="00530DA8" w:rsidRPr="00530DA8" w:rsidRDefault="00530DA8" w:rsidP="00D66738">
            <w:pPr>
              <w:keepNext/>
              <w:spacing w:before="0"/>
              <w:jc w:val="both"/>
              <w:rPr>
                <w:sz w:val="20"/>
                <w:szCs w:val="20"/>
              </w:rPr>
            </w:pPr>
            <w:r w:rsidRPr="00530DA8">
              <w:rPr>
                <w:sz w:val="20"/>
                <w:szCs w:val="20"/>
              </w:rPr>
              <w:t>Enterprise Particulars</w:t>
            </w:r>
          </w:p>
        </w:tc>
        <w:tc>
          <w:tcPr>
            <w:tcW w:w="7108" w:type="dxa"/>
          </w:tcPr>
          <w:p w14:paraId="4ABF6150" w14:textId="472DCD09" w:rsidR="00530DA8" w:rsidRPr="00530DA8" w:rsidRDefault="00530DA8" w:rsidP="00D66738">
            <w:pPr>
              <w:keepNext/>
              <w:spacing w:before="0"/>
              <w:jc w:val="both"/>
              <w:rPr>
                <w:sz w:val="20"/>
                <w:szCs w:val="20"/>
              </w:rPr>
            </w:pPr>
            <w:r w:rsidRPr="00530DA8">
              <w:rPr>
                <w:sz w:val="20"/>
                <w:szCs w:val="20"/>
              </w:rPr>
              <w:t xml:space="preserve">Close Corporation (latest CK1/CK2) </w:t>
            </w:r>
          </w:p>
        </w:tc>
      </w:tr>
      <w:tr w:rsidR="00530DA8" w:rsidRPr="00530DA8" w14:paraId="6A718DAF" w14:textId="2B051E3E" w:rsidTr="00530DA8">
        <w:trPr>
          <w:cantSplit/>
        </w:trPr>
        <w:tc>
          <w:tcPr>
            <w:tcW w:w="2134" w:type="dxa"/>
            <w:vMerge/>
          </w:tcPr>
          <w:p w14:paraId="51D81A30" w14:textId="6CD05776" w:rsidR="00530DA8" w:rsidRPr="00530DA8" w:rsidRDefault="00530DA8" w:rsidP="00D66738">
            <w:pPr>
              <w:keepNext/>
              <w:spacing w:before="0"/>
              <w:jc w:val="both"/>
              <w:rPr>
                <w:sz w:val="20"/>
                <w:szCs w:val="20"/>
              </w:rPr>
            </w:pPr>
          </w:p>
        </w:tc>
        <w:tc>
          <w:tcPr>
            <w:tcW w:w="7108" w:type="dxa"/>
          </w:tcPr>
          <w:p w14:paraId="7E6604BD" w14:textId="431FC044" w:rsidR="00530DA8" w:rsidRPr="00530DA8" w:rsidRDefault="00530DA8" w:rsidP="00D66738">
            <w:pPr>
              <w:keepNext/>
              <w:spacing w:before="0"/>
              <w:jc w:val="both"/>
              <w:rPr>
                <w:sz w:val="20"/>
                <w:szCs w:val="20"/>
              </w:rPr>
            </w:pPr>
            <w:r w:rsidRPr="00530DA8">
              <w:rPr>
                <w:sz w:val="20"/>
                <w:szCs w:val="20"/>
              </w:rPr>
              <w:t>Company: Certificate of Incorporation (CM1)/</w:t>
            </w:r>
            <w:proofErr w:type="spellStart"/>
            <w:r w:rsidRPr="00530DA8">
              <w:rPr>
                <w:sz w:val="20"/>
                <w:szCs w:val="20"/>
              </w:rPr>
              <w:t>CoR</w:t>
            </w:r>
            <w:proofErr w:type="spellEnd"/>
            <w:r w:rsidRPr="00530DA8">
              <w:rPr>
                <w:sz w:val="20"/>
                <w:szCs w:val="20"/>
              </w:rPr>
              <w:t xml:space="preserve"> 14.3; list of all active directors (CM29)/</w:t>
            </w:r>
            <w:proofErr w:type="spellStart"/>
            <w:r w:rsidRPr="00530DA8">
              <w:rPr>
                <w:sz w:val="20"/>
                <w:szCs w:val="20"/>
              </w:rPr>
              <w:t>CoR</w:t>
            </w:r>
            <w:proofErr w:type="spellEnd"/>
            <w:r w:rsidRPr="00530DA8">
              <w:rPr>
                <w:sz w:val="20"/>
                <w:szCs w:val="20"/>
              </w:rPr>
              <w:t xml:space="preserve"> 39; share certificates (must be originally certified by Commissioner of Oaths). The validity period of certification is three months; all name change certificates (CM9) (if applicable) Partnership (partnership agreement) </w:t>
            </w:r>
          </w:p>
        </w:tc>
      </w:tr>
      <w:tr w:rsidR="00530DA8" w:rsidRPr="00530DA8" w14:paraId="63A2EAAC" w14:textId="2AD0CD28" w:rsidTr="00530DA8">
        <w:trPr>
          <w:cantSplit/>
        </w:trPr>
        <w:tc>
          <w:tcPr>
            <w:tcW w:w="2134" w:type="dxa"/>
            <w:vMerge/>
          </w:tcPr>
          <w:p w14:paraId="21556225" w14:textId="0FB84CD8" w:rsidR="00530DA8" w:rsidRPr="00530DA8" w:rsidRDefault="00530DA8" w:rsidP="00D66738">
            <w:pPr>
              <w:keepNext/>
              <w:spacing w:before="0"/>
              <w:jc w:val="both"/>
              <w:rPr>
                <w:sz w:val="20"/>
                <w:szCs w:val="20"/>
              </w:rPr>
            </w:pPr>
          </w:p>
        </w:tc>
        <w:tc>
          <w:tcPr>
            <w:tcW w:w="7108" w:type="dxa"/>
          </w:tcPr>
          <w:p w14:paraId="275B532C" w14:textId="341FBD0E" w:rsidR="00530DA8" w:rsidRPr="00530DA8" w:rsidRDefault="00530DA8" w:rsidP="00D66738">
            <w:pPr>
              <w:keepNext/>
              <w:spacing w:before="0"/>
              <w:jc w:val="both"/>
              <w:rPr>
                <w:sz w:val="20"/>
                <w:szCs w:val="20"/>
              </w:rPr>
            </w:pPr>
            <w:r w:rsidRPr="00530DA8">
              <w:rPr>
                <w:sz w:val="20"/>
                <w:szCs w:val="20"/>
              </w:rPr>
              <w:t xml:space="preserve">Trust (a copy of the trust deed or JM21) </w:t>
            </w:r>
          </w:p>
        </w:tc>
      </w:tr>
      <w:tr w:rsidR="00530DA8" w:rsidRPr="00530DA8" w14:paraId="505B6479" w14:textId="75927814" w:rsidTr="00530DA8">
        <w:trPr>
          <w:cantSplit/>
        </w:trPr>
        <w:tc>
          <w:tcPr>
            <w:tcW w:w="2134" w:type="dxa"/>
            <w:vMerge/>
          </w:tcPr>
          <w:p w14:paraId="7C11C264" w14:textId="2C68C16D" w:rsidR="00530DA8" w:rsidRPr="00530DA8" w:rsidRDefault="00530DA8" w:rsidP="00D66738">
            <w:pPr>
              <w:keepNext/>
              <w:spacing w:before="0"/>
              <w:jc w:val="both"/>
              <w:rPr>
                <w:sz w:val="20"/>
                <w:szCs w:val="20"/>
              </w:rPr>
            </w:pPr>
          </w:p>
        </w:tc>
        <w:tc>
          <w:tcPr>
            <w:tcW w:w="7108" w:type="dxa"/>
          </w:tcPr>
          <w:p w14:paraId="0F1580D8" w14:textId="40A49F72" w:rsidR="00530DA8" w:rsidRPr="00530DA8" w:rsidRDefault="00530DA8" w:rsidP="00D66738">
            <w:pPr>
              <w:keepNext/>
              <w:spacing w:before="0"/>
              <w:jc w:val="both"/>
              <w:rPr>
                <w:sz w:val="20"/>
                <w:szCs w:val="20"/>
              </w:rPr>
            </w:pPr>
            <w:r w:rsidRPr="00530DA8">
              <w:rPr>
                <w:sz w:val="20"/>
                <w:szCs w:val="20"/>
              </w:rPr>
              <w:t>Co-operatives – CR 10 (Certificate of Incorporation):  list of all directors in a table format with their names, surnames, ID numbers, addresses and signed by all.</w:t>
            </w:r>
          </w:p>
        </w:tc>
      </w:tr>
      <w:tr w:rsidR="00530DA8" w:rsidRPr="00530DA8" w14:paraId="1F460BCE" w14:textId="0216BD9A" w:rsidTr="00530DA8">
        <w:trPr>
          <w:cantSplit/>
        </w:trPr>
        <w:tc>
          <w:tcPr>
            <w:tcW w:w="2134" w:type="dxa"/>
            <w:vMerge w:val="restart"/>
          </w:tcPr>
          <w:p w14:paraId="53D14B64" w14:textId="77777777" w:rsidR="00530DA8" w:rsidRPr="00530DA8" w:rsidRDefault="00530DA8" w:rsidP="00D66738">
            <w:pPr>
              <w:spacing w:before="0"/>
              <w:jc w:val="both"/>
              <w:rPr>
                <w:sz w:val="20"/>
                <w:szCs w:val="20"/>
              </w:rPr>
            </w:pPr>
            <w:r w:rsidRPr="00530DA8">
              <w:rPr>
                <w:sz w:val="20"/>
                <w:szCs w:val="20"/>
              </w:rPr>
              <w:t>Principals and Ownership/Interest</w:t>
            </w:r>
          </w:p>
        </w:tc>
        <w:tc>
          <w:tcPr>
            <w:tcW w:w="7108" w:type="dxa"/>
          </w:tcPr>
          <w:p w14:paraId="3D747E6F" w14:textId="40E0346F" w:rsidR="00530DA8" w:rsidRPr="00530DA8" w:rsidRDefault="00530DA8" w:rsidP="00D66738">
            <w:pPr>
              <w:spacing w:before="0"/>
              <w:jc w:val="both"/>
              <w:rPr>
                <w:sz w:val="20"/>
                <w:szCs w:val="20"/>
              </w:rPr>
            </w:pPr>
            <w:r w:rsidRPr="00530DA8">
              <w:rPr>
                <w:sz w:val="20"/>
                <w:szCs w:val="20"/>
              </w:rPr>
              <w:t>Originally certified copies of Identity Documents (the validity period for certification is 3 months) (Must be certified by Commissioner of Oaths)</w:t>
            </w:r>
          </w:p>
        </w:tc>
      </w:tr>
      <w:tr w:rsidR="00530DA8" w:rsidRPr="00530DA8" w14:paraId="6B2F364D" w14:textId="392338BA" w:rsidTr="00530DA8">
        <w:trPr>
          <w:cantSplit/>
        </w:trPr>
        <w:tc>
          <w:tcPr>
            <w:tcW w:w="2134" w:type="dxa"/>
            <w:vMerge/>
          </w:tcPr>
          <w:p w14:paraId="5D3F9475" w14:textId="673FE332" w:rsidR="00530DA8" w:rsidRPr="00530DA8" w:rsidRDefault="00530DA8" w:rsidP="00D66738">
            <w:pPr>
              <w:spacing w:before="0"/>
              <w:jc w:val="both"/>
              <w:rPr>
                <w:sz w:val="20"/>
                <w:szCs w:val="20"/>
              </w:rPr>
            </w:pPr>
          </w:p>
        </w:tc>
        <w:tc>
          <w:tcPr>
            <w:tcW w:w="7108" w:type="dxa"/>
          </w:tcPr>
          <w:p w14:paraId="1743FE3B" w14:textId="74486C39" w:rsidR="00530DA8" w:rsidRPr="00530DA8" w:rsidRDefault="00530DA8" w:rsidP="00D66738">
            <w:pPr>
              <w:spacing w:before="0"/>
              <w:jc w:val="both"/>
              <w:rPr>
                <w:sz w:val="20"/>
                <w:szCs w:val="20"/>
              </w:rPr>
            </w:pPr>
            <w:r w:rsidRPr="00530DA8">
              <w:rPr>
                <w:sz w:val="20"/>
                <w:szCs w:val="20"/>
              </w:rPr>
              <w:t>For external Companies, originally notarised copy of passport</w:t>
            </w:r>
          </w:p>
        </w:tc>
      </w:tr>
      <w:tr w:rsidR="00B02B4D" w:rsidRPr="00530DA8" w14:paraId="4359A007" w14:textId="715666BD" w:rsidTr="00530DA8">
        <w:trPr>
          <w:cantSplit/>
        </w:trPr>
        <w:tc>
          <w:tcPr>
            <w:tcW w:w="2134" w:type="dxa"/>
          </w:tcPr>
          <w:p w14:paraId="3D175661" w14:textId="47F3C8C1" w:rsidR="00B02B4D" w:rsidRPr="00530DA8" w:rsidRDefault="00B02B4D" w:rsidP="00D66738">
            <w:pPr>
              <w:spacing w:before="0"/>
              <w:jc w:val="both"/>
              <w:rPr>
                <w:sz w:val="20"/>
                <w:szCs w:val="20"/>
              </w:rPr>
            </w:pPr>
            <w:r w:rsidRPr="00530DA8">
              <w:rPr>
                <w:sz w:val="20"/>
                <w:szCs w:val="20"/>
              </w:rPr>
              <w:t>Tax Clearance Certificate</w:t>
            </w:r>
          </w:p>
        </w:tc>
        <w:tc>
          <w:tcPr>
            <w:tcW w:w="7108" w:type="dxa"/>
          </w:tcPr>
          <w:p w14:paraId="1AB065F6" w14:textId="2D460ED3" w:rsidR="00B02B4D" w:rsidRPr="00530DA8" w:rsidRDefault="00B02B4D" w:rsidP="00D66738">
            <w:pPr>
              <w:spacing w:before="0"/>
              <w:jc w:val="both"/>
              <w:rPr>
                <w:sz w:val="20"/>
                <w:szCs w:val="20"/>
              </w:rPr>
            </w:pPr>
            <w:r w:rsidRPr="00530DA8">
              <w:rPr>
                <w:sz w:val="20"/>
                <w:szCs w:val="20"/>
              </w:rPr>
              <w:t>Valid and original Tax Clearance Certificate</w:t>
            </w:r>
          </w:p>
        </w:tc>
      </w:tr>
      <w:tr w:rsidR="00B02B4D" w:rsidRPr="00530DA8" w14:paraId="6D31FF1B" w14:textId="7C44473C" w:rsidTr="00530DA8">
        <w:trPr>
          <w:cantSplit/>
        </w:trPr>
        <w:tc>
          <w:tcPr>
            <w:tcW w:w="2134" w:type="dxa"/>
          </w:tcPr>
          <w:p w14:paraId="605D0FBF" w14:textId="6AC6156B" w:rsidR="00B02B4D" w:rsidRPr="00530DA8" w:rsidRDefault="00B02B4D" w:rsidP="00D66738">
            <w:pPr>
              <w:spacing w:before="0"/>
              <w:jc w:val="both"/>
              <w:rPr>
                <w:sz w:val="20"/>
                <w:szCs w:val="20"/>
              </w:rPr>
            </w:pPr>
            <w:r w:rsidRPr="00530DA8">
              <w:rPr>
                <w:sz w:val="20"/>
                <w:szCs w:val="20"/>
              </w:rPr>
              <w:t>Requirements for Registration in Electrical Engineering for EB class of works</w:t>
            </w:r>
          </w:p>
        </w:tc>
        <w:tc>
          <w:tcPr>
            <w:tcW w:w="7108" w:type="dxa"/>
          </w:tcPr>
          <w:p w14:paraId="626DC3D4" w14:textId="13035890" w:rsidR="00B02B4D" w:rsidRPr="00530DA8" w:rsidRDefault="00B02B4D" w:rsidP="00D66738">
            <w:pPr>
              <w:spacing w:before="0"/>
              <w:jc w:val="both"/>
              <w:rPr>
                <w:sz w:val="20"/>
                <w:szCs w:val="20"/>
              </w:rPr>
            </w:pPr>
            <w:r w:rsidRPr="00530DA8">
              <w:rPr>
                <w:sz w:val="20"/>
                <w:szCs w:val="20"/>
              </w:rPr>
              <w:t>Originally certified and signed copy of the enterprise’s valid Electrical Contractor’s Certificate (The validity period for certification is 3 months) (Must be certified by Commissioner of Oaths)</w:t>
            </w:r>
          </w:p>
        </w:tc>
      </w:tr>
      <w:tr w:rsidR="00B02B4D" w:rsidRPr="00530DA8" w14:paraId="5C0414DC" w14:textId="27FE7F99" w:rsidTr="00530DA8">
        <w:trPr>
          <w:cantSplit/>
        </w:trPr>
        <w:tc>
          <w:tcPr>
            <w:tcW w:w="2134" w:type="dxa"/>
          </w:tcPr>
          <w:p w14:paraId="32149E27" w14:textId="74648242" w:rsidR="00B02B4D" w:rsidRPr="00530DA8" w:rsidRDefault="00530DA8" w:rsidP="00D66738">
            <w:pPr>
              <w:spacing w:before="0"/>
              <w:jc w:val="both"/>
              <w:rPr>
                <w:sz w:val="20"/>
                <w:szCs w:val="20"/>
              </w:rPr>
            </w:pPr>
            <w:r>
              <w:rPr>
                <w:sz w:val="20"/>
                <w:szCs w:val="20"/>
              </w:rPr>
              <w:t>Proof of payment</w:t>
            </w:r>
          </w:p>
        </w:tc>
        <w:tc>
          <w:tcPr>
            <w:tcW w:w="7108" w:type="dxa"/>
          </w:tcPr>
          <w:p w14:paraId="6971D36A" w14:textId="0A025CB3" w:rsidR="00B02B4D" w:rsidRPr="00530DA8" w:rsidRDefault="00B02B4D" w:rsidP="00D66738">
            <w:pPr>
              <w:spacing w:before="0"/>
              <w:jc w:val="both"/>
              <w:rPr>
                <w:sz w:val="20"/>
                <w:szCs w:val="20"/>
              </w:rPr>
            </w:pPr>
            <w:r w:rsidRPr="00530DA8">
              <w:rPr>
                <w:sz w:val="20"/>
                <w:szCs w:val="20"/>
              </w:rPr>
              <w:t>Application fee payable for each class of work (R450.00)</w:t>
            </w:r>
          </w:p>
        </w:tc>
      </w:tr>
      <w:tr w:rsidR="00530DA8" w:rsidRPr="00530DA8" w14:paraId="003160D6" w14:textId="370B0176" w:rsidTr="006A41B7">
        <w:trPr>
          <w:cantSplit/>
        </w:trPr>
        <w:tc>
          <w:tcPr>
            <w:tcW w:w="9242" w:type="dxa"/>
            <w:gridSpan w:val="2"/>
            <w:shd w:val="clear" w:color="auto" w:fill="BFBFBF" w:themeFill="background1" w:themeFillShade="BF"/>
          </w:tcPr>
          <w:p w14:paraId="3C43DEAA" w14:textId="5F20B6C2" w:rsidR="00530DA8" w:rsidRPr="006A41B7" w:rsidRDefault="00530DA8" w:rsidP="00D66738">
            <w:pPr>
              <w:spacing w:before="0"/>
              <w:jc w:val="both"/>
              <w:rPr>
                <w:sz w:val="20"/>
                <w:szCs w:val="20"/>
              </w:rPr>
            </w:pPr>
            <w:r w:rsidRPr="006A41B7">
              <w:rPr>
                <w:sz w:val="20"/>
                <w:szCs w:val="20"/>
              </w:rPr>
              <w:t>Grade 2 to 9 applications</w:t>
            </w:r>
          </w:p>
        </w:tc>
      </w:tr>
      <w:tr w:rsidR="00B02B4D" w:rsidRPr="00530DA8" w14:paraId="5B5D79F4" w14:textId="12C1EE96" w:rsidTr="00530DA8">
        <w:trPr>
          <w:cantSplit/>
        </w:trPr>
        <w:tc>
          <w:tcPr>
            <w:tcW w:w="2134" w:type="dxa"/>
          </w:tcPr>
          <w:p w14:paraId="015CACCA" w14:textId="70FE6C75" w:rsidR="00B02B4D" w:rsidRPr="00530DA8" w:rsidRDefault="00B02B4D" w:rsidP="00D66738">
            <w:pPr>
              <w:spacing w:before="0"/>
              <w:jc w:val="both"/>
              <w:rPr>
                <w:sz w:val="20"/>
                <w:szCs w:val="20"/>
              </w:rPr>
            </w:pPr>
            <w:r w:rsidRPr="00530DA8">
              <w:rPr>
                <w:sz w:val="20"/>
                <w:szCs w:val="20"/>
              </w:rPr>
              <w:t>Documents as for Grade 1</w:t>
            </w:r>
          </w:p>
        </w:tc>
        <w:tc>
          <w:tcPr>
            <w:tcW w:w="7108" w:type="dxa"/>
          </w:tcPr>
          <w:p w14:paraId="34EAA744" w14:textId="6B93B21F" w:rsidR="00B02B4D" w:rsidRPr="00530DA8" w:rsidRDefault="00B02B4D" w:rsidP="00D66738">
            <w:pPr>
              <w:spacing w:before="0"/>
              <w:jc w:val="both"/>
              <w:rPr>
                <w:sz w:val="20"/>
                <w:szCs w:val="20"/>
              </w:rPr>
            </w:pPr>
            <w:r w:rsidRPr="00530DA8">
              <w:rPr>
                <w:sz w:val="20"/>
                <w:szCs w:val="20"/>
              </w:rPr>
              <w:t>As above</w:t>
            </w:r>
          </w:p>
        </w:tc>
      </w:tr>
      <w:tr w:rsidR="00530DA8" w:rsidRPr="00530DA8" w14:paraId="5A7B42DD" w14:textId="291FAD14" w:rsidTr="00530DA8">
        <w:trPr>
          <w:cantSplit/>
        </w:trPr>
        <w:tc>
          <w:tcPr>
            <w:tcW w:w="2134" w:type="dxa"/>
            <w:vMerge w:val="restart"/>
          </w:tcPr>
          <w:p w14:paraId="2C1C732D" w14:textId="77777777" w:rsidR="00530DA8" w:rsidRPr="00530DA8" w:rsidRDefault="00530DA8" w:rsidP="00D66738">
            <w:pPr>
              <w:spacing w:before="0"/>
              <w:jc w:val="both"/>
              <w:rPr>
                <w:sz w:val="20"/>
                <w:szCs w:val="20"/>
              </w:rPr>
            </w:pPr>
            <w:r w:rsidRPr="00530DA8">
              <w:rPr>
                <w:sz w:val="20"/>
                <w:szCs w:val="20"/>
              </w:rPr>
              <w:t>Financial Requirements</w:t>
            </w:r>
          </w:p>
        </w:tc>
        <w:tc>
          <w:tcPr>
            <w:tcW w:w="7108" w:type="dxa"/>
          </w:tcPr>
          <w:p w14:paraId="3F3F95C8" w14:textId="296DFEA2" w:rsidR="00530DA8" w:rsidRPr="00530DA8" w:rsidRDefault="00530DA8" w:rsidP="00D66738">
            <w:pPr>
              <w:spacing w:before="0"/>
              <w:jc w:val="both"/>
              <w:rPr>
                <w:sz w:val="20"/>
                <w:szCs w:val="20"/>
              </w:rPr>
            </w:pPr>
            <w:r w:rsidRPr="00530DA8">
              <w:rPr>
                <w:sz w:val="20"/>
                <w:szCs w:val="20"/>
              </w:rPr>
              <w:t>A complete set of financial statements (compliant with IFRS or IFRS for small businesses) for two financial years immediately preceding the application including SARS VAT forms or stamped business bank statements for verification of turnover</w:t>
            </w:r>
          </w:p>
        </w:tc>
      </w:tr>
      <w:tr w:rsidR="00530DA8" w:rsidRPr="00530DA8" w14:paraId="16D05EE5" w14:textId="0561F85F" w:rsidTr="00530DA8">
        <w:trPr>
          <w:cantSplit/>
        </w:trPr>
        <w:tc>
          <w:tcPr>
            <w:tcW w:w="2134" w:type="dxa"/>
            <w:vMerge/>
          </w:tcPr>
          <w:p w14:paraId="45C0F6FF" w14:textId="7F68BF4E" w:rsidR="00530DA8" w:rsidRPr="00530DA8" w:rsidRDefault="00530DA8" w:rsidP="00D66738">
            <w:pPr>
              <w:spacing w:before="0"/>
              <w:jc w:val="both"/>
              <w:rPr>
                <w:sz w:val="20"/>
                <w:szCs w:val="20"/>
              </w:rPr>
            </w:pPr>
          </w:p>
        </w:tc>
        <w:tc>
          <w:tcPr>
            <w:tcW w:w="7108" w:type="dxa"/>
          </w:tcPr>
          <w:p w14:paraId="1A81F868" w14:textId="389E9CF4" w:rsidR="00530DA8" w:rsidRPr="00530DA8" w:rsidRDefault="00530DA8" w:rsidP="00D66738">
            <w:pPr>
              <w:spacing w:before="0"/>
              <w:jc w:val="both"/>
              <w:rPr>
                <w:sz w:val="20"/>
                <w:szCs w:val="20"/>
              </w:rPr>
            </w:pPr>
            <w:r w:rsidRPr="00530DA8">
              <w:rPr>
                <w:sz w:val="20"/>
                <w:szCs w:val="20"/>
              </w:rPr>
              <w:t>Public/Private company – as per the provision of Companies Act No. 71 of 2008 as amended</w:t>
            </w:r>
          </w:p>
        </w:tc>
      </w:tr>
      <w:tr w:rsidR="00530DA8" w:rsidRPr="00530DA8" w14:paraId="56DB5367" w14:textId="0723617C" w:rsidTr="00530DA8">
        <w:trPr>
          <w:cantSplit/>
        </w:trPr>
        <w:tc>
          <w:tcPr>
            <w:tcW w:w="2134" w:type="dxa"/>
            <w:vMerge/>
          </w:tcPr>
          <w:p w14:paraId="52D52AE4" w14:textId="33756A22" w:rsidR="00530DA8" w:rsidRPr="00530DA8" w:rsidRDefault="00530DA8" w:rsidP="00D66738">
            <w:pPr>
              <w:spacing w:before="0"/>
              <w:jc w:val="both"/>
              <w:rPr>
                <w:sz w:val="20"/>
                <w:szCs w:val="20"/>
              </w:rPr>
            </w:pPr>
          </w:p>
        </w:tc>
        <w:tc>
          <w:tcPr>
            <w:tcW w:w="7108" w:type="dxa"/>
          </w:tcPr>
          <w:p w14:paraId="735F9242" w14:textId="37F8046C" w:rsidR="00530DA8" w:rsidRPr="00530DA8" w:rsidRDefault="00530DA8" w:rsidP="00D66738">
            <w:pPr>
              <w:spacing w:before="0"/>
              <w:jc w:val="both"/>
              <w:rPr>
                <w:sz w:val="20"/>
                <w:szCs w:val="20"/>
              </w:rPr>
            </w:pPr>
            <w:r w:rsidRPr="00530DA8">
              <w:rPr>
                <w:sz w:val="20"/>
                <w:szCs w:val="20"/>
              </w:rPr>
              <w:t>Trust – as per the provision of Companies Act No. 71 of 2008 as amended</w:t>
            </w:r>
          </w:p>
        </w:tc>
      </w:tr>
      <w:tr w:rsidR="00530DA8" w:rsidRPr="00530DA8" w14:paraId="3682998D" w14:textId="347AE15E" w:rsidTr="00530DA8">
        <w:trPr>
          <w:cantSplit/>
        </w:trPr>
        <w:tc>
          <w:tcPr>
            <w:tcW w:w="2134" w:type="dxa"/>
            <w:vMerge/>
          </w:tcPr>
          <w:p w14:paraId="371B89CF" w14:textId="3A756A73" w:rsidR="00530DA8" w:rsidRPr="00530DA8" w:rsidRDefault="00530DA8" w:rsidP="00D66738">
            <w:pPr>
              <w:spacing w:before="0"/>
              <w:jc w:val="both"/>
              <w:rPr>
                <w:sz w:val="20"/>
                <w:szCs w:val="20"/>
              </w:rPr>
            </w:pPr>
          </w:p>
        </w:tc>
        <w:tc>
          <w:tcPr>
            <w:tcW w:w="7108" w:type="dxa"/>
          </w:tcPr>
          <w:p w14:paraId="6924A27F" w14:textId="40CE7D86" w:rsidR="00530DA8" w:rsidRPr="00530DA8" w:rsidRDefault="00530DA8" w:rsidP="00D66738">
            <w:pPr>
              <w:spacing w:before="0"/>
              <w:jc w:val="both"/>
              <w:rPr>
                <w:sz w:val="20"/>
                <w:szCs w:val="20"/>
              </w:rPr>
            </w:pPr>
            <w:r w:rsidRPr="00530DA8">
              <w:rPr>
                <w:sz w:val="20"/>
                <w:szCs w:val="20"/>
              </w:rPr>
              <w:t>Close Corporation – as per the provision of the Close Corporation Act No. 69 of 1984 as amended</w:t>
            </w:r>
          </w:p>
        </w:tc>
      </w:tr>
      <w:tr w:rsidR="00530DA8" w:rsidRPr="00530DA8" w14:paraId="5C76D208" w14:textId="3D7AC9B0" w:rsidTr="00530DA8">
        <w:trPr>
          <w:cantSplit/>
        </w:trPr>
        <w:tc>
          <w:tcPr>
            <w:tcW w:w="2134" w:type="dxa"/>
            <w:vMerge/>
          </w:tcPr>
          <w:p w14:paraId="4B497769" w14:textId="45819E49" w:rsidR="00530DA8" w:rsidRPr="00530DA8" w:rsidRDefault="00530DA8" w:rsidP="00D66738">
            <w:pPr>
              <w:spacing w:before="0"/>
              <w:jc w:val="both"/>
              <w:rPr>
                <w:sz w:val="20"/>
                <w:szCs w:val="20"/>
              </w:rPr>
            </w:pPr>
          </w:p>
        </w:tc>
        <w:tc>
          <w:tcPr>
            <w:tcW w:w="7108" w:type="dxa"/>
          </w:tcPr>
          <w:p w14:paraId="2A983FD4" w14:textId="18113CE4" w:rsidR="00530DA8" w:rsidRPr="00530DA8" w:rsidRDefault="00530DA8" w:rsidP="00D66738">
            <w:pPr>
              <w:spacing w:before="0"/>
              <w:jc w:val="both"/>
              <w:rPr>
                <w:sz w:val="20"/>
                <w:szCs w:val="20"/>
              </w:rPr>
            </w:pPr>
            <w:r w:rsidRPr="00530DA8">
              <w:rPr>
                <w:sz w:val="20"/>
                <w:szCs w:val="20"/>
              </w:rPr>
              <w:t>Partnership – as per the provision of Companies Act No. 71 of 2008 as amended</w:t>
            </w:r>
          </w:p>
        </w:tc>
      </w:tr>
      <w:tr w:rsidR="00530DA8" w:rsidRPr="00530DA8" w14:paraId="07467935" w14:textId="2DD56828" w:rsidTr="00530DA8">
        <w:trPr>
          <w:cantSplit/>
        </w:trPr>
        <w:tc>
          <w:tcPr>
            <w:tcW w:w="2134" w:type="dxa"/>
            <w:vMerge/>
          </w:tcPr>
          <w:p w14:paraId="55646368" w14:textId="0BBC8650" w:rsidR="00530DA8" w:rsidRPr="00530DA8" w:rsidRDefault="00530DA8" w:rsidP="00D66738">
            <w:pPr>
              <w:spacing w:before="0"/>
              <w:jc w:val="both"/>
              <w:rPr>
                <w:sz w:val="20"/>
                <w:szCs w:val="20"/>
              </w:rPr>
            </w:pPr>
          </w:p>
        </w:tc>
        <w:tc>
          <w:tcPr>
            <w:tcW w:w="7108" w:type="dxa"/>
          </w:tcPr>
          <w:p w14:paraId="6F098C96" w14:textId="6859A655" w:rsidR="00530DA8" w:rsidRPr="00530DA8" w:rsidRDefault="00530DA8" w:rsidP="00D66738">
            <w:pPr>
              <w:spacing w:before="0"/>
              <w:jc w:val="both"/>
              <w:rPr>
                <w:sz w:val="20"/>
                <w:szCs w:val="20"/>
              </w:rPr>
            </w:pPr>
            <w:r w:rsidRPr="00530DA8">
              <w:rPr>
                <w:sz w:val="20"/>
                <w:szCs w:val="20"/>
              </w:rPr>
              <w:t>Co-operatives – as per the provision of Co-op Act No. 14 of 2005 as amended</w:t>
            </w:r>
          </w:p>
        </w:tc>
      </w:tr>
      <w:tr w:rsidR="00530DA8" w:rsidRPr="00530DA8" w14:paraId="05B6179A" w14:textId="5C635053" w:rsidTr="00530DA8">
        <w:trPr>
          <w:cantSplit/>
        </w:trPr>
        <w:tc>
          <w:tcPr>
            <w:tcW w:w="2134" w:type="dxa"/>
            <w:vMerge/>
          </w:tcPr>
          <w:p w14:paraId="35A4935D" w14:textId="5A7957F1" w:rsidR="00530DA8" w:rsidRPr="00530DA8" w:rsidRDefault="00530DA8" w:rsidP="00D66738">
            <w:pPr>
              <w:spacing w:before="0"/>
              <w:jc w:val="both"/>
              <w:rPr>
                <w:sz w:val="20"/>
                <w:szCs w:val="20"/>
              </w:rPr>
            </w:pPr>
          </w:p>
        </w:tc>
        <w:tc>
          <w:tcPr>
            <w:tcW w:w="7108" w:type="dxa"/>
          </w:tcPr>
          <w:p w14:paraId="690D6754" w14:textId="687895F5" w:rsidR="00530DA8" w:rsidRPr="00530DA8" w:rsidRDefault="00530DA8" w:rsidP="00D66738">
            <w:pPr>
              <w:spacing w:before="0"/>
              <w:jc w:val="both"/>
              <w:rPr>
                <w:sz w:val="20"/>
                <w:szCs w:val="20"/>
              </w:rPr>
            </w:pPr>
            <w:r w:rsidRPr="00530DA8">
              <w:rPr>
                <w:sz w:val="20"/>
                <w:szCs w:val="20"/>
              </w:rPr>
              <w:t>Sole Traders – compiled by a Bookkeeper or Accounting Officer</w:t>
            </w:r>
          </w:p>
        </w:tc>
      </w:tr>
      <w:tr w:rsidR="00530DA8" w:rsidRPr="00530DA8" w14:paraId="55C96414" w14:textId="312831A8" w:rsidTr="00530DA8">
        <w:trPr>
          <w:cantSplit/>
        </w:trPr>
        <w:tc>
          <w:tcPr>
            <w:tcW w:w="2134" w:type="dxa"/>
            <w:vMerge w:val="restart"/>
          </w:tcPr>
          <w:p w14:paraId="0F088B01" w14:textId="77777777" w:rsidR="00530DA8" w:rsidRPr="00530DA8" w:rsidRDefault="00530DA8" w:rsidP="00D66738">
            <w:pPr>
              <w:spacing w:before="0"/>
              <w:jc w:val="both"/>
              <w:rPr>
                <w:sz w:val="20"/>
                <w:szCs w:val="20"/>
              </w:rPr>
            </w:pPr>
            <w:r w:rsidRPr="00530DA8">
              <w:rPr>
                <w:sz w:val="20"/>
                <w:szCs w:val="20"/>
              </w:rPr>
              <w:t>Available Capital</w:t>
            </w:r>
          </w:p>
        </w:tc>
        <w:tc>
          <w:tcPr>
            <w:tcW w:w="7108" w:type="dxa"/>
          </w:tcPr>
          <w:p w14:paraId="6E05B8BE" w14:textId="4A2C928D" w:rsidR="00530DA8" w:rsidRPr="00530DA8" w:rsidRDefault="00530DA8" w:rsidP="00D66738">
            <w:pPr>
              <w:spacing w:before="0"/>
              <w:jc w:val="both"/>
              <w:rPr>
                <w:sz w:val="20"/>
                <w:szCs w:val="20"/>
              </w:rPr>
            </w:pPr>
            <w:r w:rsidRPr="00530DA8">
              <w:rPr>
                <w:sz w:val="20"/>
                <w:szCs w:val="20"/>
              </w:rPr>
              <w:t>Description and proof of financial sponsorship(s)</w:t>
            </w:r>
          </w:p>
        </w:tc>
      </w:tr>
      <w:tr w:rsidR="00530DA8" w:rsidRPr="00530DA8" w14:paraId="702D1447" w14:textId="6C8D527F" w:rsidTr="00530DA8">
        <w:trPr>
          <w:cantSplit/>
        </w:trPr>
        <w:tc>
          <w:tcPr>
            <w:tcW w:w="2134" w:type="dxa"/>
            <w:vMerge/>
          </w:tcPr>
          <w:p w14:paraId="2A112E61" w14:textId="5460E372" w:rsidR="00530DA8" w:rsidRPr="00530DA8" w:rsidRDefault="00530DA8" w:rsidP="00D66738">
            <w:pPr>
              <w:spacing w:before="0"/>
              <w:jc w:val="both"/>
              <w:rPr>
                <w:sz w:val="20"/>
                <w:szCs w:val="20"/>
              </w:rPr>
            </w:pPr>
          </w:p>
        </w:tc>
        <w:tc>
          <w:tcPr>
            <w:tcW w:w="7108" w:type="dxa"/>
          </w:tcPr>
          <w:p w14:paraId="04A2CD8C" w14:textId="2AFF177F" w:rsidR="00530DA8" w:rsidRPr="00530DA8" w:rsidRDefault="00530DA8" w:rsidP="00D66738">
            <w:pPr>
              <w:spacing w:before="0"/>
              <w:jc w:val="both"/>
              <w:rPr>
                <w:sz w:val="20"/>
                <w:szCs w:val="20"/>
              </w:rPr>
            </w:pPr>
            <w:r w:rsidRPr="00530DA8">
              <w:rPr>
                <w:sz w:val="20"/>
                <w:szCs w:val="20"/>
              </w:rPr>
              <w:t xml:space="preserve">Registered financial institution sponsorship or If sponsor is a not a financial institution please attach the sponsors latest set of financial statements (compliant with IFRS) </w:t>
            </w:r>
          </w:p>
        </w:tc>
      </w:tr>
      <w:tr w:rsidR="00530DA8" w:rsidRPr="00530DA8" w14:paraId="3D128893" w14:textId="74B42DA0" w:rsidTr="00530DA8">
        <w:trPr>
          <w:cantSplit/>
        </w:trPr>
        <w:tc>
          <w:tcPr>
            <w:tcW w:w="2134" w:type="dxa"/>
            <w:vMerge/>
          </w:tcPr>
          <w:p w14:paraId="0C6FEE38" w14:textId="2402685A" w:rsidR="00530DA8" w:rsidRPr="00530DA8" w:rsidRDefault="00530DA8" w:rsidP="00D66738">
            <w:pPr>
              <w:spacing w:before="0"/>
              <w:jc w:val="both"/>
              <w:rPr>
                <w:sz w:val="20"/>
                <w:szCs w:val="20"/>
              </w:rPr>
            </w:pPr>
          </w:p>
        </w:tc>
        <w:tc>
          <w:tcPr>
            <w:tcW w:w="7108" w:type="dxa"/>
          </w:tcPr>
          <w:p w14:paraId="3F47550D" w14:textId="173528AC" w:rsidR="00530DA8" w:rsidRPr="00530DA8" w:rsidRDefault="00530DA8" w:rsidP="00D66738">
            <w:pPr>
              <w:spacing w:before="0"/>
              <w:jc w:val="both"/>
              <w:rPr>
                <w:sz w:val="20"/>
                <w:szCs w:val="20"/>
              </w:rPr>
            </w:pPr>
            <w:r w:rsidRPr="00530DA8">
              <w:rPr>
                <w:sz w:val="20"/>
                <w:szCs w:val="20"/>
              </w:rPr>
              <w:t>Letter of sponsorship undertaking in the form of a member’s resolution from a Close Corporation OR a board resolution from the sponsoring company</w:t>
            </w:r>
          </w:p>
        </w:tc>
      </w:tr>
      <w:tr w:rsidR="00530DA8" w:rsidRPr="00530DA8" w14:paraId="76CEB14F" w14:textId="35C2B0E8" w:rsidTr="00530DA8">
        <w:trPr>
          <w:cantSplit/>
        </w:trPr>
        <w:tc>
          <w:tcPr>
            <w:tcW w:w="2134" w:type="dxa"/>
            <w:vMerge w:val="restart"/>
          </w:tcPr>
          <w:p w14:paraId="5B8E2282" w14:textId="77287B7C" w:rsidR="00530DA8" w:rsidRPr="00530DA8" w:rsidRDefault="00530DA8" w:rsidP="00D66738">
            <w:pPr>
              <w:spacing w:before="0"/>
              <w:jc w:val="both"/>
              <w:rPr>
                <w:sz w:val="20"/>
                <w:szCs w:val="20"/>
              </w:rPr>
            </w:pPr>
            <w:r w:rsidRPr="00530DA8">
              <w:rPr>
                <w:sz w:val="20"/>
                <w:szCs w:val="20"/>
              </w:rPr>
              <w:t>Track Record for each class of works applied for</w:t>
            </w:r>
          </w:p>
        </w:tc>
        <w:tc>
          <w:tcPr>
            <w:tcW w:w="7108" w:type="dxa"/>
          </w:tcPr>
          <w:p w14:paraId="09097BC4" w14:textId="5D369222" w:rsidR="00530DA8" w:rsidRPr="00530DA8" w:rsidRDefault="00530DA8" w:rsidP="00D66738">
            <w:pPr>
              <w:spacing w:before="0"/>
              <w:jc w:val="both"/>
              <w:rPr>
                <w:sz w:val="20"/>
                <w:szCs w:val="20"/>
              </w:rPr>
            </w:pPr>
            <w:r w:rsidRPr="00530DA8">
              <w:rPr>
                <w:sz w:val="20"/>
                <w:szCs w:val="20"/>
              </w:rPr>
              <w:t xml:space="preserve">Copy of letter of award on a letterhead of the client and addressed to contractor, signed and dated; Certificate of completion; and Final payment certificate indicating the contract value. </w:t>
            </w:r>
          </w:p>
        </w:tc>
      </w:tr>
      <w:tr w:rsidR="00530DA8" w:rsidRPr="00530DA8" w14:paraId="144AF6F2" w14:textId="4BDDCC9E" w:rsidTr="00530DA8">
        <w:trPr>
          <w:cantSplit/>
        </w:trPr>
        <w:tc>
          <w:tcPr>
            <w:tcW w:w="2134" w:type="dxa"/>
            <w:vMerge/>
          </w:tcPr>
          <w:p w14:paraId="72752CF7" w14:textId="1A07C88D" w:rsidR="00530DA8" w:rsidRPr="00530DA8" w:rsidRDefault="00530DA8" w:rsidP="00D66738">
            <w:pPr>
              <w:spacing w:before="0"/>
              <w:jc w:val="both"/>
              <w:rPr>
                <w:sz w:val="20"/>
                <w:szCs w:val="20"/>
              </w:rPr>
            </w:pPr>
          </w:p>
        </w:tc>
        <w:tc>
          <w:tcPr>
            <w:tcW w:w="7108" w:type="dxa"/>
          </w:tcPr>
          <w:p w14:paraId="16FFAF01" w14:textId="5E1FD588" w:rsidR="00530DA8" w:rsidRPr="00530DA8" w:rsidRDefault="00530DA8" w:rsidP="00D66738">
            <w:pPr>
              <w:spacing w:before="0"/>
              <w:jc w:val="both"/>
              <w:rPr>
                <w:sz w:val="20"/>
                <w:szCs w:val="20"/>
              </w:rPr>
            </w:pPr>
            <w:r w:rsidRPr="00530DA8">
              <w:rPr>
                <w:sz w:val="20"/>
                <w:szCs w:val="20"/>
              </w:rPr>
              <w:t>Maintenance contractors must provide latest payment certificate and a confirmation letter from the client/consultant indicating the value of work done to date.</w:t>
            </w:r>
          </w:p>
        </w:tc>
      </w:tr>
      <w:tr w:rsidR="00530DA8" w:rsidRPr="00530DA8" w14:paraId="10FD2F85" w14:textId="69E97887" w:rsidTr="00530DA8">
        <w:trPr>
          <w:cantSplit/>
        </w:trPr>
        <w:tc>
          <w:tcPr>
            <w:tcW w:w="2134" w:type="dxa"/>
            <w:vMerge/>
          </w:tcPr>
          <w:p w14:paraId="1AF05518" w14:textId="37A57F19" w:rsidR="00530DA8" w:rsidRPr="00530DA8" w:rsidRDefault="00530DA8" w:rsidP="00D66738">
            <w:pPr>
              <w:spacing w:before="0"/>
              <w:jc w:val="both"/>
              <w:rPr>
                <w:sz w:val="20"/>
                <w:szCs w:val="20"/>
              </w:rPr>
            </w:pPr>
          </w:p>
        </w:tc>
        <w:tc>
          <w:tcPr>
            <w:tcW w:w="7108" w:type="dxa"/>
          </w:tcPr>
          <w:p w14:paraId="3CC1B19A" w14:textId="064FAFCE" w:rsidR="00530DA8" w:rsidRPr="00530DA8" w:rsidRDefault="00530DA8" w:rsidP="00D66738">
            <w:pPr>
              <w:spacing w:before="0"/>
              <w:jc w:val="both"/>
              <w:rPr>
                <w:sz w:val="20"/>
                <w:szCs w:val="20"/>
              </w:rPr>
            </w:pPr>
            <w:r w:rsidRPr="00530DA8">
              <w:rPr>
                <w:sz w:val="20"/>
                <w:szCs w:val="20"/>
              </w:rPr>
              <w:t xml:space="preserve"> Joint Venture agreement (if applicable);</w:t>
            </w:r>
          </w:p>
        </w:tc>
      </w:tr>
      <w:tr w:rsidR="00530DA8" w:rsidRPr="00530DA8" w14:paraId="23CFC5BF" w14:textId="6DC743A0" w:rsidTr="00530DA8">
        <w:trPr>
          <w:cantSplit/>
        </w:trPr>
        <w:tc>
          <w:tcPr>
            <w:tcW w:w="2134" w:type="dxa"/>
            <w:vMerge/>
          </w:tcPr>
          <w:p w14:paraId="5C14C4D3" w14:textId="6309BAED" w:rsidR="00530DA8" w:rsidRPr="00530DA8" w:rsidRDefault="00530DA8" w:rsidP="00D66738">
            <w:pPr>
              <w:spacing w:before="0"/>
              <w:jc w:val="both"/>
              <w:rPr>
                <w:sz w:val="20"/>
                <w:szCs w:val="20"/>
              </w:rPr>
            </w:pPr>
          </w:p>
        </w:tc>
        <w:tc>
          <w:tcPr>
            <w:tcW w:w="7108" w:type="dxa"/>
          </w:tcPr>
          <w:p w14:paraId="107A336F" w14:textId="3A183845" w:rsidR="00530DA8" w:rsidRPr="00530DA8" w:rsidRDefault="00530DA8" w:rsidP="00D66738">
            <w:pPr>
              <w:spacing w:before="0"/>
              <w:jc w:val="both"/>
              <w:rPr>
                <w:sz w:val="20"/>
                <w:szCs w:val="20"/>
              </w:rPr>
            </w:pPr>
            <w:r w:rsidRPr="00530DA8">
              <w:rPr>
                <w:sz w:val="20"/>
                <w:szCs w:val="20"/>
              </w:rPr>
              <w:t xml:space="preserve"> Sub-contract agreement and corresponding stamped bank statements.</w:t>
            </w:r>
          </w:p>
        </w:tc>
      </w:tr>
      <w:tr w:rsidR="00530DA8" w:rsidRPr="00530DA8" w14:paraId="18EF66F6" w14:textId="3B13E8CA" w:rsidTr="00530DA8">
        <w:trPr>
          <w:cantSplit/>
        </w:trPr>
        <w:tc>
          <w:tcPr>
            <w:tcW w:w="2134" w:type="dxa"/>
            <w:vMerge/>
          </w:tcPr>
          <w:p w14:paraId="74E1E3DC" w14:textId="07550824" w:rsidR="00530DA8" w:rsidRPr="00530DA8" w:rsidRDefault="00530DA8" w:rsidP="00D66738">
            <w:pPr>
              <w:spacing w:before="0"/>
              <w:jc w:val="both"/>
              <w:rPr>
                <w:sz w:val="20"/>
                <w:szCs w:val="20"/>
              </w:rPr>
            </w:pPr>
          </w:p>
        </w:tc>
        <w:tc>
          <w:tcPr>
            <w:tcW w:w="7108" w:type="dxa"/>
          </w:tcPr>
          <w:p w14:paraId="05D66175" w14:textId="4E337F04" w:rsidR="00530DA8" w:rsidRPr="00530DA8" w:rsidRDefault="00530DA8" w:rsidP="00D66738">
            <w:pPr>
              <w:spacing w:before="0"/>
              <w:jc w:val="both"/>
              <w:rPr>
                <w:sz w:val="20"/>
                <w:szCs w:val="20"/>
              </w:rPr>
            </w:pPr>
            <w:r w:rsidRPr="00530DA8">
              <w:rPr>
                <w:sz w:val="20"/>
                <w:szCs w:val="20"/>
              </w:rPr>
              <w:t xml:space="preserve"> Private Sector Contract – Purchase Orders, Contract Agreement, Tax Invoices and corresponding stamped bank statements.</w:t>
            </w:r>
          </w:p>
        </w:tc>
      </w:tr>
      <w:tr w:rsidR="00530DA8" w:rsidRPr="00530DA8" w14:paraId="43C256EB" w14:textId="0C657157" w:rsidTr="00530DA8">
        <w:trPr>
          <w:cantSplit/>
        </w:trPr>
        <w:tc>
          <w:tcPr>
            <w:tcW w:w="2134" w:type="dxa"/>
            <w:vMerge/>
          </w:tcPr>
          <w:p w14:paraId="334D9E65" w14:textId="64261216" w:rsidR="00530DA8" w:rsidRPr="00530DA8" w:rsidRDefault="00530DA8" w:rsidP="00D66738">
            <w:pPr>
              <w:spacing w:before="0"/>
              <w:jc w:val="both"/>
              <w:rPr>
                <w:sz w:val="20"/>
                <w:szCs w:val="20"/>
              </w:rPr>
            </w:pPr>
          </w:p>
        </w:tc>
        <w:tc>
          <w:tcPr>
            <w:tcW w:w="7108" w:type="dxa"/>
          </w:tcPr>
          <w:p w14:paraId="2AB9D40C" w14:textId="289C8F07" w:rsidR="00530DA8" w:rsidRPr="00530DA8" w:rsidRDefault="00530DA8" w:rsidP="00D66738">
            <w:pPr>
              <w:spacing w:before="0"/>
              <w:jc w:val="both"/>
              <w:rPr>
                <w:sz w:val="20"/>
                <w:szCs w:val="20"/>
              </w:rPr>
            </w:pPr>
            <w:r w:rsidRPr="00530DA8">
              <w:rPr>
                <w:sz w:val="20"/>
                <w:szCs w:val="20"/>
              </w:rPr>
              <w:t xml:space="preserve"> Projects with more than one Class of Work – Submit a breakdown showing the value of each class of work applied for (breakdown must be on client’s or consultant’s letterhead and signed)</w:t>
            </w:r>
          </w:p>
        </w:tc>
      </w:tr>
      <w:tr w:rsidR="00530DA8" w:rsidRPr="00530DA8" w14:paraId="7949119B" w14:textId="13A340FB" w:rsidTr="00530DA8">
        <w:trPr>
          <w:cantSplit/>
        </w:trPr>
        <w:tc>
          <w:tcPr>
            <w:tcW w:w="2134" w:type="dxa"/>
          </w:tcPr>
          <w:p w14:paraId="1CD6D8D4" w14:textId="77777777" w:rsidR="00530DA8" w:rsidRPr="00530DA8" w:rsidRDefault="00530DA8" w:rsidP="00D66738">
            <w:pPr>
              <w:spacing w:before="0"/>
              <w:jc w:val="both"/>
              <w:rPr>
                <w:sz w:val="20"/>
                <w:szCs w:val="20"/>
              </w:rPr>
            </w:pPr>
            <w:r w:rsidRPr="00530DA8">
              <w:rPr>
                <w:sz w:val="20"/>
                <w:szCs w:val="20"/>
              </w:rPr>
              <w:t>Transfer of Records</w:t>
            </w:r>
          </w:p>
        </w:tc>
        <w:tc>
          <w:tcPr>
            <w:tcW w:w="7108" w:type="dxa"/>
          </w:tcPr>
          <w:p w14:paraId="7900A0EA" w14:textId="4E8D5968" w:rsidR="00530DA8" w:rsidRPr="00530DA8" w:rsidRDefault="00530DA8" w:rsidP="00D66738">
            <w:pPr>
              <w:spacing w:before="0"/>
              <w:jc w:val="both"/>
              <w:rPr>
                <w:sz w:val="20"/>
                <w:szCs w:val="20"/>
              </w:rPr>
            </w:pPr>
            <w:r w:rsidRPr="00530DA8">
              <w:rPr>
                <w:sz w:val="20"/>
                <w:szCs w:val="20"/>
              </w:rPr>
              <w:t>Particulars of change as per Regulations 11 (4), (4A) and (4B)</w:t>
            </w:r>
          </w:p>
        </w:tc>
      </w:tr>
      <w:tr w:rsidR="00530DA8" w:rsidRPr="00530DA8" w14:paraId="0E1747AB" w14:textId="1731F2C6" w:rsidTr="00530DA8">
        <w:trPr>
          <w:cantSplit/>
        </w:trPr>
        <w:tc>
          <w:tcPr>
            <w:tcW w:w="2134" w:type="dxa"/>
            <w:vMerge w:val="restart"/>
          </w:tcPr>
          <w:p w14:paraId="0218D7B1" w14:textId="77777777" w:rsidR="00530DA8" w:rsidRPr="00530DA8" w:rsidRDefault="00530DA8" w:rsidP="00D66738">
            <w:pPr>
              <w:spacing w:before="0"/>
              <w:jc w:val="both"/>
              <w:rPr>
                <w:sz w:val="20"/>
                <w:szCs w:val="20"/>
              </w:rPr>
            </w:pPr>
            <w:r w:rsidRPr="00530DA8">
              <w:rPr>
                <w:sz w:val="20"/>
                <w:szCs w:val="20"/>
              </w:rPr>
              <w:lastRenderedPageBreak/>
              <w:t>Proof of payment</w:t>
            </w:r>
          </w:p>
        </w:tc>
        <w:tc>
          <w:tcPr>
            <w:tcW w:w="7108" w:type="dxa"/>
          </w:tcPr>
          <w:p w14:paraId="723B60A1" w14:textId="5D5AD432" w:rsidR="00530DA8" w:rsidRPr="00530DA8" w:rsidRDefault="00530DA8" w:rsidP="00D66738">
            <w:pPr>
              <w:spacing w:before="0"/>
              <w:jc w:val="both"/>
              <w:rPr>
                <w:sz w:val="20"/>
                <w:szCs w:val="20"/>
              </w:rPr>
            </w:pPr>
            <w:r w:rsidRPr="00530DA8">
              <w:rPr>
                <w:sz w:val="20"/>
                <w:szCs w:val="20"/>
              </w:rPr>
              <w:t>Administration in respect of each class of work applied for (R450 – R750) (fee dependent on contractor grading designation)</w:t>
            </w:r>
          </w:p>
        </w:tc>
      </w:tr>
      <w:tr w:rsidR="00530DA8" w:rsidRPr="00530DA8" w14:paraId="5F5A5905" w14:textId="41D00990" w:rsidTr="00530DA8">
        <w:trPr>
          <w:cantSplit/>
        </w:trPr>
        <w:tc>
          <w:tcPr>
            <w:tcW w:w="2134" w:type="dxa"/>
            <w:vMerge/>
          </w:tcPr>
          <w:p w14:paraId="4D2A004D" w14:textId="79977527" w:rsidR="00530DA8" w:rsidRPr="00530DA8" w:rsidRDefault="00530DA8" w:rsidP="00D66738">
            <w:pPr>
              <w:spacing w:before="0"/>
              <w:jc w:val="both"/>
              <w:rPr>
                <w:sz w:val="20"/>
                <w:szCs w:val="20"/>
              </w:rPr>
            </w:pPr>
          </w:p>
        </w:tc>
        <w:tc>
          <w:tcPr>
            <w:tcW w:w="7108" w:type="dxa"/>
          </w:tcPr>
          <w:p w14:paraId="650BC0DD" w14:textId="673F66F7" w:rsidR="00530DA8" w:rsidRPr="00530DA8" w:rsidRDefault="00530DA8" w:rsidP="00D66738">
            <w:pPr>
              <w:spacing w:before="0"/>
              <w:jc w:val="both"/>
              <w:rPr>
                <w:sz w:val="20"/>
                <w:szCs w:val="20"/>
              </w:rPr>
            </w:pPr>
            <w:r w:rsidRPr="00530DA8">
              <w:rPr>
                <w:sz w:val="20"/>
                <w:szCs w:val="20"/>
              </w:rPr>
              <w:t>Annual fees</w:t>
            </w:r>
            <w:r w:rsidR="00AE046D">
              <w:rPr>
                <w:sz w:val="20"/>
                <w:szCs w:val="20"/>
              </w:rPr>
              <w:t xml:space="preserve"> depend on</w:t>
            </w:r>
            <w:r w:rsidRPr="00530DA8">
              <w:rPr>
                <w:sz w:val="20"/>
                <w:szCs w:val="20"/>
              </w:rPr>
              <w:t xml:space="preserve"> contractor</w:t>
            </w:r>
            <w:r w:rsidR="00AE046D">
              <w:rPr>
                <w:sz w:val="20"/>
                <w:szCs w:val="20"/>
              </w:rPr>
              <w:t xml:space="preserve"> grade - for small business in levels 3 to 5, the maximum fee is R1750, but the fees top out at R55 000 for the largest contractors (able to take jobs worth over R130 million) </w:t>
            </w:r>
          </w:p>
        </w:tc>
      </w:tr>
    </w:tbl>
    <w:p w14:paraId="7529EC26" w14:textId="77777777" w:rsidR="00B0276E" w:rsidRDefault="00AE046D" w:rsidP="00D66738">
      <w:pPr>
        <w:jc w:val="both"/>
      </w:pPr>
      <w:bookmarkStart w:id="880" w:name="_Toc469585781"/>
      <w:r>
        <w:t xml:space="preserve">For small contractors to bid for contracts valued at up to R6,5 million, they would have to </w:t>
      </w:r>
      <w:r w:rsidR="00B0276E">
        <w:t xml:space="preserve">demonstrate adequate financial capacity through one of the following: </w:t>
      </w:r>
    </w:p>
    <w:p w14:paraId="3A75EBB7" w14:textId="77777777" w:rsidR="00B0276E" w:rsidRDefault="00B0276E" w:rsidP="00D66738">
      <w:pPr>
        <w:pStyle w:val="ListParagraph"/>
        <w:numPr>
          <w:ilvl w:val="0"/>
          <w:numId w:val="91"/>
        </w:numPr>
        <w:jc w:val="both"/>
      </w:pPr>
      <w:r>
        <w:t xml:space="preserve">they have had turnover of at least R3,3 million in one of the past five years; </w:t>
      </w:r>
    </w:p>
    <w:p w14:paraId="6132E1B8" w14:textId="77777777" w:rsidR="00B0276E" w:rsidRDefault="00B0276E" w:rsidP="00D66738">
      <w:pPr>
        <w:pStyle w:val="ListParagraph"/>
        <w:numPr>
          <w:ilvl w:val="0"/>
          <w:numId w:val="91"/>
        </w:numPr>
        <w:jc w:val="both"/>
      </w:pPr>
      <w:r>
        <w:t xml:space="preserve">they completed a contract worth R1,6 million in the past five years; or </w:t>
      </w:r>
    </w:p>
    <w:p w14:paraId="5EC8F8B2" w14:textId="15DC043F" w:rsidR="00B0276E" w:rsidRDefault="00B0276E" w:rsidP="00D66738">
      <w:pPr>
        <w:pStyle w:val="ListParagraph"/>
        <w:numPr>
          <w:ilvl w:val="0"/>
          <w:numId w:val="91"/>
        </w:numPr>
        <w:jc w:val="both"/>
      </w:pPr>
      <w:r>
        <w:t>they have R700 000 available in capital, some of which may belong to a “sponsor”.</w:t>
      </w:r>
    </w:p>
    <w:p w14:paraId="349BA2B4" w14:textId="2557D312" w:rsidR="00B0276E" w:rsidRDefault="00B0276E" w:rsidP="00D66738">
      <w:pPr>
        <w:jc w:val="both"/>
      </w:pPr>
      <w:r>
        <w:fldChar w:fldCharType="begin"/>
      </w:r>
      <w:r>
        <w:instrText xml:space="preserve"> REF _Ref479785342 \h </w:instrText>
      </w:r>
      <w:r w:rsidR="00D66738">
        <w:instrText xml:space="preserve"> \* MERGEFORMAT </w:instrText>
      </w:r>
      <w:r>
        <w:fldChar w:fldCharType="separate"/>
      </w:r>
      <w:r w:rsidR="005062E7">
        <w:t xml:space="preserve">Table </w:t>
      </w:r>
      <w:r w:rsidR="005062E7">
        <w:rPr>
          <w:noProof/>
        </w:rPr>
        <w:t>29</w:t>
      </w:r>
      <w:r>
        <w:fldChar w:fldCharType="end"/>
      </w:r>
      <w:r>
        <w:t xml:space="preserve"> indicates the requirements for proving capacity at each CIDB grade above Grade 1. For financial capability, only one of the three types of proof listed must be supplies. </w:t>
      </w:r>
      <w:r w:rsidR="0049756B">
        <w:t xml:space="preserve">Grade 1 does not have competency requirements except for electrical contractors.  </w:t>
      </w:r>
    </w:p>
    <w:p w14:paraId="58510EA4" w14:textId="2E4A22DB" w:rsidR="00B0276E" w:rsidRDefault="00B0276E" w:rsidP="00D66738">
      <w:pPr>
        <w:pStyle w:val="Caption"/>
        <w:jc w:val="both"/>
      </w:pPr>
      <w:bookmarkStart w:id="881" w:name="_Ref479785342"/>
      <w:bookmarkStart w:id="882" w:name="_Toc479940986"/>
      <w:r>
        <w:t xml:space="preserve">Table </w:t>
      </w:r>
      <w:fldSimple w:instr=" SEQ Table \* ARABIC ">
        <w:r w:rsidR="005062E7">
          <w:rPr>
            <w:noProof/>
          </w:rPr>
          <w:t>29</w:t>
        </w:r>
      </w:fldSimple>
      <w:bookmarkEnd w:id="881"/>
      <w:r>
        <w:t>. Requirements for proving competency for CIDB grades</w:t>
      </w:r>
      <w:bookmarkEnd w:id="882"/>
      <w:r>
        <w:t xml:space="preserve"> </w:t>
      </w:r>
    </w:p>
    <w:tbl>
      <w:tblPr>
        <w:tblStyle w:val="TableGrid"/>
        <w:tblW w:w="5000" w:type="pct"/>
        <w:tblLayout w:type="fixed"/>
        <w:tblLook w:val="04A0" w:firstRow="1" w:lastRow="0" w:firstColumn="1" w:lastColumn="0" w:noHBand="0" w:noVBand="1"/>
      </w:tblPr>
      <w:tblGrid>
        <w:gridCol w:w="823"/>
        <w:gridCol w:w="1129"/>
        <w:gridCol w:w="1704"/>
        <w:gridCol w:w="1414"/>
        <w:gridCol w:w="1702"/>
        <w:gridCol w:w="1274"/>
        <w:gridCol w:w="1196"/>
      </w:tblGrid>
      <w:tr w:rsidR="00B0276E" w:rsidRPr="00B0276E" w14:paraId="5483FD2B" w14:textId="77777777" w:rsidTr="00B0276E">
        <w:tc>
          <w:tcPr>
            <w:tcW w:w="445" w:type="pct"/>
            <w:vMerge w:val="restart"/>
            <w:noWrap/>
            <w:vAlign w:val="bottom"/>
            <w:hideMark/>
          </w:tcPr>
          <w:p w14:paraId="4344123F" w14:textId="2C9F8531" w:rsidR="00B0276E" w:rsidRPr="00B0276E" w:rsidRDefault="00B0276E" w:rsidP="00D66738">
            <w:pPr>
              <w:spacing w:before="0"/>
              <w:jc w:val="both"/>
              <w:rPr>
                <w:rFonts w:ascii="Calibri" w:eastAsia="Times New Roman" w:hAnsi="Calibri" w:cs="Times New Roman"/>
                <w:b/>
                <w:color w:val="000000"/>
                <w:sz w:val="20"/>
                <w:szCs w:val="20"/>
                <w:lang w:eastAsia="en-ZA"/>
              </w:rPr>
            </w:pPr>
            <w:r w:rsidRPr="00B0276E">
              <w:rPr>
                <w:rFonts w:ascii="Calibri" w:eastAsia="Times New Roman" w:hAnsi="Calibri" w:cs="Times New Roman"/>
                <w:b/>
                <w:color w:val="000000"/>
                <w:sz w:val="20"/>
                <w:szCs w:val="20"/>
                <w:lang w:eastAsia="en-ZA"/>
              </w:rPr>
              <w:t>Grade</w:t>
            </w:r>
          </w:p>
        </w:tc>
        <w:tc>
          <w:tcPr>
            <w:tcW w:w="611" w:type="pct"/>
            <w:vMerge w:val="restart"/>
            <w:noWrap/>
            <w:vAlign w:val="bottom"/>
            <w:hideMark/>
          </w:tcPr>
          <w:p w14:paraId="257CD33B" w14:textId="6735A176" w:rsidR="00B0276E" w:rsidRPr="00B0276E" w:rsidRDefault="00B0276E" w:rsidP="00D66738">
            <w:pPr>
              <w:spacing w:before="0"/>
              <w:jc w:val="both"/>
              <w:rPr>
                <w:rFonts w:ascii="Calibri" w:eastAsia="Times New Roman" w:hAnsi="Calibri" w:cs="Times New Roman"/>
                <w:b/>
                <w:color w:val="000000"/>
                <w:sz w:val="20"/>
                <w:szCs w:val="20"/>
                <w:lang w:eastAsia="en-ZA"/>
              </w:rPr>
            </w:pPr>
            <w:r w:rsidRPr="00B0276E">
              <w:rPr>
                <w:rFonts w:ascii="Calibri" w:eastAsia="Times New Roman" w:hAnsi="Calibri" w:cs="Times New Roman"/>
                <w:b/>
                <w:color w:val="000000"/>
                <w:sz w:val="20"/>
                <w:szCs w:val="20"/>
                <w:lang w:eastAsia="en-ZA"/>
              </w:rPr>
              <w:t>Tender ceiling for grade</w:t>
            </w:r>
          </w:p>
        </w:tc>
        <w:tc>
          <w:tcPr>
            <w:tcW w:w="2608" w:type="pct"/>
            <w:gridSpan w:val="3"/>
            <w:noWrap/>
            <w:vAlign w:val="bottom"/>
            <w:hideMark/>
          </w:tcPr>
          <w:p w14:paraId="292A9F1A" w14:textId="628C9553" w:rsidR="00B0276E" w:rsidRPr="00B0276E" w:rsidRDefault="00B0276E" w:rsidP="00D66738">
            <w:pPr>
              <w:spacing w:before="0"/>
              <w:jc w:val="both"/>
              <w:rPr>
                <w:rFonts w:ascii="Calibri" w:eastAsia="Times New Roman" w:hAnsi="Calibri" w:cs="Times New Roman"/>
                <w:b/>
                <w:color w:val="000000"/>
                <w:sz w:val="20"/>
                <w:szCs w:val="20"/>
                <w:lang w:eastAsia="en-ZA"/>
              </w:rPr>
            </w:pPr>
            <w:r w:rsidRPr="00B0276E">
              <w:rPr>
                <w:rFonts w:ascii="Calibri" w:eastAsia="Times New Roman" w:hAnsi="Calibri" w:cs="Times New Roman"/>
                <w:b/>
                <w:color w:val="000000"/>
                <w:sz w:val="20"/>
                <w:szCs w:val="20"/>
                <w:lang w:eastAsia="en-ZA"/>
              </w:rPr>
              <w:t xml:space="preserve">Financial capability (R </w:t>
            </w:r>
            <w:proofErr w:type="spellStart"/>
            <w:r w:rsidRPr="00B0276E">
              <w:rPr>
                <w:rFonts w:ascii="Calibri" w:eastAsia="Times New Roman" w:hAnsi="Calibri" w:cs="Times New Roman"/>
                <w:b/>
                <w:color w:val="000000"/>
                <w:sz w:val="20"/>
                <w:szCs w:val="20"/>
                <w:lang w:eastAsia="en-ZA"/>
              </w:rPr>
              <w:t>mns</w:t>
            </w:r>
            <w:proofErr w:type="spellEnd"/>
            <w:r w:rsidRPr="00B0276E">
              <w:rPr>
                <w:rFonts w:ascii="Calibri" w:eastAsia="Times New Roman" w:hAnsi="Calibri" w:cs="Times New Roman"/>
                <w:b/>
                <w:color w:val="000000"/>
                <w:sz w:val="20"/>
                <w:szCs w:val="20"/>
                <w:lang w:eastAsia="en-ZA"/>
              </w:rPr>
              <w:t>)</w:t>
            </w:r>
            <w:r>
              <w:rPr>
                <w:rFonts w:ascii="Calibri" w:eastAsia="Times New Roman" w:hAnsi="Calibri" w:cs="Times New Roman"/>
                <w:b/>
                <w:color w:val="000000"/>
                <w:sz w:val="20"/>
                <w:szCs w:val="20"/>
                <w:lang w:eastAsia="en-ZA"/>
              </w:rPr>
              <w:t xml:space="preserve"> (a</w:t>
            </w:r>
            <w:r w:rsidRPr="00B0276E">
              <w:rPr>
                <w:rFonts w:ascii="Calibri" w:eastAsia="Times New Roman" w:hAnsi="Calibri" w:cs="Times New Roman"/>
                <w:b/>
                <w:color w:val="000000"/>
                <w:sz w:val="20"/>
                <w:szCs w:val="20"/>
                <w:lang w:eastAsia="en-ZA"/>
              </w:rPr>
              <w:t>)</w:t>
            </w:r>
          </w:p>
        </w:tc>
        <w:tc>
          <w:tcPr>
            <w:tcW w:w="1336" w:type="pct"/>
            <w:gridSpan w:val="2"/>
            <w:noWrap/>
            <w:vAlign w:val="bottom"/>
            <w:hideMark/>
          </w:tcPr>
          <w:p w14:paraId="63266F2D" w14:textId="4AC16B34" w:rsidR="00B0276E" w:rsidRPr="00B0276E" w:rsidRDefault="00B0276E" w:rsidP="00D66738">
            <w:pPr>
              <w:spacing w:before="0"/>
              <w:jc w:val="both"/>
              <w:rPr>
                <w:rFonts w:ascii="Calibri" w:eastAsia="Times New Roman" w:hAnsi="Calibri" w:cs="Times New Roman"/>
                <w:b/>
                <w:color w:val="000000"/>
                <w:sz w:val="20"/>
                <w:szCs w:val="20"/>
                <w:lang w:eastAsia="en-ZA"/>
              </w:rPr>
            </w:pPr>
            <w:r>
              <w:rPr>
                <w:rFonts w:ascii="Calibri" w:eastAsia="Times New Roman" w:hAnsi="Calibri" w:cs="Times New Roman"/>
                <w:b/>
                <w:color w:val="000000"/>
                <w:sz w:val="20"/>
                <w:szCs w:val="20"/>
                <w:lang w:eastAsia="en-ZA"/>
              </w:rPr>
              <w:t>Professionals (number</w:t>
            </w:r>
            <w:r w:rsidRPr="00B0276E">
              <w:rPr>
                <w:rFonts w:ascii="Calibri" w:eastAsia="Times New Roman" w:hAnsi="Calibri" w:cs="Times New Roman"/>
                <w:b/>
                <w:color w:val="000000"/>
                <w:sz w:val="20"/>
                <w:szCs w:val="20"/>
                <w:lang w:eastAsia="en-ZA"/>
              </w:rPr>
              <w:t>)</w:t>
            </w:r>
          </w:p>
        </w:tc>
      </w:tr>
      <w:tr w:rsidR="00B0276E" w:rsidRPr="00B0276E" w14:paraId="4E399D17" w14:textId="77777777" w:rsidTr="00B0276E">
        <w:tc>
          <w:tcPr>
            <w:tcW w:w="445" w:type="pct"/>
            <w:vMerge/>
            <w:noWrap/>
            <w:vAlign w:val="bottom"/>
            <w:hideMark/>
          </w:tcPr>
          <w:p w14:paraId="66944312" w14:textId="23F5ED5B" w:rsidR="00B0276E" w:rsidRPr="00B0276E" w:rsidRDefault="00B0276E" w:rsidP="00D66738">
            <w:pPr>
              <w:spacing w:before="0"/>
              <w:jc w:val="both"/>
              <w:rPr>
                <w:rFonts w:ascii="Calibri" w:eastAsia="Times New Roman" w:hAnsi="Calibri" w:cs="Times New Roman"/>
                <w:b/>
                <w:color w:val="000000"/>
                <w:sz w:val="20"/>
                <w:szCs w:val="20"/>
                <w:lang w:eastAsia="en-ZA"/>
              </w:rPr>
            </w:pPr>
          </w:p>
        </w:tc>
        <w:tc>
          <w:tcPr>
            <w:tcW w:w="611" w:type="pct"/>
            <w:vMerge/>
            <w:noWrap/>
            <w:vAlign w:val="bottom"/>
            <w:hideMark/>
          </w:tcPr>
          <w:p w14:paraId="60DDEB52" w14:textId="32AB0D9A" w:rsidR="00B0276E" w:rsidRPr="00B0276E" w:rsidRDefault="00B0276E" w:rsidP="00D66738">
            <w:pPr>
              <w:spacing w:before="0"/>
              <w:jc w:val="both"/>
              <w:rPr>
                <w:rFonts w:ascii="Calibri" w:eastAsia="Times New Roman" w:hAnsi="Calibri" w:cs="Times New Roman"/>
                <w:b/>
                <w:color w:val="000000"/>
                <w:sz w:val="20"/>
                <w:szCs w:val="20"/>
                <w:lang w:eastAsia="en-ZA"/>
              </w:rPr>
            </w:pPr>
          </w:p>
        </w:tc>
        <w:tc>
          <w:tcPr>
            <w:tcW w:w="922" w:type="pct"/>
            <w:noWrap/>
            <w:vAlign w:val="bottom"/>
            <w:hideMark/>
          </w:tcPr>
          <w:p w14:paraId="3C998434" w14:textId="77777777" w:rsidR="00B0276E" w:rsidRPr="00B0276E" w:rsidRDefault="00B0276E" w:rsidP="00D66738">
            <w:pPr>
              <w:spacing w:before="0"/>
              <w:jc w:val="both"/>
              <w:rPr>
                <w:rFonts w:ascii="Calibri" w:eastAsia="Times New Roman" w:hAnsi="Calibri" w:cs="Times New Roman"/>
                <w:b/>
                <w:color w:val="000000"/>
                <w:sz w:val="20"/>
                <w:szCs w:val="20"/>
                <w:lang w:eastAsia="en-ZA"/>
              </w:rPr>
            </w:pPr>
            <w:r w:rsidRPr="00B0276E">
              <w:rPr>
                <w:rFonts w:ascii="Calibri" w:eastAsia="Times New Roman" w:hAnsi="Calibri" w:cs="Times New Roman"/>
                <w:b/>
                <w:color w:val="000000"/>
                <w:sz w:val="20"/>
                <w:szCs w:val="20"/>
                <w:lang w:eastAsia="en-ZA"/>
              </w:rPr>
              <w:t>Best Annual Turnover in past 5 years</w:t>
            </w:r>
          </w:p>
        </w:tc>
        <w:tc>
          <w:tcPr>
            <w:tcW w:w="765" w:type="pct"/>
            <w:noWrap/>
            <w:vAlign w:val="bottom"/>
            <w:hideMark/>
          </w:tcPr>
          <w:p w14:paraId="68718971" w14:textId="77777777" w:rsidR="00B0276E" w:rsidRPr="00B0276E" w:rsidRDefault="00B0276E" w:rsidP="00D66738">
            <w:pPr>
              <w:spacing w:before="0"/>
              <w:jc w:val="both"/>
              <w:rPr>
                <w:rFonts w:ascii="Calibri" w:eastAsia="Times New Roman" w:hAnsi="Calibri" w:cs="Times New Roman"/>
                <w:b/>
                <w:color w:val="000000"/>
                <w:sz w:val="20"/>
                <w:szCs w:val="20"/>
                <w:lang w:eastAsia="en-ZA"/>
              </w:rPr>
            </w:pPr>
            <w:r w:rsidRPr="00B0276E">
              <w:rPr>
                <w:rFonts w:ascii="Calibri" w:eastAsia="Times New Roman" w:hAnsi="Calibri" w:cs="Times New Roman"/>
                <w:b/>
                <w:color w:val="000000"/>
                <w:sz w:val="20"/>
                <w:szCs w:val="20"/>
                <w:lang w:eastAsia="en-ZA"/>
              </w:rPr>
              <w:t>Largest Contract in past 5 years</w:t>
            </w:r>
          </w:p>
        </w:tc>
        <w:tc>
          <w:tcPr>
            <w:tcW w:w="921" w:type="pct"/>
            <w:noWrap/>
            <w:vAlign w:val="bottom"/>
            <w:hideMark/>
          </w:tcPr>
          <w:p w14:paraId="66B2A9FC" w14:textId="77777777" w:rsidR="00B0276E" w:rsidRPr="00B0276E" w:rsidRDefault="00B0276E" w:rsidP="00D66738">
            <w:pPr>
              <w:spacing w:before="0"/>
              <w:jc w:val="both"/>
              <w:rPr>
                <w:rFonts w:ascii="Calibri" w:eastAsia="Times New Roman" w:hAnsi="Calibri" w:cs="Times New Roman"/>
                <w:b/>
                <w:color w:val="000000"/>
                <w:sz w:val="20"/>
                <w:szCs w:val="20"/>
                <w:lang w:eastAsia="en-ZA"/>
              </w:rPr>
            </w:pPr>
            <w:r w:rsidRPr="00B0276E">
              <w:rPr>
                <w:rFonts w:ascii="Calibri" w:eastAsia="Times New Roman" w:hAnsi="Calibri" w:cs="Times New Roman"/>
                <w:b/>
                <w:color w:val="000000"/>
                <w:sz w:val="20"/>
                <w:szCs w:val="20"/>
                <w:lang w:eastAsia="en-ZA"/>
              </w:rPr>
              <w:t>Available Capital (assets plus sponsorship)</w:t>
            </w:r>
          </w:p>
        </w:tc>
        <w:tc>
          <w:tcPr>
            <w:tcW w:w="689" w:type="pct"/>
            <w:noWrap/>
            <w:vAlign w:val="bottom"/>
            <w:hideMark/>
          </w:tcPr>
          <w:p w14:paraId="6F302500" w14:textId="741B918B" w:rsidR="00B0276E" w:rsidRPr="00B0276E" w:rsidRDefault="00B0276E" w:rsidP="00D66738">
            <w:pPr>
              <w:spacing w:before="0"/>
              <w:jc w:val="both"/>
              <w:rPr>
                <w:rFonts w:ascii="Calibri" w:eastAsia="Times New Roman" w:hAnsi="Calibri" w:cs="Times New Roman"/>
                <w:b/>
                <w:color w:val="000000"/>
                <w:sz w:val="20"/>
                <w:szCs w:val="20"/>
                <w:lang w:eastAsia="en-ZA"/>
              </w:rPr>
            </w:pPr>
            <w:r w:rsidRPr="00B0276E">
              <w:rPr>
                <w:rFonts w:ascii="Calibri" w:eastAsia="Times New Roman" w:hAnsi="Calibri" w:cs="Times New Roman"/>
                <w:b/>
                <w:color w:val="000000"/>
                <w:sz w:val="20"/>
                <w:szCs w:val="20"/>
                <w:lang w:eastAsia="en-ZA"/>
              </w:rPr>
              <w:t>General/ civil engineering</w:t>
            </w:r>
          </w:p>
        </w:tc>
        <w:tc>
          <w:tcPr>
            <w:tcW w:w="647" w:type="pct"/>
            <w:noWrap/>
            <w:vAlign w:val="bottom"/>
            <w:hideMark/>
          </w:tcPr>
          <w:p w14:paraId="250865E4" w14:textId="2F61D8C7" w:rsidR="00B0276E" w:rsidRPr="00B0276E" w:rsidRDefault="00B0276E" w:rsidP="00D66738">
            <w:pPr>
              <w:spacing w:before="0"/>
              <w:jc w:val="both"/>
              <w:rPr>
                <w:rFonts w:ascii="Calibri" w:eastAsia="Times New Roman" w:hAnsi="Calibri" w:cs="Times New Roman"/>
                <w:b/>
                <w:color w:val="000000"/>
                <w:sz w:val="20"/>
                <w:szCs w:val="20"/>
                <w:lang w:eastAsia="en-ZA"/>
              </w:rPr>
            </w:pPr>
            <w:r w:rsidRPr="00B0276E">
              <w:rPr>
                <w:rFonts w:ascii="Calibri" w:eastAsia="Times New Roman" w:hAnsi="Calibri" w:cs="Times New Roman"/>
                <w:b/>
                <w:color w:val="000000"/>
                <w:sz w:val="20"/>
                <w:szCs w:val="20"/>
                <w:lang w:eastAsia="en-ZA"/>
              </w:rPr>
              <w:t>Electrical/ mechanical/ specialist</w:t>
            </w:r>
          </w:p>
        </w:tc>
      </w:tr>
      <w:tr w:rsidR="00B0276E" w:rsidRPr="00B0276E" w14:paraId="44B61C39" w14:textId="77777777" w:rsidTr="00B0276E">
        <w:tc>
          <w:tcPr>
            <w:tcW w:w="445" w:type="pct"/>
            <w:noWrap/>
            <w:vAlign w:val="bottom"/>
            <w:hideMark/>
          </w:tcPr>
          <w:p w14:paraId="5AC56C9B"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2</w:t>
            </w:r>
          </w:p>
        </w:tc>
        <w:tc>
          <w:tcPr>
            <w:tcW w:w="611" w:type="pct"/>
            <w:noWrap/>
            <w:vAlign w:val="bottom"/>
            <w:hideMark/>
          </w:tcPr>
          <w:p w14:paraId="62E457F0" w14:textId="2A0B9512"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0.7 </w:t>
            </w:r>
          </w:p>
        </w:tc>
        <w:tc>
          <w:tcPr>
            <w:tcW w:w="922" w:type="pct"/>
            <w:noWrap/>
            <w:vAlign w:val="bottom"/>
          </w:tcPr>
          <w:p w14:paraId="6D0E8606" w14:textId="7DD40A26" w:rsidR="00B0276E" w:rsidRPr="00B0276E" w:rsidRDefault="00B0276E" w:rsidP="00D66738">
            <w:pPr>
              <w:spacing w:before="0"/>
              <w:jc w:val="both"/>
              <w:rPr>
                <w:rFonts w:ascii="Calibri" w:eastAsia="Times New Roman" w:hAnsi="Calibri" w:cs="Times New Roman"/>
                <w:color w:val="000000"/>
                <w:sz w:val="20"/>
                <w:szCs w:val="20"/>
                <w:lang w:eastAsia="en-ZA"/>
              </w:rPr>
            </w:pPr>
          </w:p>
        </w:tc>
        <w:tc>
          <w:tcPr>
            <w:tcW w:w="765" w:type="pct"/>
            <w:noWrap/>
            <w:vAlign w:val="bottom"/>
            <w:hideMark/>
          </w:tcPr>
          <w:p w14:paraId="61388D56" w14:textId="122A1474"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0.2 </w:t>
            </w:r>
          </w:p>
        </w:tc>
        <w:tc>
          <w:tcPr>
            <w:tcW w:w="921" w:type="pct"/>
            <w:noWrap/>
            <w:vAlign w:val="bottom"/>
          </w:tcPr>
          <w:p w14:paraId="51931181" w14:textId="5D5E662E" w:rsidR="00B0276E" w:rsidRPr="00B0276E" w:rsidRDefault="00B0276E" w:rsidP="00D66738">
            <w:pPr>
              <w:spacing w:before="0"/>
              <w:jc w:val="both"/>
              <w:rPr>
                <w:rFonts w:ascii="Calibri" w:eastAsia="Times New Roman" w:hAnsi="Calibri" w:cs="Times New Roman"/>
                <w:color w:val="000000"/>
                <w:sz w:val="20"/>
                <w:szCs w:val="20"/>
                <w:lang w:eastAsia="en-ZA"/>
              </w:rPr>
            </w:pPr>
          </w:p>
        </w:tc>
        <w:tc>
          <w:tcPr>
            <w:tcW w:w="689" w:type="pct"/>
            <w:noWrap/>
            <w:vAlign w:val="bottom"/>
            <w:hideMark/>
          </w:tcPr>
          <w:p w14:paraId="121365F8"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p>
        </w:tc>
        <w:tc>
          <w:tcPr>
            <w:tcW w:w="647" w:type="pct"/>
            <w:noWrap/>
            <w:vAlign w:val="bottom"/>
            <w:hideMark/>
          </w:tcPr>
          <w:p w14:paraId="0D3BA859"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p>
        </w:tc>
      </w:tr>
      <w:tr w:rsidR="00B0276E" w:rsidRPr="00B0276E" w14:paraId="3FFA6582" w14:textId="77777777" w:rsidTr="00B0276E">
        <w:tc>
          <w:tcPr>
            <w:tcW w:w="445" w:type="pct"/>
            <w:noWrap/>
            <w:vAlign w:val="bottom"/>
            <w:hideMark/>
          </w:tcPr>
          <w:p w14:paraId="196591E6"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3</w:t>
            </w:r>
          </w:p>
        </w:tc>
        <w:tc>
          <w:tcPr>
            <w:tcW w:w="611" w:type="pct"/>
            <w:noWrap/>
            <w:vAlign w:val="bottom"/>
            <w:hideMark/>
          </w:tcPr>
          <w:p w14:paraId="689ADA34" w14:textId="2BFE9A73"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2.0 </w:t>
            </w:r>
          </w:p>
        </w:tc>
        <w:tc>
          <w:tcPr>
            <w:tcW w:w="922" w:type="pct"/>
            <w:noWrap/>
            <w:vAlign w:val="bottom"/>
            <w:hideMark/>
          </w:tcPr>
          <w:p w14:paraId="17B1D8D5" w14:textId="2D98B4C9"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1.0 </w:t>
            </w:r>
          </w:p>
        </w:tc>
        <w:tc>
          <w:tcPr>
            <w:tcW w:w="765" w:type="pct"/>
            <w:noWrap/>
            <w:vAlign w:val="bottom"/>
            <w:hideMark/>
          </w:tcPr>
          <w:p w14:paraId="1CD811FD" w14:textId="38E31233"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0.5 </w:t>
            </w:r>
          </w:p>
        </w:tc>
        <w:tc>
          <w:tcPr>
            <w:tcW w:w="921" w:type="pct"/>
            <w:noWrap/>
            <w:vAlign w:val="bottom"/>
            <w:hideMark/>
          </w:tcPr>
          <w:p w14:paraId="2836C9A3" w14:textId="1A9217EA"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0.1 </w:t>
            </w:r>
          </w:p>
        </w:tc>
        <w:tc>
          <w:tcPr>
            <w:tcW w:w="689" w:type="pct"/>
            <w:noWrap/>
            <w:vAlign w:val="bottom"/>
            <w:hideMark/>
          </w:tcPr>
          <w:p w14:paraId="58E24AEE"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p>
        </w:tc>
        <w:tc>
          <w:tcPr>
            <w:tcW w:w="647" w:type="pct"/>
            <w:noWrap/>
            <w:vAlign w:val="bottom"/>
            <w:hideMark/>
          </w:tcPr>
          <w:p w14:paraId="7C6168B2"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p>
        </w:tc>
      </w:tr>
      <w:tr w:rsidR="00B0276E" w:rsidRPr="00B0276E" w14:paraId="7DF38F8F" w14:textId="77777777" w:rsidTr="00B0276E">
        <w:tc>
          <w:tcPr>
            <w:tcW w:w="445" w:type="pct"/>
            <w:noWrap/>
            <w:vAlign w:val="bottom"/>
            <w:hideMark/>
          </w:tcPr>
          <w:p w14:paraId="0414F4D6"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4</w:t>
            </w:r>
          </w:p>
        </w:tc>
        <w:tc>
          <w:tcPr>
            <w:tcW w:w="611" w:type="pct"/>
            <w:noWrap/>
            <w:vAlign w:val="bottom"/>
            <w:hideMark/>
          </w:tcPr>
          <w:p w14:paraId="33016998" w14:textId="0950B5E6"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4.0 </w:t>
            </w:r>
          </w:p>
        </w:tc>
        <w:tc>
          <w:tcPr>
            <w:tcW w:w="922" w:type="pct"/>
            <w:noWrap/>
            <w:vAlign w:val="bottom"/>
            <w:hideMark/>
          </w:tcPr>
          <w:p w14:paraId="583CBA5E" w14:textId="43144261"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2.0 </w:t>
            </w:r>
          </w:p>
        </w:tc>
        <w:tc>
          <w:tcPr>
            <w:tcW w:w="765" w:type="pct"/>
            <w:noWrap/>
            <w:vAlign w:val="bottom"/>
            <w:hideMark/>
          </w:tcPr>
          <w:p w14:paraId="2CC6934C" w14:textId="0792D463"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1.0 </w:t>
            </w:r>
          </w:p>
        </w:tc>
        <w:tc>
          <w:tcPr>
            <w:tcW w:w="921" w:type="pct"/>
            <w:noWrap/>
            <w:vAlign w:val="bottom"/>
            <w:hideMark/>
          </w:tcPr>
          <w:p w14:paraId="590D9AB5" w14:textId="07C12F0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0.2 </w:t>
            </w:r>
          </w:p>
        </w:tc>
        <w:tc>
          <w:tcPr>
            <w:tcW w:w="689" w:type="pct"/>
            <w:noWrap/>
            <w:vAlign w:val="bottom"/>
            <w:hideMark/>
          </w:tcPr>
          <w:p w14:paraId="79F4F242"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p>
        </w:tc>
        <w:tc>
          <w:tcPr>
            <w:tcW w:w="647" w:type="pct"/>
            <w:noWrap/>
            <w:vAlign w:val="bottom"/>
            <w:hideMark/>
          </w:tcPr>
          <w:p w14:paraId="44FECC61"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p>
        </w:tc>
      </w:tr>
      <w:tr w:rsidR="00B0276E" w:rsidRPr="00B0276E" w14:paraId="2132EB66" w14:textId="77777777" w:rsidTr="00B0276E">
        <w:tc>
          <w:tcPr>
            <w:tcW w:w="445" w:type="pct"/>
            <w:noWrap/>
            <w:vAlign w:val="bottom"/>
            <w:hideMark/>
          </w:tcPr>
          <w:p w14:paraId="03D7577D" w14:textId="77777777" w:rsidR="00B0276E" w:rsidRPr="00B0276E" w:rsidRDefault="00B0276E" w:rsidP="00D66738">
            <w:pPr>
              <w:spacing w:before="0"/>
              <w:jc w:val="both"/>
              <w:rPr>
                <w:rFonts w:ascii="Calibri" w:eastAsia="Times New Roman" w:hAnsi="Calibri" w:cs="Times New Roman"/>
                <w:b/>
                <w:bCs/>
                <w:color w:val="000000"/>
                <w:sz w:val="20"/>
                <w:szCs w:val="20"/>
                <w:lang w:eastAsia="en-ZA"/>
              </w:rPr>
            </w:pPr>
            <w:r w:rsidRPr="00B0276E">
              <w:rPr>
                <w:rFonts w:ascii="Calibri" w:eastAsia="Times New Roman" w:hAnsi="Calibri" w:cs="Times New Roman"/>
                <w:b/>
                <w:bCs/>
                <w:color w:val="000000"/>
                <w:sz w:val="20"/>
                <w:szCs w:val="20"/>
                <w:lang w:eastAsia="en-ZA"/>
              </w:rPr>
              <w:t>5</w:t>
            </w:r>
          </w:p>
        </w:tc>
        <w:tc>
          <w:tcPr>
            <w:tcW w:w="611" w:type="pct"/>
            <w:noWrap/>
            <w:vAlign w:val="bottom"/>
            <w:hideMark/>
          </w:tcPr>
          <w:p w14:paraId="77441785" w14:textId="56D4A745" w:rsidR="00B0276E" w:rsidRPr="00B0276E" w:rsidRDefault="00B0276E" w:rsidP="00D66738">
            <w:pPr>
              <w:spacing w:before="0"/>
              <w:jc w:val="both"/>
              <w:rPr>
                <w:rFonts w:ascii="Calibri" w:eastAsia="Times New Roman" w:hAnsi="Calibri" w:cs="Times New Roman"/>
                <w:b/>
                <w:bCs/>
                <w:color w:val="000000"/>
                <w:sz w:val="20"/>
                <w:szCs w:val="20"/>
                <w:lang w:eastAsia="en-ZA"/>
              </w:rPr>
            </w:pPr>
            <w:r w:rsidRPr="00B0276E">
              <w:rPr>
                <w:rFonts w:ascii="Calibri" w:eastAsia="Times New Roman" w:hAnsi="Calibri" w:cs="Times New Roman"/>
                <w:b/>
                <w:bCs/>
                <w:color w:val="000000"/>
                <w:sz w:val="20"/>
                <w:szCs w:val="20"/>
                <w:lang w:eastAsia="en-ZA"/>
              </w:rPr>
              <w:t xml:space="preserve"> 6.5 </w:t>
            </w:r>
          </w:p>
        </w:tc>
        <w:tc>
          <w:tcPr>
            <w:tcW w:w="922" w:type="pct"/>
            <w:noWrap/>
            <w:vAlign w:val="bottom"/>
            <w:hideMark/>
          </w:tcPr>
          <w:p w14:paraId="0A47439A" w14:textId="37A6C285" w:rsidR="00B0276E" w:rsidRPr="00B0276E" w:rsidRDefault="00B0276E" w:rsidP="00D66738">
            <w:pPr>
              <w:spacing w:before="0"/>
              <w:jc w:val="both"/>
              <w:rPr>
                <w:rFonts w:ascii="Calibri" w:eastAsia="Times New Roman" w:hAnsi="Calibri" w:cs="Times New Roman"/>
                <w:b/>
                <w:bCs/>
                <w:color w:val="000000"/>
                <w:sz w:val="20"/>
                <w:szCs w:val="20"/>
                <w:lang w:eastAsia="en-ZA"/>
              </w:rPr>
            </w:pPr>
            <w:r w:rsidRPr="00B0276E">
              <w:rPr>
                <w:rFonts w:ascii="Calibri" w:eastAsia="Times New Roman" w:hAnsi="Calibri" w:cs="Times New Roman"/>
                <w:b/>
                <w:bCs/>
                <w:color w:val="000000"/>
                <w:sz w:val="20"/>
                <w:szCs w:val="20"/>
                <w:lang w:eastAsia="en-ZA"/>
              </w:rPr>
              <w:t xml:space="preserve"> 3.3 </w:t>
            </w:r>
          </w:p>
        </w:tc>
        <w:tc>
          <w:tcPr>
            <w:tcW w:w="765" w:type="pct"/>
            <w:noWrap/>
            <w:vAlign w:val="bottom"/>
            <w:hideMark/>
          </w:tcPr>
          <w:p w14:paraId="6AF92F34" w14:textId="1CD62E63" w:rsidR="00B0276E" w:rsidRPr="00B0276E" w:rsidRDefault="00B0276E" w:rsidP="00D66738">
            <w:pPr>
              <w:spacing w:before="0"/>
              <w:jc w:val="both"/>
              <w:rPr>
                <w:rFonts w:ascii="Calibri" w:eastAsia="Times New Roman" w:hAnsi="Calibri" w:cs="Times New Roman"/>
                <w:b/>
                <w:bCs/>
                <w:color w:val="000000"/>
                <w:sz w:val="20"/>
                <w:szCs w:val="20"/>
                <w:lang w:eastAsia="en-ZA"/>
              </w:rPr>
            </w:pPr>
            <w:r w:rsidRPr="00B0276E">
              <w:rPr>
                <w:rFonts w:ascii="Calibri" w:eastAsia="Times New Roman" w:hAnsi="Calibri" w:cs="Times New Roman"/>
                <w:b/>
                <w:bCs/>
                <w:color w:val="000000"/>
                <w:sz w:val="20"/>
                <w:szCs w:val="20"/>
                <w:lang w:eastAsia="en-ZA"/>
              </w:rPr>
              <w:t xml:space="preserve"> 1.6 </w:t>
            </w:r>
          </w:p>
        </w:tc>
        <w:tc>
          <w:tcPr>
            <w:tcW w:w="921" w:type="pct"/>
            <w:noWrap/>
            <w:vAlign w:val="bottom"/>
            <w:hideMark/>
          </w:tcPr>
          <w:p w14:paraId="7494C9EF" w14:textId="313B99AF" w:rsidR="00B0276E" w:rsidRPr="00B0276E" w:rsidRDefault="00B0276E" w:rsidP="00D66738">
            <w:pPr>
              <w:spacing w:before="0"/>
              <w:jc w:val="both"/>
              <w:rPr>
                <w:rFonts w:ascii="Calibri" w:eastAsia="Times New Roman" w:hAnsi="Calibri" w:cs="Times New Roman"/>
                <w:b/>
                <w:bCs/>
                <w:color w:val="000000"/>
                <w:sz w:val="20"/>
                <w:szCs w:val="20"/>
                <w:lang w:eastAsia="en-ZA"/>
              </w:rPr>
            </w:pPr>
            <w:r w:rsidRPr="00B0276E">
              <w:rPr>
                <w:rFonts w:ascii="Calibri" w:eastAsia="Times New Roman" w:hAnsi="Calibri" w:cs="Times New Roman"/>
                <w:b/>
                <w:bCs/>
                <w:color w:val="000000"/>
                <w:sz w:val="20"/>
                <w:szCs w:val="20"/>
                <w:lang w:eastAsia="en-ZA"/>
              </w:rPr>
              <w:t xml:space="preserve"> 0.7 </w:t>
            </w:r>
          </w:p>
        </w:tc>
        <w:tc>
          <w:tcPr>
            <w:tcW w:w="689" w:type="pct"/>
            <w:noWrap/>
            <w:vAlign w:val="bottom"/>
            <w:hideMark/>
          </w:tcPr>
          <w:p w14:paraId="0B13D32F" w14:textId="77777777" w:rsidR="00B0276E" w:rsidRPr="00B0276E" w:rsidRDefault="00B0276E" w:rsidP="00D66738">
            <w:pPr>
              <w:spacing w:before="0"/>
              <w:jc w:val="both"/>
              <w:rPr>
                <w:rFonts w:ascii="Calibri" w:eastAsia="Times New Roman" w:hAnsi="Calibri" w:cs="Times New Roman"/>
                <w:b/>
                <w:bCs/>
                <w:color w:val="000000"/>
                <w:sz w:val="20"/>
                <w:szCs w:val="20"/>
                <w:lang w:eastAsia="en-ZA"/>
              </w:rPr>
            </w:pPr>
          </w:p>
        </w:tc>
        <w:tc>
          <w:tcPr>
            <w:tcW w:w="647" w:type="pct"/>
            <w:noWrap/>
            <w:vAlign w:val="bottom"/>
            <w:hideMark/>
          </w:tcPr>
          <w:p w14:paraId="12996135" w14:textId="77777777" w:rsidR="00B0276E" w:rsidRPr="00B0276E" w:rsidRDefault="00B0276E" w:rsidP="00D66738">
            <w:pPr>
              <w:spacing w:before="0"/>
              <w:jc w:val="both"/>
              <w:rPr>
                <w:rFonts w:ascii="Calibri" w:eastAsia="Times New Roman" w:hAnsi="Calibri" w:cs="Times New Roman"/>
                <w:b/>
                <w:bCs/>
                <w:color w:val="000000"/>
                <w:sz w:val="20"/>
                <w:szCs w:val="20"/>
                <w:lang w:eastAsia="en-ZA"/>
              </w:rPr>
            </w:pPr>
          </w:p>
        </w:tc>
      </w:tr>
      <w:tr w:rsidR="00B0276E" w:rsidRPr="00B0276E" w14:paraId="23534EF4" w14:textId="77777777" w:rsidTr="00B0276E">
        <w:tc>
          <w:tcPr>
            <w:tcW w:w="445" w:type="pct"/>
            <w:noWrap/>
            <w:vAlign w:val="bottom"/>
            <w:hideMark/>
          </w:tcPr>
          <w:p w14:paraId="397D63EC"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6</w:t>
            </w:r>
          </w:p>
        </w:tc>
        <w:tc>
          <w:tcPr>
            <w:tcW w:w="611" w:type="pct"/>
            <w:noWrap/>
            <w:vAlign w:val="bottom"/>
            <w:hideMark/>
          </w:tcPr>
          <w:p w14:paraId="1A6F3399" w14:textId="54C6DF4E"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13.0 </w:t>
            </w:r>
          </w:p>
        </w:tc>
        <w:tc>
          <w:tcPr>
            <w:tcW w:w="922" w:type="pct"/>
            <w:noWrap/>
            <w:vAlign w:val="bottom"/>
            <w:hideMark/>
          </w:tcPr>
          <w:p w14:paraId="371B2669" w14:textId="6DEAD4DB"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7.8 </w:t>
            </w:r>
          </w:p>
        </w:tc>
        <w:tc>
          <w:tcPr>
            <w:tcW w:w="765" w:type="pct"/>
            <w:noWrap/>
            <w:vAlign w:val="bottom"/>
            <w:hideMark/>
          </w:tcPr>
          <w:p w14:paraId="279D5BF8" w14:textId="395876C2"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3.3 </w:t>
            </w:r>
          </w:p>
        </w:tc>
        <w:tc>
          <w:tcPr>
            <w:tcW w:w="921" w:type="pct"/>
            <w:noWrap/>
            <w:vAlign w:val="bottom"/>
            <w:hideMark/>
          </w:tcPr>
          <w:p w14:paraId="5ADDFA0E" w14:textId="50227DB2"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1.3 </w:t>
            </w:r>
          </w:p>
        </w:tc>
        <w:tc>
          <w:tcPr>
            <w:tcW w:w="689" w:type="pct"/>
            <w:noWrap/>
            <w:vAlign w:val="bottom"/>
            <w:hideMark/>
          </w:tcPr>
          <w:p w14:paraId="10CED76F" w14:textId="0982ECFF" w:rsidR="00B0276E" w:rsidRPr="00B0276E" w:rsidRDefault="00B0276E" w:rsidP="00D66738">
            <w:pPr>
              <w:spacing w:before="0"/>
              <w:jc w:val="both"/>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w:t>
            </w:r>
            <w:r w:rsidRPr="00B0276E">
              <w:rPr>
                <w:rFonts w:ascii="Calibri" w:eastAsia="Times New Roman" w:hAnsi="Calibri" w:cs="Times New Roman"/>
                <w:color w:val="000000"/>
                <w:sz w:val="20"/>
                <w:szCs w:val="20"/>
                <w:lang w:eastAsia="en-ZA"/>
              </w:rPr>
              <w:t xml:space="preserve"> </w:t>
            </w:r>
          </w:p>
        </w:tc>
        <w:tc>
          <w:tcPr>
            <w:tcW w:w="647" w:type="pct"/>
            <w:noWrap/>
            <w:vAlign w:val="bottom"/>
            <w:hideMark/>
          </w:tcPr>
          <w:p w14:paraId="6A2B89D3" w14:textId="15781FD6"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1 </w:t>
            </w:r>
          </w:p>
        </w:tc>
      </w:tr>
      <w:tr w:rsidR="00B0276E" w:rsidRPr="00B0276E" w14:paraId="30A1E790" w14:textId="77777777" w:rsidTr="00B0276E">
        <w:tc>
          <w:tcPr>
            <w:tcW w:w="445" w:type="pct"/>
            <w:noWrap/>
            <w:vAlign w:val="bottom"/>
            <w:hideMark/>
          </w:tcPr>
          <w:p w14:paraId="4E089E50"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7</w:t>
            </w:r>
          </w:p>
        </w:tc>
        <w:tc>
          <w:tcPr>
            <w:tcW w:w="611" w:type="pct"/>
            <w:noWrap/>
            <w:vAlign w:val="bottom"/>
            <w:hideMark/>
          </w:tcPr>
          <w:p w14:paraId="3BAE3B54" w14:textId="58CD7513"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40.0 </w:t>
            </w:r>
          </w:p>
        </w:tc>
        <w:tc>
          <w:tcPr>
            <w:tcW w:w="922" w:type="pct"/>
            <w:noWrap/>
            <w:vAlign w:val="bottom"/>
            <w:hideMark/>
          </w:tcPr>
          <w:p w14:paraId="2626DE4F" w14:textId="2618CA32"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24.0 </w:t>
            </w:r>
          </w:p>
        </w:tc>
        <w:tc>
          <w:tcPr>
            <w:tcW w:w="765" w:type="pct"/>
            <w:noWrap/>
            <w:vAlign w:val="bottom"/>
            <w:hideMark/>
          </w:tcPr>
          <w:p w14:paraId="3C2B398B" w14:textId="7BA0C21A"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10.0 </w:t>
            </w:r>
          </w:p>
        </w:tc>
        <w:tc>
          <w:tcPr>
            <w:tcW w:w="921" w:type="pct"/>
            <w:noWrap/>
            <w:vAlign w:val="bottom"/>
            <w:hideMark/>
          </w:tcPr>
          <w:p w14:paraId="614B4FDA" w14:textId="45A5F3EF"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4.0 </w:t>
            </w:r>
          </w:p>
        </w:tc>
        <w:tc>
          <w:tcPr>
            <w:tcW w:w="689" w:type="pct"/>
            <w:noWrap/>
            <w:vAlign w:val="bottom"/>
            <w:hideMark/>
          </w:tcPr>
          <w:p w14:paraId="21434D8A" w14:textId="385C83E4"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1 </w:t>
            </w:r>
          </w:p>
        </w:tc>
        <w:tc>
          <w:tcPr>
            <w:tcW w:w="647" w:type="pct"/>
            <w:noWrap/>
            <w:vAlign w:val="bottom"/>
            <w:hideMark/>
          </w:tcPr>
          <w:p w14:paraId="2E027DD4" w14:textId="6E77B632"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2 </w:t>
            </w:r>
          </w:p>
        </w:tc>
      </w:tr>
      <w:tr w:rsidR="00B0276E" w:rsidRPr="00B0276E" w14:paraId="764E9A5D" w14:textId="77777777" w:rsidTr="00B0276E">
        <w:tc>
          <w:tcPr>
            <w:tcW w:w="445" w:type="pct"/>
            <w:noWrap/>
            <w:vAlign w:val="bottom"/>
            <w:hideMark/>
          </w:tcPr>
          <w:p w14:paraId="4E3D45F8"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8</w:t>
            </w:r>
          </w:p>
        </w:tc>
        <w:tc>
          <w:tcPr>
            <w:tcW w:w="611" w:type="pct"/>
            <w:noWrap/>
            <w:vAlign w:val="bottom"/>
            <w:hideMark/>
          </w:tcPr>
          <w:p w14:paraId="1FB21FF3" w14:textId="02A2632A"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130.0 </w:t>
            </w:r>
          </w:p>
        </w:tc>
        <w:tc>
          <w:tcPr>
            <w:tcW w:w="922" w:type="pct"/>
            <w:noWrap/>
            <w:vAlign w:val="bottom"/>
            <w:hideMark/>
          </w:tcPr>
          <w:p w14:paraId="0F80737D" w14:textId="582EF353"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90.0 </w:t>
            </w:r>
          </w:p>
        </w:tc>
        <w:tc>
          <w:tcPr>
            <w:tcW w:w="765" w:type="pct"/>
            <w:noWrap/>
            <w:vAlign w:val="bottom"/>
            <w:hideMark/>
          </w:tcPr>
          <w:p w14:paraId="4DDB3D74" w14:textId="02885024"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32.5 </w:t>
            </w:r>
          </w:p>
        </w:tc>
        <w:tc>
          <w:tcPr>
            <w:tcW w:w="921" w:type="pct"/>
            <w:noWrap/>
            <w:vAlign w:val="bottom"/>
            <w:hideMark/>
          </w:tcPr>
          <w:p w14:paraId="6ED16A12" w14:textId="3A10B673"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13.0 </w:t>
            </w:r>
          </w:p>
        </w:tc>
        <w:tc>
          <w:tcPr>
            <w:tcW w:w="689" w:type="pct"/>
            <w:noWrap/>
            <w:vAlign w:val="bottom"/>
            <w:hideMark/>
          </w:tcPr>
          <w:p w14:paraId="72DF3A0F" w14:textId="1AF142BF"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2 </w:t>
            </w:r>
          </w:p>
        </w:tc>
        <w:tc>
          <w:tcPr>
            <w:tcW w:w="647" w:type="pct"/>
            <w:noWrap/>
            <w:vAlign w:val="bottom"/>
            <w:hideMark/>
          </w:tcPr>
          <w:p w14:paraId="78C34583" w14:textId="37E2F9A9"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3 </w:t>
            </w:r>
          </w:p>
        </w:tc>
      </w:tr>
      <w:tr w:rsidR="00B0276E" w:rsidRPr="00B0276E" w14:paraId="39CF4914" w14:textId="77777777" w:rsidTr="00B0276E">
        <w:tc>
          <w:tcPr>
            <w:tcW w:w="445" w:type="pct"/>
            <w:noWrap/>
            <w:vAlign w:val="bottom"/>
            <w:hideMark/>
          </w:tcPr>
          <w:p w14:paraId="4084D1A7"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9</w:t>
            </w:r>
          </w:p>
        </w:tc>
        <w:tc>
          <w:tcPr>
            <w:tcW w:w="611" w:type="pct"/>
            <w:noWrap/>
            <w:vAlign w:val="bottom"/>
            <w:hideMark/>
          </w:tcPr>
          <w:p w14:paraId="426BD4DA" w14:textId="7777777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no limit </w:t>
            </w:r>
          </w:p>
        </w:tc>
        <w:tc>
          <w:tcPr>
            <w:tcW w:w="922" w:type="pct"/>
            <w:noWrap/>
            <w:vAlign w:val="bottom"/>
            <w:hideMark/>
          </w:tcPr>
          <w:p w14:paraId="3DD1793A" w14:textId="44D52319"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270.0 </w:t>
            </w:r>
          </w:p>
        </w:tc>
        <w:tc>
          <w:tcPr>
            <w:tcW w:w="765" w:type="pct"/>
            <w:noWrap/>
            <w:vAlign w:val="bottom"/>
            <w:hideMark/>
          </w:tcPr>
          <w:p w14:paraId="28246B3B" w14:textId="3B1F7C24"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100.0 </w:t>
            </w:r>
          </w:p>
        </w:tc>
        <w:tc>
          <w:tcPr>
            <w:tcW w:w="921" w:type="pct"/>
            <w:noWrap/>
            <w:vAlign w:val="bottom"/>
            <w:hideMark/>
          </w:tcPr>
          <w:p w14:paraId="18328303" w14:textId="57EC9D07"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 40.0 </w:t>
            </w:r>
          </w:p>
        </w:tc>
        <w:tc>
          <w:tcPr>
            <w:tcW w:w="689" w:type="pct"/>
            <w:noWrap/>
            <w:vAlign w:val="bottom"/>
            <w:hideMark/>
          </w:tcPr>
          <w:p w14:paraId="64D8D5FE" w14:textId="61B6DA22"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3 </w:t>
            </w:r>
          </w:p>
        </w:tc>
        <w:tc>
          <w:tcPr>
            <w:tcW w:w="647" w:type="pct"/>
            <w:noWrap/>
            <w:vAlign w:val="bottom"/>
            <w:hideMark/>
          </w:tcPr>
          <w:p w14:paraId="6D964B2F" w14:textId="02CF7784" w:rsidR="00B0276E" w:rsidRPr="00B0276E" w:rsidRDefault="00B0276E" w:rsidP="00D66738">
            <w:pPr>
              <w:spacing w:before="0"/>
              <w:jc w:val="both"/>
              <w:rPr>
                <w:rFonts w:ascii="Calibri" w:eastAsia="Times New Roman" w:hAnsi="Calibri" w:cs="Times New Roman"/>
                <w:color w:val="000000"/>
                <w:sz w:val="20"/>
                <w:szCs w:val="20"/>
                <w:lang w:eastAsia="en-ZA"/>
              </w:rPr>
            </w:pPr>
            <w:r w:rsidRPr="00B0276E">
              <w:rPr>
                <w:rFonts w:ascii="Calibri" w:eastAsia="Times New Roman" w:hAnsi="Calibri" w:cs="Times New Roman"/>
                <w:color w:val="000000"/>
                <w:sz w:val="20"/>
                <w:szCs w:val="20"/>
                <w:lang w:eastAsia="en-ZA"/>
              </w:rPr>
              <w:t xml:space="preserve">4 </w:t>
            </w:r>
          </w:p>
        </w:tc>
      </w:tr>
    </w:tbl>
    <w:p w14:paraId="7904EFF1" w14:textId="30C577B7" w:rsidR="00B0276E" w:rsidRDefault="00B0276E" w:rsidP="00D66738">
      <w:pPr>
        <w:pStyle w:val="source"/>
        <w:jc w:val="both"/>
      </w:pPr>
      <w:r>
        <w:rPr>
          <w:i/>
        </w:rPr>
        <w:t xml:space="preserve">Note: </w:t>
      </w:r>
      <w:r>
        <w:t xml:space="preserve">(a) Applicants can use any one of the three columns. </w:t>
      </w:r>
      <w:r>
        <w:rPr>
          <w:i/>
        </w:rPr>
        <w:t xml:space="preserve">Source: </w:t>
      </w:r>
      <w:r>
        <w:t xml:space="preserve">CIDB. Tables for grading designation calculator. </w:t>
      </w:r>
      <w:r w:rsidR="0049756B">
        <w:t xml:space="preserve">Downloaded from </w:t>
      </w:r>
      <w:r w:rsidRPr="0065619D">
        <w:t>www.cidb.org.za</w:t>
      </w:r>
      <w:r>
        <w:t xml:space="preserve"> in April 2017. </w:t>
      </w:r>
    </w:p>
    <w:p w14:paraId="3F8697FA" w14:textId="2F213C96" w:rsidR="00AD1F35" w:rsidRPr="00F209B7" w:rsidRDefault="00AD1F35" w:rsidP="00D66738">
      <w:pPr>
        <w:jc w:val="both"/>
      </w:pPr>
      <w:r>
        <w:t xml:space="preserve">To make it easier for black-owned businesses to move up the grades, the CIDB Act defined the Potentially Emerging status. Under this programme, an enterprise that is owned, managed and controlled by historically disadvantaged persons may be contracted at a grade above their grade on the register.  A public-sector agency may grant the larger contract to a potentially emerging enterprise, however, only if it has in place a structured support system to ensure that the contractor will succeed. </w:t>
      </w:r>
    </w:p>
    <w:p w14:paraId="2F9797C8" w14:textId="77777777" w:rsidR="006454CA" w:rsidRPr="00F209B7" w:rsidRDefault="006454CA" w:rsidP="00D66738">
      <w:pPr>
        <w:pStyle w:val="Heading2"/>
        <w:numPr>
          <w:ilvl w:val="1"/>
          <w:numId w:val="140"/>
        </w:numPr>
        <w:ind w:left="0" w:firstLine="0"/>
        <w:jc w:val="both"/>
      </w:pPr>
      <w:bookmarkStart w:id="883" w:name="_Toc479843946"/>
      <w:bookmarkStart w:id="884" w:name="_Toc479844570"/>
      <w:bookmarkStart w:id="885" w:name="_Toc479940900"/>
      <w:r w:rsidRPr="00F209B7">
        <w:t>The impact on smaller enterprises</w:t>
      </w:r>
      <w:bookmarkEnd w:id="880"/>
      <w:bookmarkEnd w:id="883"/>
      <w:bookmarkEnd w:id="884"/>
      <w:bookmarkEnd w:id="885"/>
    </w:p>
    <w:p w14:paraId="65A694FE" w14:textId="77777777" w:rsidR="006454CA" w:rsidRPr="00F209B7" w:rsidRDefault="006454CA" w:rsidP="00D66738">
      <w:pPr>
        <w:jc w:val="both"/>
      </w:pPr>
      <w:r w:rsidRPr="00F209B7">
        <w:t>The impact of the CID</w:t>
      </w:r>
      <w:r w:rsidR="00433005" w:rsidRPr="00F209B7">
        <w:t>B Act on smaller enterprise varies</w:t>
      </w:r>
      <w:r w:rsidRPr="00F209B7">
        <w:t xml:space="preserve"> substantially depending on the grading and therefore size of the enterprise. </w:t>
      </w:r>
    </w:p>
    <w:p w14:paraId="42AEBD19" w14:textId="69D6AF3A" w:rsidR="006454CA" w:rsidRPr="00F209B7" w:rsidRDefault="0049756B" w:rsidP="00D66738">
      <w:pPr>
        <w:pStyle w:val="Heading3"/>
        <w:numPr>
          <w:ilvl w:val="2"/>
          <w:numId w:val="141"/>
        </w:numPr>
        <w:ind w:left="0" w:firstLine="0"/>
        <w:jc w:val="both"/>
      </w:pPr>
      <w:bookmarkStart w:id="886" w:name="_Toc479843947"/>
      <w:bookmarkStart w:id="887" w:name="_Toc479844571"/>
      <w:bookmarkStart w:id="888" w:name="_Toc479940901"/>
      <w:r>
        <w:t>Administrative costs</w:t>
      </w:r>
      <w:bookmarkEnd w:id="886"/>
      <w:bookmarkEnd w:id="887"/>
      <w:bookmarkEnd w:id="888"/>
    </w:p>
    <w:p w14:paraId="44994658" w14:textId="39A4C97B" w:rsidR="006454CA" w:rsidRPr="00F209B7" w:rsidRDefault="0049756B" w:rsidP="00D66738">
      <w:pPr>
        <w:jc w:val="both"/>
      </w:pPr>
      <w:r>
        <w:t xml:space="preserve">The system imposes significant </w:t>
      </w:r>
      <w:r w:rsidR="008A44A6">
        <w:t>administrative</w:t>
      </w:r>
      <w:r>
        <w:t xml:space="preserve"> costs on s</w:t>
      </w:r>
      <w:r w:rsidR="006454CA" w:rsidRPr="00F209B7">
        <w:t xml:space="preserve">mall contractors </w:t>
      </w:r>
      <w:r>
        <w:t xml:space="preserve">who </w:t>
      </w:r>
      <w:r w:rsidR="006454CA" w:rsidRPr="00F209B7">
        <w:t>to do work in the public sector</w:t>
      </w:r>
      <w:r>
        <w:t xml:space="preserve">. Even to enter into Grade 1, they </w:t>
      </w:r>
      <w:r w:rsidR="006454CA" w:rsidRPr="00F209B7">
        <w:t>have to:</w:t>
      </w:r>
    </w:p>
    <w:p w14:paraId="472C64C7" w14:textId="376E4E9E" w:rsidR="006454CA" w:rsidRPr="00F209B7" w:rsidRDefault="0049756B" w:rsidP="00D66738">
      <w:pPr>
        <w:pStyle w:val="ListParagraph"/>
        <w:numPr>
          <w:ilvl w:val="0"/>
          <w:numId w:val="90"/>
        </w:numPr>
        <w:jc w:val="both"/>
      </w:pPr>
      <w:r w:rsidRPr="00F209B7">
        <w:t xml:space="preserve">apply </w:t>
      </w:r>
      <w:r>
        <w:t xml:space="preserve">to the </w:t>
      </w:r>
      <w:r w:rsidR="00AD1F35">
        <w:t>Register o</w:t>
      </w:r>
      <w:r w:rsidRPr="00F209B7">
        <w:t xml:space="preserve">f Contractors with </w:t>
      </w:r>
      <w:r>
        <w:t>CIDB</w:t>
      </w:r>
    </w:p>
    <w:p w14:paraId="0D22F2B9" w14:textId="2571AE5E" w:rsidR="006454CA" w:rsidRPr="00F209B7" w:rsidRDefault="0049756B" w:rsidP="00D66738">
      <w:pPr>
        <w:pStyle w:val="ListParagraph"/>
        <w:numPr>
          <w:ilvl w:val="0"/>
          <w:numId w:val="90"/>
        </w:numPr>
        <w:jc w:val="both"/>
      </w:pPr>
      <w:r w:rsidRPr="00F209B7">
        <w:t xml:space="preserve">register under the Companies Act with </w:t>
      </w:r>
      <w:r>
        <w:t>CIPC</w:t>
      </w:r>
    </w:p>
    <w:p w14:paraId="10C6612D" w14:textId="25A37D9C" w:rsidR="006454CA" w:rsidRPr="00F209B7" w:rsidRDefault="0049756B" w:rsidP="00D66738">
      <w:pPr>
        <w:pStyle w:val="ListParagraph"/>
        <w:numPr>
          <w:ilvl w:val="0"/>
          <w:numId w:val="90"/>
        </w:numPr>
        <w:jc w:val="both"/>
      </w:pPr>
      <w:r w:rsidRPr="00F209B7">
        <w:lastRenderedPageBreak/>
        <w:t xml:space="preserve">acquire </w:t>
      </w:r>
      <w:r>
        <w:t xml:space="preserve">a </w:t>
      </w:r>
      <w:r w:rsidRPr="00F209B7">
        <w:t>tax clearance certificate</w:t>
      </w:r>
    </w:p>
    <w:p w14:paraId="258AB724" w14:textId="153B0E9D" w:rsidR="006454CA" w:rsidRDefault="0049756B" w:rsidP="00D66738">
      <w:pPr>
        <w:pStyle w:val="ListParagraph"/>
        <w:numPr>
          <w:ilvl w:val="0"/>
          <w:numId w:val="90"/>
        </w:numPr>
        <w:jc w:val="both"/>
      </w:pPr>
      <w:r w:rsidRPr="00F209B7">
        <w:t>produce financial statements</w:t>
      </w:r>
      <w:r>
        <w:t>.</w:t>
      </w:r>
    </w:p>
    <w:p w14:paraId="2ED0B348" w14:textId="77777777" w:rsidR="00AD1F35" w:rsidRDefault="0049756B" w:rsidP="00D66738">
      <w:pPr>
        <w:jc w:val="both"/>
      </w:pPr>
      <w:r>
        <w:t>Contractors then have to apply separately for e</w:t>
      </w:r>
      <w:r w:rsidRPr="0049756B">
        <w:rPr>
          <w:szCs w:val="24"/>
        </w:rPr>
        <w:t xml:space="preserve">ach class of works (that is, type of construction such as electrical or general building) as well as each upgrade. </w:t>
      </w:r>
      <w:r w:rsidR="00AD1F35">
        <w:t xml:space="preserve">To apply for larger contracts requires proof of competency. </w:t>
      </w:r>
    </w:p>
    <w:p w14:paraId="7B2B3C1D" w14:textId="23C7A4C2" w:rsidR="0049756B" w:rsidRPr="0049756B" w:rsidRDefault="0049756B" w:rsidP="00D66738">
      <w:pPr>
        <w:jc w:val="both"/>
        <w:rPr>
          <w:szCs w:val="24"/>
        </w:rPr>
      </w:pPr>
      <w:r w:rsidRPr="0049756B">
        <w:rPr>
          <w:szCs w:val="24"/>
        </w:rPr>
        <w:t xml:space="preserve">They have to renew their </w:t>
      </w:r>
      <w:r w:rsidR="008A44A6" w:rsidRPr="0049756B">
        <w:rPr>
          <w:szCs w:val="24"/>
        </w:rPr>
        <w:t>applications</w:t>
      </w:r>
      <w:r w:rsidRPr="0049756B">
        <w:rPr>
          <w:szCs w:val="24"/>
        </w:rPr>
        <w:t xml:space="preserve"> every three years. </w:t>
      </w:r>
    </w:p>
    <w:p w14:paraId="340497C1" w14:textId="194BE477" w:rsidR="0049756B" w:rsidRDefault="0049756B" w:rsidP="00D66738">
      <w:pPr>
        <w:jc w:val="both"/>
      </w:pPr>
      <w:r>
        <w:t>Applications have to be hand delivered or sent by post, which in itself requires time.</w:t>
      </w:r>
      <w:r w:rsidR="00AD1F35">
        <w:t xml:space="preserve"> The CIDB planned from 2015 to develop an on-line system. </w:t>
      </w:r>
    </w:p>
    <w:p w14:paraId="3929C16D" w14:textId="557B7C00" w:rsidR="006454CA" w:rsidRDefault="006454CA" w:rsidP="00D66738">
      <w:pPr>
        <w:pStyle w:val="Heading3"/>
        <w:numPr>
          <w:ilvl w:val="2"/>
          <w:numId w:val="141"/>
        </w:numPr>
        <w:ind w:left="0" w:firstLine="0"/>
        <w:jc w:val="both"/>
      </w:pPr>
      <w:bookmarkStart w:id="889" w:name="_Toc469410890"/>
      <w:bookmarkStart w:id="890" w:name="_Toc469585784"/>
      <w:bookmarkStart w:id="891" w:name="_Toc479843948"/>
      <w:bookmarkStart w:id="892" w:name="_Toc479844572"/>
      <w:bookmarkStart w:id="893" w:name="_Toc479940902"/>
      <w:r w:rsidRPr="00F209B7">
        <w:t xml:space="preserve">Costs and benefits that are integral to the desired </w:t>
      </w:r>
      <w:r w:rsidR="008A44A6" w:rsidRPr="00F209B7">
        <w:t>out</w:t>
      </w:r>
      <w:r w:rsidR="008A44A6">
        <w:t>come</w:t>
      </w:r>
      <w:bookmarkEnd w:id="889"/>
      <w:bookmarkEnd w:id="890"/>
      <w:bookmarkEnd w:id="891"/>
      <w:bookmarkEnd w:id="892"/>
      <w:bookmarkEnd w:id="893"/>
    </w:p>
    <w:p w14:paraId="11EE38A9" w14:textId="77777777" w:rsidR="006454CA" w:rsidRPr="00F209B7" w:rsidRDefault="006454CA" w:rsidP="00D66738">
      <w:pPr>
        <w:jc w:val="both"/>
      </w:pPr>
      <w:r w:rsidRPr="00F209B7">
        <w:t>The benefits are:</w:t>
      </w:r>
    </w:p>
    <w:p w14:paraId="7B005880" w14:textId="77777777" w:rsidR="006454CA" w:rsidRPr="0049756B" w:rsidRDefault="006454CA" w:rsidP="00D66738">
      <w:pPr>
        <w:pStyle w:val="ListParagraph"/>
        <w:numPr>
          <w:ilvl w:val="0"/>
          <w:numId w:val="92"/>
        </w:numPr>
        <w:jc w:val="both"/>
        <w:rPr>
          <w:szCs w:val="24"/>
        </w:rPr>
      </w:pPr>
      <w:r w:rsidRPr="0049756B">
        <w:rPr>
          <w:szCs w:val="24"/>
        </w:rPr>
        <w:t>Small contractors become eligible for state contracts.</w:t>
      </w:r>
    </w:p>
    <w:p w14:paraId="57500DAD" w14:textId="0F885883" w:rsidR="006454CA" w:rsidRPr="0049756B" w:rsidRDefault="006454CA" w:rsidP="00D66738">
      <w:pPr>
        <w:pStyle w:val="ListParagraph"/>
        <w:numPr>
          <w:ilvl w:val="0"/>
          <w:numId w:val="92"/>
        </w:numPr>
        <w:jc w:val="both"/>
        <w:rPr>
          <w:szCs w:val="24"/>
        </w:rPr>
      </w:pPr>
      <w:r w:rsidRPr="0049756B">
        <w:rPr>
          <w:szCs w:val="24"/>
        </w:rPr>
        <w:t xml:space="preserve">Small contractors </w:t>
      </w:r>
      <w:r w:rsidR="00AD1F35">
        <w:rPr>
          <w:szCs w:val="24"/>
        </w:rPr>
        <w:t xml:space="preserve">may </w:t>
      </w:r>
      <w:r w:rsidR="0049756B">
        <w:rPr>
          <w:szCs w:val="24"/>
        </w:rPr>
        <w:t>b</w:t>
      </w:r>
      <w:r w:rsidRPr="0049756B">
        <w:rPr>
          <w:szCs w:val="24"/>
        </w:rPr>
        <w:t>enefit from Potentially Emergi</w:t>
      </w:r>
      <w:r w:rsidR="00AD1F35">
        <w:rPr>
          <w:szCs w:val="24"/>
        </w:rPr>
        <w:t xml:space="preserve">ng </w:t>
      </w:r>
      <w:r w:rsidRPr="0049756B">
        <w:rPr>
          <w:szCs w:val="24"/>
        </w:rPr>
        <w:t>status</w:t>
      </w:r>
      <w:r w:rsidR="00AD1F35">
        <w:rPr>
          <w:szCs w:val="24"/>
        </w:rPr>
        <w:t>.</w:t>
      </w:r>
    </w:p>
    <w:p w14:paraId="14C68C98" w14:textId="77777777" w:rsidR="006454CA" w:rsidRPr="00F209B7" w:rsidRDefault="006454CA" w:rsidP="00D66738">
      <w:pPr>
        <w:jc w:val="both"/>
        <w:rPr>
          <w:szCs w:val="24"/>
        </w:rPr>
      </w:pPr>
      <w:r w:rsidRPr="00F209B7">
        <w:t>The costs are:</w:t>
      </w:r>
    </w:p>
    <w:p w14:paraId="200C6349" w14:textId="7F5E4D21" w:rsidR="006454CA" w:rsidRPr="00AD1F35" w:rsidRDefault="006454CA" w:rsidP="00D66738">
      <w:pPr>
        <w:pStyle w:val="ListParagraph"/>
        <w:numPr>
          <w:ilvl w:val="0"/>
          <w:numId w:val="93"/>
        </w:numPr>
        <w:jc w:val="both"/>
        <w:rPr>
          <w:szCs w:val="24"/>
        </w:rPr>
      </w:pPr>
      <w:r w:rsidRPr="00AD1F35">
        <w:rPr>
          <w:szCs w:val="24"/>
        </w:rPr>
        <w:t xml:space="preserve">Small contractors are required to maintain competencies to keep </w:t>
      </w:r>
      <w:r w:rsidR="00AD1F35">
        <w:rPr>
          <w:szCs w:val="24"/>
        </w:rPr>
        <w:t xml:space="preserve">their </w:t>
      </w:r>
      <w:r w:rsidRPr="00AD1F35">
        <w:rPr>
          <w:szCs w:val="24"/>
        </w:rPr>
        <w:t>rating</w:t>
      </w:r>
      <w:r w:rsidR="00AD1F35">
        <w:rPr>
          <w:szCs w:val="24"/>
        </w:rPr>
        <w:t>, including both financial and professional capabilities if on Grade 2 or above.</w:t>
      </w:r>
    </w:p>
    <w:p w14:paraId="1649A69D" w14:textId="47FF00F0" w:rsidR="006454CA" w:rsidRPr="00AD1F35" w:rsidRDefault="006454CA" w:rsidP="00D66738">
      <w:pPr>
        <w:pStyle w:val="ListParagraph"/>
        <w:numPr>
          <w:ilvl w:val="0"/>
          <w:numId w:val="93"/>
        </w:numPr>
        <w:jc w:val="both"/>
        <w:rPr>
          <w:szCs w:val="24"/>
        </w:rPr>
      </w:pPr>
      <w:r w:rsidRPr="00AD1F35">
        <w:rPr>
          <w:szCs w:val="24"/>
        </w:rPr>
        <w:t xml:space="preserve">Small contractors are unable to apply for larger contracts than those for which </w:t>
      </w:r>
      <w:r w:rsidR="00AD1F35">
        <w:rPr>
          <w:szCs w:val="24"/>
        </w:rPr>
        <w:t xml:space="preserve">they have </w:t>
      </w:r>
      <w:r w:rsidRPr="00AD1F35">
        <w:rPr>
          <w:szCs w:val="24"/>
        </w:rPr>
        <w:t>qualified</w:t>
      </w:r>
      <w:r w:rsidR="00041705">
        <w:rPr>
          <w:szCs w:val="24"/>
        </w:rPr>
        <w:t xml:space="preserve">. </w:t>
      </w:r>
    </w:p>
    <w:p w14:paraId="22898644" w14:textId="77777777" w:rsidR="006454CA" w:rsidRPr="00F209B7" w:rsidRDefault="00D63AA1" w:rsidP="00D66738">
      <w:pPr>
        <w:pStyle w:val="Heading2"/>
        <w:numPr>
          <w:ilvl w:val="1"/>
          <w:numId w:val="140"/>
        </w:numPr>
        <w:ind w:left="0" w:firstLine="0"/>
        <w:jc w:val="both"/>
      </w:pPr>
      <w:bookmarkStart w:id="894" w:name="_Toc479843949"/>
      <w:bookmarkStart w:id="895" w:name="_Toc479844573"/>
      <w:bookmarkStart w:id="896" w:name="_Toc479940903"/>
      <w:r w:rsidRPr="00F209B7">
        <w:t xml:space="preserve">Assessment of costs </w:t>
      </w:r>
      <w:r w:rsidR="00A14824" w:rsidRPr="00F209B7">
        <w:t>and benefits for</w:t>
      </w:r>
      <w:r w:rsidRPr="00F209B7">
        <w:t xml:space="preserve"> small business</w:t>
      </w:r>
      <w:bookmarkEnd w:id="894"/>
      <w:bookmarkEnd w:id="895"/>
      <w:bookmarkEnd w:id="896"/>
    </w:p>
    <w:p w14:paraId="58FECDEC" w14:textId="7C5201CA" w:rsidR="00041705" w:rsidRPr="00F209B7" w:rsidRDefault="00041705" w:rsidP="00D66738">
      <w:pPr>
        <w:jc w:val="both"/>
      </w:pPr>
      <w:r w:rsidRPr="00F209B7">
        <w:t>Informants were mostly concerned that there seemed to be little payback</w:t>
      </w:r>
      <w:r w:rsidR="00C835FB">
        <w:t xml:space="preserve"> for the effort to registering</w:t>
      </w:r>
      <w:r w:rsidRPr="00F209B7">
        <w:t xml:space="preserve">. </w:t>
      </w:r>
      <w:r w:rsidR="00C835FB">
        <w:t xml:space="preserve"> Specifically, government tenders were still hard to get, which meant that </w:t>
      </w:r>
      <w:r w:rsidRPr="00F209B7">
        <w:t>the administrative costs loomed large.</w:t>
      </w:r>
    </w:p>
    <w:p w14:paraId="422EBF1C" w14:textId="35492B23" w:rsidR="00041705" w:rsidRPr="00F209B7" w:rsidRDefault="00041705" w:rsidP="00D66738">
      <w:pPr>
        <w:jc w:val="both"/>
      </w:pPr>
      <w:r w:rsidRPr="00F209B7">
        <w:t>The main benefit to small business is supposed to be that they get greater access to tenders as they move up the CIDB ladder. In the event, as</w:t>
      </w:r>
      <w:r>
        <w:t xml:space="preserve"> discussed in section </w:t>
      </w:r>
      <w:r>
        <w:fldChar w:fldCharType="begin"/>
      </w:r>
      <w:r>
        <w:instrText xml:space="preserve"> REF _Ref479787261 \r \h </w:instrText>
      </w:r>
      <w:r w:rsidR="00D66738">
        <w:instrText xml:space="preserve"> \* MERGEFORMAT </w:instrText>
      </w:r>
      <w:r>
        <w:fldChar w:fldCharType="separate"/>
      </w:r>
      <w:r w:rsidR="005062E7">
        <w:t>6.3.3</w:t>
      </w:r>
      <w:r>
        <w:fldChar w:fldCharType="end"/>
      </w:r>
      <w:r>
        <w:t xml:space="preserve"> above, </w:t>
      </w:r>
      <w:r w:rsidRPr="00F209B7">
        <w:t xml:space="preserve">the number of small tenders available is too limited to provide work for the vast majority of contractors registered with the CIDB at the lower levels. </w:t>
      </w:r>
      <w:r>
        <w:t>The CIDB itself estimates that the 650 enterprises on levels 8 and 9</w:t>
      </w:r>
      <w:r w:rsidR="003409C1">
        <w:t xml:space="preserve"> account for 80% of the value of all tenders</w:t>
      </w:r>
      <w:r>
        <w:t xml:space="preserve">, out of a total of 150 000 registered (mostly on level 1) in 2016. </w:t>
      </w:r>
    </w:p>
    <w:p w14:paraId="670372D4" w14:textId="36620904" w:rsidR="00D63AA1" w:rsidRDefault="00D63AA1" w:rsidP="00D66738">
      <w:pPr>
        <w:jc w:val="both"/>
      </w:pPr>
      <w:r w:rsidRPr="00F209B7">
        <w:t xml:space="preserve">Furthermore, there has been only limited growth in the number of contractors on levels 2 to 9 in the CIDB ranking. As the following graph shows, the number </w:t>
      </w:r>
      <w:r w:rsidR="00C835FB">
        <w:t>of enterprises on grades 2 to 4</w:t>
      </w:r>
      <w:r w:rsidRPr="00F209B7">
        <w:t xml:space="preserve"> </w:t>
      </w:r>
      <w:r w:rsidR="00C835FB">
        <w:t xml:space="preserve">has </w:t>
      </w:r>
      <w:r w:rsidRPr="00F209B7">
        <w:t>grown only relatively slowly since</w:t>
      </w:r>
      <w:r w:rsidR="00C835FB">
        <w:t xml:space="preserve"> 2008</w:t>
      </w:r>
      <w:r w:rsidRPr="00F209B7">
        <w:t xml:space="preserve">. </w:t>
      </w:r>
      <w:r w:rsidR="003409C1">
        <w:t xml:space="preserve"> </w:t>
      </w:r>
      <w:r w:rsidR="00C835FB">
        <w:t xml:space="preserve">In this period, the number of </w:t>
      </w:r>
      <w:proofErr w:type="gramStart"/>
      <w:r w:rsidR="00C835FB">
        <w:t>level</w:t>
      </w:r>
      <w:proofErr w:type="gramEnd"/>
      <w:r w:rsidR="00C835FB">
        <w:t xml:space="preserve"> one soared from 40 000 to 130 000, or more than three fold. </w:t>
      </w:r>
    </w:p>
    <w:p w14:paraId="115ED47D" w14:textId="794D3ACE" w:rsidR="00C835FB" w:rsidRPr="00F209B7" w:rsidRDefault="00C835FB" w:rsidP="00D66738">
      <w:pPr>
        <w:pStyle w:val="Caption"/>
        <w:jc w:val="both"/>
      </w:pPr>
      <w:bookmarkStart w:id="897" w:name="_Toc479845233"/>
      <w:bookmarkStart w:id="898" w:name="_Toc479940957"/>
      <w:r>
        <w:lastRenderedPageBreak/>
        <w:t xml:space="preserve">Figure </w:t>
      </w:r>
      <w:fldSimple w:instr=" SEQ Figure \* ARABIC ">
        <w:r w:rsidR="005062E7">
          <w:rPr>
            <w:noProof/>
          </w:rPr>
          <w:t>15</w:t>
        </w:r>
      </w:fldSimple>
      <w:r>
        <w:t>. Number of contractors on CIDB grades 2 to 9, 2008 and 2016</w:t>
      </w:r>
      <w:bookmarkEnd w:id="897"/>
      <w:bookmarkEnd w:id="898"/>
    </w:p>
    <w:p w14:paraId="15FCD4DA" w14:textId="3FF4B2CC" w:rsidR="00C835FB" w:rsidRDefault="00C835FB" w:rsidP="00D66738">
      <w:pPr>
        <w:pStyle w:val="charts"/>
        <w:jc w:val="both"/>
      </w:pPr>
      <w:r w:rsidRPr="00C835FB">
        <w:rPr>
          <w:noProof/>
          <w:lang w:eastAsia="en-ZA"/>
        </w:rPr>
        <w:drawing>
          <wp:inline distT="0" distB="0" distL="0" distR="0" wp14:anchorId="427759D1" wp14:editId="710D5F51">
            <wp:extent cx="5731510" cy="2688538"/>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688538"/>
                    </a:xfrm>
                    <a:prstGeom prst="rect">
                      <a:avLst/>
                    </a:prstGeom>
                    <a:noFill/>
                    <a:ln>
                      <a:noFill/>
                    </a:ln>
                  </pic:spPr>
                </pic:pic>
              </a:graphicData>
            </a:graphic>
          </wp:inline>
        </w:drawing>
      </w:r>
    </w:p>
    <w:p w14:paraId="5C162CBB" w14:textId="28FAEDA9" w:rsidR="00C835FB" w:rsidRPr="00C835FB" w:rsidRDefault="00C835FB" w:rsidP="00D66738">
      <w:pPr>
        <w:pStyle w:val="source"/>
        <w:jc w:val="both"/>
      </w:pPr>
      <w:r>
        <w:rPr>
          <w:i/>
        </w:rPr>
        <w:t xml:space="preserve">Source: </w:t>
      </w:r>
      <w:r>
        <w:t xml:space="preserve">CIDB Annual Reports for relevant years. </w:t>
      </w:r>
    </w:p>
    <w:p w14:paraId="257D8207" w14:textId="77777777" w:rsidR="00C835FB" w:rsidRDefault="00C835FB" w:rsidP="00D66738">
      <w:pPr>
        <w:jc w:val="both"/>
      </w:pPr>
      <w:r>
        <w:t xml:space="preserve">A CIDB study found that in the year to the second quarter of 2015 alone, 5% of contractors on grade 1 moved up, as did 15% of contractors in grades 2 to 6. </w:t>
      </w:r>
    </w:p>
    <w:p w14:paraId="326F4C7F" w14:textId="5B9296F1" w:rsidR="003409C1" w:rsidRDefault="003409C1" w:rsidP="00D66738">
      <w:pPr>
        <w:jc w:val="both"/>
      </w:pPr>
      <w:r w:rsidRPr="00F209B7">
        <w:t xml:space="preserve">The requirements for proving competency every three years is a significant administrative burden for small business. </w:t>
      </w:r>
      <w:r>
        <w:t xml:space="preserve">Informants argued that proving capital adequacy was particularly difficult, as it required both access to relatively large </w:t>
      </w:r>
      <w:r w:rsidR="008A44A6">
        <w:t>contracts</w:t>
      </w:r>
      <w:r>
        <w:t xml:space="preserve"> in itself, and sound record keeping over the previous five years.  </w:t>
      </w:r>
    </w:p>
    <w:p w14:paraId="4DE3B25D" w14:textId="5308B023" w:rsidR="00C835FB" w:rsidRDefault="00D63AA1" w:rsidP="00D66738">
      <w:pPr>
        <w:jc w:val="both"/>
      </w:pPr>
      <w:r w:rsidRPr="00F209B7">
        <w:t>In this context, small contractors complain that proving available business capital</w:t>
      </w:r>
      <w:r w:rsidR="00A14824" w:rsidRPr="00F209B7">
        <w:t>, which is prerequisite for moving up the CIDB ladder,</w:t>
      </w:r>
      <w:r w:rsidRPr="00F209B7">
        <w:t xml:space="preserve"> represents a serious challenge. </w:t>
      </w:r>
      <w:r w:rsidR="00A14824" w:rsidRPr="00F209B7">
        <w:t>In effect, it generates a vicious cycle: contractors cannot accumulate capital because they do not get tenders, but then they cannot get tenders because they have not accumulated capital. The situation ultimately arises because, as noted in section</w:t>
      </w:r>
      <w:r w:rsidR="00511E59">
        <w:t xml:space="preserve"> </w:t>
      </w:r>
      <w:r w:rsidR="00511E59">
        <w:fldChar w:fldCharType="begin"/>
      </w:r>
      <w:r w:rsidR="00511E59">
        <w:instrText xml:space="preserve"> REF _Ref479939298 \r \h </w:instrText>
      </w:r>
      <w:r w:rsidR="00D66738">
        <w:instrText xml:space="preserve"> \* MERGEFORMAT </w:instrText>
      </w:r>
      <w:r w:rsidR="00511E59">
        <w:fldChar w:fldCharType="separate"/>
      </w:r>
      <w:r w:rsidR="005062E7">
        <w:t>6</w:t>
      </w:r>
      <w:r w:rsidR="00511E59">
        <w:fldChar w:fldCharType="end"/>
      </w:r>
      <w:r w:rsidR="00A14824" w:rsidRPr="00F209B7">
        <w:t>, government agencies cannot provide up-front financing.</w:t>
      </w:r>
      <w:r w:rsidR="00C835FB">
        <w:t xml:space="preserve"> </w:t>
      </w:r>
    </w:p>
    <w:p w14:paraId="17A0E99C" w14:textId="238F6C69" w:rsidR="00D63AA1" w:rsidRPr="00F209B7" w:rsidRDefault="00C835FB" w:rsidP="00D66738">
      <w:pPr>
        <w:jc w:val="both"/>
      </w:pPr>
      <w:r>
        <w:t>The Potentially Emerging status was supposed to assist black-owned enterprises to overcome this hurdle</w:t>
      </w:r>
      <w:r w:rsidR="00511E59">
        <w:t>. Informants said, however, that</w:t>
      </w:r>
      <w:r>
        <w:t xml:space="preserve"> it </w:t>
      </w:r>
      <w:r w:rsidR="00253B28">
        <w:t>is rarely utilised. A</w:t>
      </w:r>
      <w:r>
        <w:t xml:space="preserve">pparently </w:t>
      </w:r>
      <w:r w:rsidR="00253B28">
        <w:t xml:space="preserve">this is </w:t>
      </w:r>
      <w:r>
        <w:t xml:space="preserve">because state agencies, and especially municipalities, are not prepared to provide the required support – and take the associated risks.  </w:t>
      </w:r>
    </w:p>
    <w:p w14:paraId="132EBB66" w14:textId="4B37E2AD" w:rsidR="00D63AA1" w:rsidRPr="00F209B7" w:rsidRDefault="00F209B7" w:rsidP="00D66738">
      <w:pPr>
        <w:jc w:val="both"/>
      </w:pPr>
      <w:r w:rsidRPr="00F209B7">
        <w:t>Furthermore</w:t>
      </w:r>
      <w:r w:rsidR="00A14824" w:rsidRPr="00F209B7">
        <w:t>, t</w:t>
      </w:r>
      <w:r w:rsidR="00D63AA1" w:rsidRPr="00F209B7">
        <w:t xml:space="preserve">he CIDB is not designed to help </w:t>
      </w:r>
      <w:r w:rsidR="00511E59">
        <w:t xml:space="preserve">most micro enterprise, </w:t>
      </w:r>
      <w:r w:rsidR="00D63AA1" w:rsidRPr="00F209B7">
        <w:t xml:space="preserve">but only </w:t>
      </w:r>
      <w:r w:rsidR="00511E59">
        <w:t xml:space="preserve">businesses </w:t>
      </w:r>
      <w:r w:rsidR="00D63AA1" w:rsidRPr="00F209B7">
        <w:t>that can manage t</w:t>
      </w:r>
      <w:r w:rsidR="00A14824" w:rsidRPr="00F209B7">
        <w:t>enders worth at least R650 000.</w:t>
      </w:r>
      <w:r w:rsidR="00C835FB">
        <w:t xml:space="preserve"> </w:t>
      </w:r>
    </w:p>
    <w:p w14:paraId="278C8AA6" w14:textId="09BDA988" w:rsidR="00365C63" w:rsidRDefault="003A7341" w:rsidP="00D66738">
      <w:pPr>
        <w:pStyle w:val="Heading2"/>
        <w:numPr>
          <w:ilvl w:val="1"/>
          <w:numId w:val="140"/>
        </w:numPr>
        <w:ind w:left="0" w:firstLine="0"/>
        <w:jc w:val="both"/>
      </w:pPr>
      <w:bookmarkStart w:id="899" w:name="_Toc479843950"/>
      <w:bookmarkStart w:id="900" w:name="_Toc479844574"/>
      <w:bookmarkStart w:id="901" w:name="_Toc479940904"/>
      <w:r>
        <w:t>Options</w:t>
      </w:r>
      <w:bookmarkEnd w:id="899"/>
      <w:bookmarkEnd w:id="900"/>
      <w:bookmarkEnd w:id="901"/>
    </w:p>
    <w:p w14:paraId="4B578A21" w14:textId="77777777" w:rsidR="00F257DC" w:rsidRPr="00F257DC" w:rsidRDefault="00F257DC" w:rsidP="00D66738">
      <w:pPr>
        <w:pStyle w:val="ListParagraph"/>
        <w:keepNext/>
        <w:keepLines/>
        <w:numPr>
          <w:ilvl w:val="1"/>
          <w:numId w:val="141"/>
        </w:numPr>
        <w:spacing w:before="200"/>
        <w:jc w:val="both"/>
        <w:outlineLvl w:val="2"/>
        <w:rPr>
          <w:rFonts w:ascii="Calibri" w:eastAsiaTheme="majorEastAsia" w:hAnsi="Calibri" w:cstheme="majorBidi"/>
          <w:b/>
          <w:bCs/>
          <w:vanish/>
          <w:color w:val="1F497D" w:themeColor="text2"/>
        </w:rPr>
      </w:pPr>
      <w:bookmarkStart w:id="902" w:name="_Toc479853658"/>
      <w:bookmarkStart w:id="903" w:name="_Toc479853813"/>
      <w:bookmarkStart w:id="904" w:name="_Toc479862532"/>
      <w:bookmarkStart w:id="905" w:name="_Toc479864177"/>
      <w:bookmarkStart w:id="906" w:name="_Toc479939957"/>
      <w:bookmarkStart w:id="907" w:name="_Toc479940282"/>
      <w:bookmarkStart w:id="908" w:name="_Toc479940905"/>
      <w:bookmarkEnd w:id="902"/>
      <w:bookmarkEnd w:id="903"/>
      <w:bookmarkEnd w:id="904"/>
      <w:bookmarkEnd w:id="905"/>
      <w:bookmarkEnd w:id="906"/>
      <w:bookmarkEnd w:id="907"/>
      <w:bookmarkEnd w:id="908"/>
    </w:p>
    <w:p w14:paraId="556258AB" w14:textId="77777777" w:rsidR="00F257DC" w:rsidRPr="00F257DC" w:rsidRDefault="00F257DC" w:rsidP="00D66738">
      <w:pPr>
        <w:pStyle w:val="ListParagraph"/>
        <w:keepNext/>
        <w:keepLines/>
        <w:numPr>
          <w:ilvl w:val="1"/>
          <w:numId w:val="141"/>
        </w:numPr>
        <w:spacing w:before="200"/>
        <w:jc w:val="both"/>
        <w:outlineLvl w:val="2"/>
        <w:rPr>
          <w:rFonts w:ascii="Calibri" w:eastAsiaTheme="majorEastAsia" w:hAnsi="Calibri" w:cstheme="majorBidi"/>
          <w:b/>
          <w:bCs/>
          <w:vanish/>
          <w:color w:val="1F497D" w:themeColor="text2"/>
        </w:rPr>
      </w:pPr>
      <w:bookmarkStart w:id="909" w:name="_Toc479853659"/>
      <w:bookmarkStart w:id="910" w:name="_Toc479853814"/>
      <w:bookmarkStart w:id="911" w:name="_Toc479862533"/>
      <w:bookmarkStart w:id="912" w:name="_Toc479864178"/>
      <w:bookmarkStart w:id="913" w:name="_Toc479939958"/>
      <w:bookmarkStart w:id="914" w:name="_Toc479940283"/>
      <w:bookmarkStart w:id="915" w:name="_Toc479940906"/>
      <w:bookmarkEnd w:id="909"/>
      <w:bookmarkEnd w:id="910"/>
      <w:bookmarkEnd w:id="911"/>
      <w:bookmarkEnd w:id="912"/>
      <w:bookmarkEnd w:id="913"/>
      <w:bookmarkEnd w:id="914"/>
      <w:bookmarkEnd w:id="915"/>
    </w:p>
    <w:p w14:paraId="57D4D143" w14:textId="52ADB36E" w:rsidR="006A41B7" w:rsidRDefault="00F257DC" w:rsidP="00D66738">
      <w:pPr>
        <w:pStyle w:val="Heading3"/>
        <w:numPr>
          <w:ilvl w:val="2"/>
          <w:numId w:val="141"/>
        </w:numPr>
        <w:ind w:left="504"/>
        <w:jc w:val="both"/>
      </w:pPr>
      <w:bookmarkStart w:id="916" w:name="_Toc479940907"/>
      <w:r>
        <w:t>Assessment of options</w:t>
      </w:r>
      <w:bookmarkEnd w:id="916"/>
    </w:p>
    <w:p w14:paraId="07156584" w14:textId="0AE78E32" w:rsidR="00A4240C" w:rsidRDefault="00A4240C" w:rsidP="00D66738">
      <w:pPr>
        <w:jc w:val="both"/>
      </w:pPr>
      <w:r>
        <w:t xml:space="preserve">The options analysed here focus primarily on the limited number of tenders available for small contractors.  The CIDB plans to address the main administrative inefficiency – the lack of a web-based application system for upgrades –in the coming year. But if the benefits of registration are not enhanced, then a more </w:t>
      </w:r>
      <w:r w:rsidR="008A44A6">
        <w:t>efficient</w:t>
      </w:r>
      <w:r>
        <w:t xml:space="preserve"> registration system will not be much help. The challenges around proving available capital and subcontracting could be addressed by the options proposed for managing up-front payments and regulating subcontracting contained in sections </w:t>
      </w:r>
      <w:r>
        <w:fldChar w:fldCharType="begin"/>
      </w:r>
      <w:r>
        <w:instrText xml:space="preserve"> REF _Ref479792267 \r \h </w:instrText>
      </w:r>
      <w:r w:rsidR="00D66738">
        <w:instrText xml:space="preserve"> \* MERGEFORMAT </w:instrText>
      </w:r>
      <w:r>
        <w:fldChar w:fldCharType="separate"/>
      </w:r>
      <w:r w:rsidR="005062E7">
        <w:t>6.4.2</w:t>
      </w:r>
      <w:r>
        <w:fldChar w:fldCharType="end"/>
      </w:r>
      <w:r>
        <w:t xml:space="preserve"> and </w:t>
      </w:r>
      <w:r>
        <w:fldChar w:fldCharType="begin"/>
      </w:r>
      <w:r>
        <w:instrText xml:space="preserve"> REF _Ref479792298 \r \h </w:instrText>
      </w:r>
      <w:r w:rsidR="00D66738">
        <w:instrText xml:space="preserve"> \* MERGEFORMAT </w:instrText>
      </w:r>
      <w:r>
        <w:fldChar w:fldCharType="separate"/>
      </w:r>
      <w:r w:rsidR="005062E7">
        <w:t>6.4.3</w:t>
      </w:r>
      <w:r>
        <w:fldChar w:fldCharType="end"/>
      </w:r>
      <w:r>
        <w:t xml:space="preserve"> above. </w:t>
      </w:r>
    </w:p>
    <w:p w14:paraId="7B05CCB2" w14:textId="77777777" w:rsidR="00A4240C" w:rsidRDefault="00A4240C" w:rsidP="00D66738">
      <w:pPr>
        <w:jc w:val="both"/>
      </w:pPr>
      <w:r>
        <w:lastRenderedPageBreak/>
        <w:t>The options identified for increasing access to tenders for small construction firms are:</w:t>
      </w:r>
    </w:p>
    <w:p w14:paraId="74221D7B" w14:textId="235202D2" w:rsidR="00A4240C" w:rsidRDefault="00A4240C" w:rsidP="00D66738">
      <w:pPr>
        <w:pStyle w:val="ListParagraph"/>
        <w:numPr>
          <w:ilvl w:val="0"/>
          <w:numId w:val="94"/>
        </w:numPr>
        <w:jc w:val="both"/>
      </w:pPr>
      <w:r>
        <w:t xml:space="preserve">Option 1: Establishing subcontracting requirements for </w:t>
      </w:r>
      <w:r w:rsidR="007F0777">
        <w:t>construction tenders over R3</w:t>
      </w:r>
      <w:r>
        <w:t>0 million, as proposed by the National Treasury, with  increased protection for subcontractors.</w:t>
      </w:r>
    </w:p>
    <w:p w14:paraId="6F6CB946" w14:textId="39AADCD2" w:rsidR="00A4240C" w:rsidRDefault="00A4240C" w:rsidP="00D66738">
      <w:pPr>
        <w:pStyle w:val="ListParagraph"/>
        <w:numPr>
          <w:ilvl w:val="0"/>
          <w:numId w:val="94"/>
        </w:numPr>
        <w:jc w:val="both"/>
      </w:pPr>
      <w:r>
        <w:t xml:space="preserve">Option 2: Requiring that 10% of the value of all construction contracts go to contracts of R6,5 million or less. </w:t>
      </w:r>
    </w:p>
    <w:p w14:paraId="6AE63030" w14:textId="7D4B39FC" w:rsidR="00A4240C" w:rsidRPr="00A4240C" w:rsidRDefault="00A4240C" w:rsidP="00D66738">
      <w:pPr>
        <w:pStyle w:val="ListParagraph"/>
        <w:numPr>
          <w:ilvl w:val="0"/>
          <w:numId w:val="94"/>
        </w:numPr>
        <w:jc w:val="both"/>
      </w:pPr>
      <w:r>
        <w:t xml:space="preserve">Option 3: Make government contracts worth over R30 million contingent on support for emerging suppliers as required in the BBBEE Act.  </w:t>
      </w:r>
    </w:p>
    <w:p w14:paraId="52D494B2" w14:textId="7683EB3C" w:rsidR="00365C63" w:rsidRDefault="00A4240C" w:rsidP="00D66738">
      <w:pPr>
        <w:pStyle w:val="Caption"/>
        <w:jc w:val="both"/>
      </w:pPr>
      <w:bookmarkStart w:id="917" w:name="_Toc479940987"/>
      <w:r>
        <w:t xml:space="preserve">Table </w:t>
      </w:r>
      <w:fldSimple w:instr=" SEQ Table \* ARABIC ">
        <w:r w:rsidR="005062E7">
          <w:rPr>
            <w:noProof/>
          </w:rPr>
          <w:t>30</w:t>
        </w:r>
      </w:fldSimple>
      <w:r>
        <w:t xml:space="preserve">. </w:t>
      </w:r>
      <w:r w:rsidR="00365C63" w:rsidRPr="00F209B7">
        <w:t xml:space="preserve">Options for </w:t>
      </w:r>
      <w:r>
        <w:t>improving small contractors access to tenders</w:t>
      </w:r>
      <w:bookmarkEnd w:id="917"/>
    </w:p>
    <w:tbl>
      <w:tblPr>
        <w:tblStyle w:val="TableGrid"/>
        <w:tblW w:w="0" w:type="auto"/>
        <w:tblLayout w:type="fixed"/>
        <w:tblLook w:val="04A0" w:firstRow="1" w:lastRow="0" w:firstColumn="1" w:lastColumn="0" w:noHBand="0" w:noVBand="1"/>
      </w:tblPr>
      <w:tblGrid>
        <w:gridCol w:w="1242"/>
        <w:gridCol w:w="1843"/>
        <w:gridCol w:w="1559"/>
        <w:gridCol w:w="2552"/>
        <w:gridCol w:w="2046"/>
      </w:tblGrid>
      <w:tr w:rsidR="007F0777" w:rsidRPr="007F0777" w14:paraId="4307B3AD" w14:textId="05186DA9" w:rsidTr="007F0777">
        <w:trPr>
          <w:cantSplit/>
          <w:tblHeader/>
        </w:trPr>
        <w:tc>
          <w:tcPr>
            <w:tcW w:w="1242" w:type="dxa"/>
            <w:vAlign w:val="bottom"/>
          </w:tcPr>
          <w:p w14:paraId="4B9E9C95" w14:textId="2E67E31D" w:rsidR="007F0777" w:rsidRPr="007F0777" w:rsidRDefault="007F0777" w:rsidP="00D66738">
            <w:pPr>
              <w:pStyle w:val="charts"/>
              <w:jc w:val="both"/>
              <w:rPr>
                <w:b/>
                <w:sz w:val="20"/>
              </w:rPr>
            </w:pPr>
          </w:p>
        </w:tc>
        <w:tc>
          <w:tcPr>
            <w:tcW w:w="1843" w:type="dxa"/>
            <w:vAlign w:val="bottom"/>
          </w:tcPr>
          <w:p w14:paraId="1EE9CA89" w14:textId="24CC63EE" w:rsidR="007F0777" w:rsidRPr="007F0777" w:rsidRDefault="007F0777" w:rsidP="00D66738">
            <w:pPr>
              <w:pStyle w:val="charts"/>
              <w:jc w:val="both"/>
              <w:rPr>
                <w:b/>
                <w:sz w:val="20"/>
              </w:rPr>
            </w:pPr>
            <w:r w:rsidRPr="007F0777">
              <w:rPr>
                <w:b/>
                <w:sz w:val="20"/>
              </w:rPr>
              <w:t>Small contractors</w:t>
            </w:r>
          </w:p>
        </w:tc>
        <w:tc>
          <w:tcPr>
            <w:tcW w:w="1559" w:type="dxa"/>
            <w:vAlign w:val="bottom"/>
          </w:tcPr>
          <w:p w14:paraId="0A0BAB69" w14:textId="50225550" w:rsidR="007F0777" w:rsidRPr="007F0777" w:rsidRDefault="007F0777" w:rsidP="00D66738">
            <w:pPr>
              <w:pStyle w:val="charts"/>
              <w:jc w:val="both"/>
              <w:rPr>
                <w:b/>
                <w:sz w:val="20"/>
              </w:rPr>
            </w:pPr>
            <w:r w:rsidRPr="007F0777">
              <w:rPr>
                <w:b/>
                <w:sz w:val="20"/>
              </w:rPr>
              <w:t>Large contractors</w:t>
            </w:r>
          </w:p>
        </w:tc>
        <w:tc>
          <w:tcPr>
            <w:tcW w:w="2552" w:type="dxa"/>
            <w:vAlign w:val="bottom"/>
          </w:tcPr>
          <w:p w14:paraId="7CBB931D" w14:textId="502FAC36" w:rsidR="007F0777" w:rsidRPr="007F0777" w:rsidRDefault="007F0777" w:rsidP="00D66738">
            <w:pPr>
              <w:pStyle w:val="charts"/>
              <w:jc w:val="both"/>
              <w:rPr>
                <w:b/>
                <w:sz w:val="20"/>
              </w:rPr>
            </w:pPr>
            <w:r w:rsidRPr="007F0777">
              <w:rPr>
                <w:b/>
                <w:sz w:val="20"/>
              </w:rPr>
              <w:t>State agencies</w:t>
            </w:r>
          </w:p>
        </w:tc>
        <w:tc>
          <w:tcPr>
            <w:tcW w:w="2046" w:type="dxa"/>
            <w:vAlign w:val="bottom"/>
          </w:tcPr>
          <w:p w14:paraId="15339742" w14:textId="73F76D8A" w:rsidR="007F0777" w:rsidRPr="007F0777" w:rsidRDefault="007F0777" w:rsidP="00D66738">
            <w:pPr>
              <w:pStyle w:val="charts"/>
              <w:jc w:val="both"/>
              <w:rPr>
                <w:b/>
                <w:sz w:val="20"/>
              </w:rPr>
            </w:pPr>
            <w:r w:rsidRPr="007F0777">
              <w:rPr>
                <w:b/>
                <w:sz w:val="20"/>
              </w:rPr>
              <w:t>Other stakeholders</w:t>
            </w:r>
          </w:p>
        </w:tc>
      </w:tr>
      <w:tr w:rsidR="007F0777" w:rsidRPr="007F0777" w14:paraId="637D2F0A" w14:textId="773E6E8E" w:rsidTr="007F0777">
        <w:trPr>
          <w:cantSplit/>
        </w:trPr>
        <w:tc>
          <w:tcPr>
            <w:tcW w:w="1242" w:type="dxa"/>
          </w:tcPr>
          <w:p w14:paraId="1984BC28" w14:textId="5616DDC4" w:rsidR="007F0777" w:rsidRPr="007F0777" w:rsidRDefault="007F0777" w:rsidP="00D66738">
            <w:pPr>
              <w:pStyle w:val="charts"/>
              <w:keepNext w:val="0"/>
              <w:spacing w:after="120"/>
              <w:jc w:val="both"/>
              <w:rPr>
                <w:sz w:val="20"/>
              </w:rPr>
            </w:pPr>
            <w:r>
              <w:rPr>
                <w:sz w:val="20"/>
              </w:rPr>
              <w:t xml:space="preserve">Option 1: </w:t>
            </w:r>
            <w:r w:rsidRPr="007F0777">
              <w:rPr>
                <w:sz w:val="20"/>
              </w:rPr>
              <w:t>Sub</w:t>
            </w:r>
            <w:r>
              <w:rPr>
                <w:sz w:val="20"/>
              </w:rPr>
              <w:t>-</w:t>
            </w:r>
            <w:r w:rsidR="00876660">
              <w:rPr>
                <w:sz w:val="20"/>
              </w:rPr>
              <w:t>contracting requir</w:t>
            </w:r>
            <w:r w:rsidR="00876660" w:rsidRPr="007F0777">
              <w:rPr>
                <w:sz w:val="20"/>
              </w:rPr>
              <w:t>ements</w:t>
            </w:r>
            <w:r>
              <w:rPr>
                <w:sz w:val="20"/>
              </w:rPr>
              <w:t xml:space="preserve"> for tenders</w:t>
            </w:r>
          </w:p>
        </w:tc>
        <w:tc>
          <w:tcPr>
            <w:tcW w:w="1843" w:type="dxa"/>
          </w:tcPr>
          <w:p w14:paraId="1C42E5EB" w14:textId="77777777" w:rsidR="007F0777" w:rsidRDefault="007F0777" w:rsidP="00D66738">
            <w:pPr>
              <w:pStyle w:val="charts"/>
              <w:keepNext w:val="0"/>
              <w:spacing w:after="120"/>
              <w:jc w:val="both"/>
              <w:rPr>
                <w:sz w:val="20"/>
              </w:rPr>
            </w:pPr>
            <w:r>
              <w:rPr>
                <w:sz w:val="20"/>
              </w:rPr>
              <w:t>C: None</w:t>
            </w:r>
          </w:p>
          <w:p w14:paraId="71DA7750" w14:textId="77777777" w:rsidR="007F0777" w:rsidRDefault="007F0777" w:rsidP="00D66738">
            <w:pPr>
              <w:pStyle w:val="charts"/>
              <w:keepNext w:val="0"/>
              <w:spacing w:after="120"/>
              <w:jc w:val="both"/>
              <w:rPr>
                <w:sz w:val="20"/>
              </w:rPr>
            </w:pPr>
            <w:r>
              <w:rPr>
                <w:sz w:val="20"/>
              </w:rPr>
              <w:t>B: Greater access to contracts, albeit indirectly</w:t>
            </w:r>
          </w:p>
          <w:p w14:paraId="143308E0" w14:textId="1B97CE71" w:rsidR="007F0777" w:rsidRPr="007F0777" w:rsidRDefault="007F0777" w:rsidP="00D66738">
            <w:pPr>
              <w:pStyle w:val="charts"/>
              <w:keepNext w:val="0"/>
              <w:spacing w:after="120"/>
              <w:jc w:val="both"/>
              <w:rPr>
                <w:sz w:val="20"/>
              </w:rPr>
            </w:pPr>
            <w:r>
              <w:rPr>
                <w:sz w:val="20"/>
              </w:rPr>
              <w:t>R: Exploitation by contractors; still relatively limited opportunities</w:t>
            </w:r>
          </w:p>
        </w:tc>
        <w:tc>
          <w:tcPr>
            <w:tcW w:w="1559" w:type="dxa"/>
          </w:tcPr>
          <w:p w14:paraId="29D78617" w14:textId="77777777" w:rsidR="007F0777" w:rsidRDefault="007F0777" w:rsidP="00D66738">
            <w:pPr>
              <w:pStyle w:val="charts"/>
              <w:keepNext w:val="0"/>
              <w:spacing w:after="120"/>
              <w:jc w:val="both"/>
              <w:rPr>
                <w:sz w:val="20"/>
              </w:rPr>
            </w:pPr>
            <w:r>
              <w:rPr>
                <w:sz w:val="20"/>
              </w:rPr>
              <w:t>C: Required to subcontract part of project</w:t>
            </w:r>
          </w:p>
          <w:p w14:paraId="7DC5C2EF" w14:textId="77777777" w:rsidR="007F0777" w:rsidRDefault="007F0777" w:rsidP="00D66738">
            <w:pPr>
              <w:pStyle w:val="charts"/>
              <w:keepNext w:val="0"/>
              <w:spacing w:after="120"/>
              <w:jc w:val="both"/>
              <w:rPr>
                <w:sz w:val="20"/>
              </w:rPr>
            </w:pPr>
            <w:r>
              <w:rPr>
                <w:sz w:val="20"/>
              </w:rPr>
              <w:t>B: None</w:t>
            </w:r>
          </w:p>
          <w:p w14:paraId="04E831A6" w14:textId="05DCF2BD" w:rsidR="007F0777" w:rsidRPr="007F0777" w:rsidRDefault="007F0777" w:rsidP="00D66738">
            <w:pPr>
              <w:pStyle w:val="charts"/>
              <w:keepNext w:val="0"/>
              <w:spacing w:after="120"/>
              <w:jc w:val="both"/>
              <w:rPr>
                <w:sz w:val="20"/>
              </w:rPr>
            </w:pPr>
            <w:r>
              <w:rPr>
                <w:sz w:val="20"/>
              </w:rPr>
              <w:t>R: Have to coordinate subcontracting in line with project requirements</w:t>
            </w:r>
          </w:p>
        </w:tc>
        <w:tc>
          <w:tcPr>
            <w:tcW w:w="2552" w:type="dxa"/>
          </w:tcPr>
          <w:p w14:paraId="5912C502" w14:textId="11746676" w:rsidR="007F0777" w:rsidRDefault="007F0777" w:rsidP="00D66738">
            <w:pPr>
              <w:pStyle w:val="charts"/>
              <w:keepNext w:val="0"/>
              <w:spacing w:after="120"/>
              <w:jc w:val="both"/>
              <w:rPr>
                <w:sz w:val="20"/>
              </w:rPr>
            </w:pPr>
            <w:r>
              <w:rPr>
                <w:sz w:val="20"/>
              </w:rPr>
              <w:t>C: May face higher bids to cover cost of subcontracting</w:t>
            </w:r>
          </w:p>
          <w:p w14:paraId="2B222BAC" w14:textId="77777777" w:rsidR="007F0777" w:rsidRDefault="007F0777" w:rsidP="00D66738">
            <w:pPr>
              <w:pStyle w:val="charts"/>
              <w:keepNext w:val="0"/>
              <w:spacing w:after="120"/>
              <w:jc w:val="both"/>
              <w:rPr>
                <w:sz w:val="20"/>
              </w:rPr>
            </w:pPr>
            <w:r>
              <w:rPr>
                <w:sz w:val="20"/>
              </w:rPr>
              <w:t>B: Bring in smaller contractors</w:t>
            </w:r>
          </w:p>
          <w:p w14:paraId="5AC57097" w14:textId="607424D3" w:rsidR="007F0777" w:rsidRPr="007F0777" w:rsidRDefault="007F0777" w:rsidP="00D66738">
            <w:pPr>
              <w:pStyle w:val="charts"/>
              <w:keepNext w:val="0"/>
              <w:spacing w:after="120"/>
              <w:jc w:val="both"/>
              <w:rPr>
                <w:sz w:val="20"/>
              </w:rPr>
            </w:pPr>
            <w:r>
              <w:rPr>
                <w:sz w:val="20"/>
              </w:rPr>
              <w:t>R: Reliance on sub-contracting leads to worse quality work and poor coordination on major projects</w:t>
            </w:r>
          </w:p>
        </w:tc>
        <w:tc>
          <w:tcPr>
            <w:tcW w:w="2046" w:type="dxa"/>
          </w:tcPr>
          <w:p w14:paraId="398B88D8" w14:textId="77777777" w:rsidR="007F0777" w:rsidRDefault="007F0777" w:rsidP="00D66738">
            <w:pPr>
              <w:pStyle w:val="charts"/>
              <w:keepNext w:val="0"/>
              <w:spacing w:after="120"/>
              <w:jc w:val="both"/>
              <w:rPr>
                <w:sz w:val="20"/>
              </w:rPr>
            </w:pPr>
            <w:r>
              <w:rPr>
                <w:sz w:val="20"/>
              </w:rPr>
              <w:t>C: None</w:t>
            </w:r>
          </w:p>
          <w:p w14:paraId="5BD9FC37" w14:textId="1E7E3413" w:rsidR="007F0777" w:rsidRDefault="007F0777" w:rsidP="00D66738">
            <w:pPr>
              <w:pStyle w:val="charts"/>
              <w:keepNext w:val="0"/>
              <w:spacing w:after="120"/>
              <w:jc w:val="both"/>
              <w:rPr>
                <w:sz w:val="20"/>
              </w:rPr>
            </w:pPr>
            <w:r>
              <w:rPr>
                <w:sz w:val="20"/>
              </w:rPr>
              <w:t xml:space="preserve">B: </w:t>
            </w:r>
            <w:r w:rsidR="00876660">
              <w:rPr>
                <w:sz w:val="20"/>
              </w:rPr>
              <w:t>Spill overs</w:t>
            </w:r>
            <w:r>
              <w:rPr>
                <w:sz w:val="20"/>
              </w:rPr>
              <w:t xml:space="preserve"> from growth in small business</w:t>
            </w:r>
          </w:p>
          <w:p w14:paraId="3124248A" w14:textId="014E97F1" w:rsidR="007F0777" w:rsidRPr="007F0777" w:rsidRDefault="007F0777" w:rsidP="00D66738">
            <w:pPr>
              <w:pStyle w:val="charts"/>
              <w:keepNext w:val="0"/>
              <w:spacing w:after="120"/>
              <w:jc w:val="both"/>
              <w:rPr>
                <w:sz w:val="20"/>
              </w:rPr>
            </w:pPr>
            <w:r>
              <w:rPr>
                <w:sz w:val="20"/>
              </w:rPr>
              <w:t>R: Reliance on subcontractors may lead to delays, higher costs and lower quality in state construction projects</w:t>
            </w:r>
          </w:p>
        </w:tc>
      </w:tr>
      <w:tr w:rsidR="007F0777" w:rsidRPr="007F0777" w14:paraId="01BE5C5F" w14:textId="529A8BA3" w:rsidTr="007F0777">
        <w:trPr>
          <w:cantSplit/>
        </w:trPr>
        <w:tc>
          <w:tcPr>
            <w:tcW w:w="1242" w:type="dxa"/>
          </w:tcPr>
          <w:p w14:paraId="548278D6" w14:textId="0AC2F927" w:rsidR="007F0777" w:rsidRPr="007F0777" w:rsidRDefault="007F0777" w:rsidP="00D66738">
            <w:pPr>
              <w:pStyle w:val="charts"/>
              <w:keepNext w:val="0"/>
              <w:spacing w:after="120"/>
              <w:jc w:val="both"/>
              <w:rPr>
                <w:sz w:val="20"/>
              </w:rPr>
            </w:pPr>
            <w:r>
              <w:rPr>
                <w:sz w:val="20"/>
              </w:rPr>
              <w:t>Option 2: Requiring smaller tenders</w:t>
            </w:r>
          </w:p>
        </w:tc>
        <w:tc>
          <w:tcPr>
            <w:tcW w:w="1843" w:type="dxa"/>
          </w:tcPr>
          <w:p w14:paraId="74DCFFD1" w14:textId="77777777" w:rsidR="007F0777" w:rsidRDefault="007F0777" w:rsidP="00D66738">
            <w:pPr>
              <w:pStyle w:val="charts"/>
              <w:keepNext w:val="0"/>
              <w:spacing w:after="120"/>
              <w:jc w:val="both"/>
              <w:rPr>
                <w:sz w:val="20"/>
              </w:rPr>
            </w:pPr>
            <w:r>
              <w:rPr>
                <w:sz w:val="20"/>
              </w:rPr>
              <w:t>C: None</w:t>
            </w:r>
          </w:p>
          <w:p w14:paraId="37E852B4" w14:textId="77777777" w:rsidR="007F0777" w:rsidRDefault="007F0777" w:rsidP="00D66738">
            <w:pPr>
              <w:pStyle w:val="charts"/>
              <w:keepNext w:val="0"/>
              <w:spacing w:after="120"/>
              <w:jc w:val="both"/>
              <w:rPr>
                <w:sz w:val="20"/>
              </w:rPr>
            </w:pPr>
            <w:r>
              <w:rPr>
                <w:sz w:val="20"/>
              </w:rPr>
              <w:t>B: Greater access to contracts</w:t>
            </w:r>
          </w:p>
          <w:p w14:paraId="2C627A4B" w14:textId="7881613C" w:rsidR="007F0777" w:rsidRPr="007F0777" w:rsidRDefault="007F0777" w:rsidP="00D66738">
            <w:pPr>
              <w:pStyle w:val="charts"/>
              <w:keepNext w:val="0"/>
              <w:spacing w:after="120"/>
              <w:jc w:val="both"/>
              <w:rPr>
                <w:sz w:val="20"/>
              </w:rPr>
            </w:pPr>
            <w:r>
              <w:rPr>
                <w:sz w:val="20"/>
              </w:rPr>
              <w:t>R: None</w:t>
            </w:r>
          </w:p>
        </w:tc>
        <w:tc>
          <w:tcPr>
            <w:tcW w:w="1559" w:type="dxa"/>
          </w:tcPr>
          <w:p w14:paraId="167C29FE" w14:textId="77777777" w:rsidR="007F0777" w:rsidRDefault="007F0777" w:rsidP="00D66738">
            <w:pPr>
              <w:pStyle w:val="charts"/>
              <w:keepNext w:val="0"/>
              <w:spacing w:after="120"/>
              <w:jc w:val="both"/>
              <w:rPr>
                <w:sz w:val="20"/>
              </w:rPr>
            </w:pPr>
            <w:r>
              <w:rPr>
                <w:sz w:val="20"/>
              </w:rPr>
              <w:t>C: Greater competition from small contractors for smaller contracts</w:t>
            </w:r>
          </w:p>
          <w:p w14:paraId="717DFAB1" w14:textId="77777777" w:rsidR="007F0777" w:rsidRDefault="007F0777" w:rsidP="00D66738">
            <w:pPr>
              <w:pStyle w:val="charts"/>
              <w:keepNext w:val="0"/>
              <w:spacing w:after="120"/>
              <w:jc w:val="both"/>
              <w:rPr>
                <w:sz w:val="20"/>
              </w:rPr>
            </w:pPr>
            <w:r>
              <w:rPr>
                <w:sz w:val="20"/>
              </w:rPr>
              <w:t>B: None</w:t>
            </w:r>
          </w:p>
          <w:p w14:paraId="58FA4CD6" w14:textId="76DE8102" w:rsidR="007F0777" w:rsidRPr="007F0777" w:rsidRDefault="007F0777" w:rsidP="00D66738">
            <w:pPr>
              <w:pStyle w:val="charts"/>
              <w:keepNext w:val="0"/>
              <w:spacing w:after="120"/>
              <w:jc w:val="both"/>
              <w:rPr>
                <w:sz w:val="20"/>
              </w:rPr>
            </w:pPr>
            <w:r>
              <w:rPr>
                <w:sz w:val="20"/>
              </w:rPr>
              <w:t>R: None</w:t>
            </w:r>
          </w:p>
        </w:tc>
        <w:tc>
          <w:tcPr>
            <w:tcW w:w="2552" w:type="dxa"/>
          </w:tcPr>
          <w:p w14:paraId="7CBBFF10" w14:textId="33D2E335" w:rsidR="007F0777" w:rsidRDefault="007F0777" w:rsidP="00D66738">
            <w:pPr>
              <w:pStyle w:val="charts"/>
              <w:keepNext w:val="0"/>
              <w:spacing w:after="120"/>
              <w:jc w:val="both"/>
              <w:rPr>
                <w:sz w:val="20"/>
              </w:rPr>
            </w:pPr>
            <w:r>
              <w:rPr>
                <w:sz w:val="20"/>
              </w:rPr>
              <w:t xml:space="preserve">C: Have to design contracts to hold </w:t>
            </w:r>
            <w:proofErr w:type="gramStart"/>
            <w:r>
              <w:rPr>
                <w:sz w:val="20"/>
              </w:rPr>
              <w:t>down size</w:t>
            </w:r>
            <w:proofErr w:type="gramEnd"/>
            <w:r>
              <w:rPr>
                <w:sz w:val="20"/>
              </w:rPr>
              <w:t xml:space="preserve"> on a larger share than now the case (judging by Gauteng); have to supervise more contractors</w:t>
            </w:r>
          </w:p>
          <w:p w14:paraId="314F16BD" w14:textId="77777777" w:rsidR="007F0777" w:rsidRDefault="007F0777" w:rsidP="00D66738">
            <w:pPr>
              <w:pStyle w:val="charts"/>
              <w:keepNext w:val="0"/>
              <w:spacing w:after="120"/>
              <w:jc w:val="both"/>
              <w:rPr>
                <w:sz w:val="20"/>
              </w:rPr>
            </w:pPr>
            <w:r>
              <w:rPr>
                <w:sz w:val="20"/>
              </w:rPr>
              <w:t>B: Bring in smaller contractors, which may be cheaper</w:t>
            </w:r>
          </w:p>
          <w:p w14:paraId="1562936C" w14:textId="3BE54182" w:rsidR="007F0777" w:rsidRPr="007F0777" w:rsidRDefault="007F0777" w:rsidP="00D66738">
            <w:pPr>
              <w:pStyle w:val="charts"/>
              <w:keepNext w:val="0"/>
              <w:spacing w:after="120"/>
              <w:jc w:val="both"/>
              <w:rPr>
                <w:sz w:val="20"/>
              </w:rPr>
            </w:pPr>
            <w:r>
              <w:rPr>
                <w:sz w:val="20"/>
              </w:rPr>
              <w:t>R: May break up projects inappropriately, leading to worse quality and higher costs; may ignore directive</w:t>
            </w:r>
          </w:p>
        </w:tc>
        <w:tc>
          <w:tcPr>
            <w:tcW w:w="2046" w:type="dxa"/>
          </w:tcPr>
          <w:p w14:paraId="0F505D64" w14:textId="0F6C825D" w:rsidR="007F0777" w:rsidRDefault="007F0777" w:rsidP="00D66738">
            <w:pPr>
              <w:pStyle w:val="charts"/>
              <w:keepNext w:val="0"/>
              <w:spacing w:after="120"/>
              <w:jc w:val="both"/>
              <w:rPr>
                <w:sz w:val="20"/>
              </w:rPr>
            </w:pPr>
            <w:r>
              <w:rPr>
                <w:sz w:val="20"/>
              </w:rPr>
              <w:t>C: Resources used to develop and monitor smaller contracts rather than other priorities</w:t>
            </w:r>
          </w:p>
          <w:p w14:paraId="50D1F370" w14:textId="7EB1E3C2" w:rsidR="007F0777" w:rsidRDefault="007F0777" w:rsidP="00D66738">
            <w:pPr>
              <w:pStyle w:val="charts"/>
              <w:keepNext w:val="0"/>
              <w:spacing w:after="120"/>
              <w:jc w:val="both"/>
              <w:rPr>
                <w:sz w:val="20"/>
              </w:rPr>
            </w:pPr>
            <w:r>
              <w:rPr>
                <w:sz w:val="20"/>
              </w:rPr>
              <w:t xml:space="preserve">B: </w:t>
            </w:r>
            <w:r w:rsidR="00876660">
              <w:rPr>
                <w:sz w:val="20"/>
              </w:rPr>
              <w:t>Spill over</w:t>
            </w:r>
            <w:r>
              <w:rPr>
                <w:sz w:val="20"/>
              </w:rPr>
              <w:t xml:space="preserve"> from growth in small business</w:t>
            </w:r>
          </w:p>
          <w:p w14:paraId="0DEBCD53" w14:textId="205D2D1E" w:rsidR="007F0777" w:rsidRPr="007F0777" w:rsidRDefault="007F0777" w:rsidP="00D66738">
            <w:pPr>
              <w:pStyle w:val="charts"/>
              <w:keepNext w:val="0"/>
              <w:spacing w:after="120"/>
              <w:jc w:val="both"/>
              <w:rPr>
                <w:sz w:val="20"/>
              </w:rPr>
            </w:pPr>
            <w:r>
              <w:rPr>
                <w:sz w:val="20"/>
              </w:rPr>
              <w:t>R: Possibility of worse quality and higher costs in state projects</w:t>
            </w:r>
          </w:p>
        </w:tc>
      </w:tr>
      <w:tr w:rsidR="007F0777" w:rsidRPr="007F0777" w14:paraId="4400609D" w14:textId="2A30AC37" w:rsidTr="007F0777">
        <w:trPr>
          <w:cantSplit/>
        </w:trPr>
        <w:tc>
          <w:tcPr>
            <w:tcW w:w="1242" w:type="dxa"/>
          </w:tcPr>
          <w:p w14:paraId="7EEA5C95" w14:textId="14CE7451" w:rsidR="007F0777" w:rsidRPr="007F0777" w:rsidRDefault="007F0777" w:rsidP="00D66738">
            <w:pPr>
              <w:pStyle w:val="charts"/>
              <w:keepNext w:val="0"/>
              <w:spacing w:after="120"/>
              <w:jc w:val="both"/>
              <w:rPr>
                <w:sz w:val="20"/>
              </w:rPr>
            </w:pPr>
            <w:r>
              <w:rPr>
                <w:sz w:val="20"/>
              </w:rPr>
              <w:lastRenderedPageBreak/>
              <w:t>Option 3: Use BBBEE requirement to leverage support for sub-contractors</w:t>
            </w:r>
          </w:p>
        </w:tc>
        <w:tc>
          <w:tcPr>
            <w:tcW w:w="1843" w:type="dxa"/>
          </w:tcPr>
          <w:p w14:paraId="4F51108E" w14:textId="1194D5C4" w:rsidR="007F0777" w:rsidRDefault="007F0777" w:rsidP="00D66738">
            <w:pPr>
              <w:pStyle w:val="charts"/>
              <w:keepNext w:val="0"/>
              <w:spacing w:after="120"/>
              <w:jc w:val="both"/>
              <w:rPr>
                <w:sz w:val="20"/>
              </w:rPr>
            </w:pPr>
            <w:r>
              <w:rPr>
                <w:sz w:val="20"/>
              </w:rPr>
              <w:t xml:space="preserve">C: </w:t>
            </w:r>
            <w:r w:rsidR="00040603">
              <w:rPr>
                <w:sz w:val="20"/>
              </w:rPr>
              <w:t>White-owned small business may face tougher competition</w:t>
            </w:r>
          </w:p>
          <w:p w14:paraId="187CA1A6" w14:textId="207EEFE9" w:rsidR="007F0777" w:rsidRDefault="007F0777" w:rsidP="00D66738">
            <w:pPr>
              <w:pStyle w:val="charts"/>
              <w:keepNext w:val="0"/>
              <w:spacing w:after="120"/>
              <w:jc w:val="both"/>
              <w:rPr>
                <w:sz w:val="20"/>
              </w:rPr>
            </w:pPr>
            <w:r>
              <w:rPr>
                <w:sz w:val="20"/>
              </w:rPr>
              <w:t>B: Greater access to contracts, albeit indirectly, for black-owned small business</w:t>
            </w:r>
          </w:p>
          <w:p w14:paraId="7FEEC98C" w14:textId="517FB429" w:rsidR="007F0777" w:rsidRPr="007F0777" w:rsidRDefault="007F0777" w:rsidP="00D66738">
            <w:pPr>
              <w:pStyle w:val="charts"/>
              <w:keepNext w:val="0"/>
              <w:spacing w:after="120"/>
              <w:jc w:val="both"/>
              <w:rPr>
                <w:sz w:val="20"/>
              </w:rPr>
            </w:pPr>
            <w:r>
              <w:rPr>
                <w:sz w:val="20"/>
              </w:rPr>
              <w:t>R: Exploitation by contractors; still relatively limited opportunities</w:t>
            </w:r>
            <w:r w:rsidR="00040603">
              <w:rPr>
                <w:sz w:val="20"/>
              </w:rPr>
              <w:t>; may benefit large black-owned enterprise, not small firms</w:t>
            </w:r>
          </w:p>
        </w:tc>
        <w:tc>
          <w:tcPr>
            <w:tcW w:w="1559" w:type="dxa"/>
          </w:tcPr>
          <w:p w14:paraId="7D531B13" w14:textId="77777777" w:rsidR="00040603" w:rsidRDefault="00040603" w:rsidP="00D66738">
            <w:pPr>
              <w:pStyle w:val="charts"/>
              <w:keepNext w:val="0"/>
              <w:spacing w:after="120"/>
              <w:jc w:val="both"/>
              <w:rPr>
                <w:sz w:val="20"/>
              </w:rPr>
            </w:pPr>
            <w:r>
              <w:rPr>
                <w:sz w:val="20"/>
              </w:rPr>
              <w:t>C: Required to support black-owned enterprise in a variety of ways</w:t>
            </w:r>
          </w:p>
          <w:p w14:paraId="286801CB" w14:textId="77777777" w:rsidR="00040603" w:rsidRDefault="00040603" w:rsidP="00D66738">
            <w:pPr>
              <w:pStyle w:val="charts"/>
              <w:keepNext w:val="0"/>
              <w:spacing w:after="120"/>
              <w:jc w:val="both"/>
              <w:rPr>
                <w:sz w:val="20"/>
              </w:rPr>
            </w:pPr>
            <w:r>
              <w:rPr>
                <w:sz w:val="20"/>
              </w:rPr>
              <w:t>B: More diverse suppliers should ultimately lead to greater dynamism</w:t>
            </w:r>
          </w:p>
          <w:p w14:paraId="06B6F593" w14:textId="2F1EF39D" w:rsidR="00040603" w:rsidRPr="007F0777" w:rsidRDefault="00040603" w:rsidP="00D66738">
            <w:pPr>
              <w:pStyle w:val="charts"/>
              <w:keepNext w:val="0"/>
              <w:spacing w:after="120"/>
              <w:jc w:val="both"/>
              <w:rPr>
                <w:sz w:val="20"/>
              </w:rPr>
            </w:pPr>
            <w:r>
              <w:rPr>
                <w:sz w:val="20"/>
              </w:rPr>
              <w:t>R: Failure of new suppliers</w:t>
            </w:r>
          </w:p>
        </w:tc>
        <w:tc>
          <w:tcPr>
            <w:tcW w:w="2552" w:type="dxa"/>
          </w:tcPr>
          <w:p w14:paraId="15BE5A40" w14:textId="77777777" w:rsidR="007F0777" w:rsidRDefault="00040603" w:rsidP="00D66738">
            <w:pPr>
              <w:pStyle w:val="charts"/>
              <w:keepNext w:val="0"/>
              <w:spacing w:after="120"/>
              <w:jc w:val="both"/>
              <w:rPr>
                <w:sz w:val="20"/>
              </w:rPr>
            </w:pPr>
            <w:r>
              <w:rPr>
                <w:sz w:val="20"/>
              </w:rPr>
              <w:t>C: Introduce BBBEE as consistent criterion in tendering and monitor enforcement</w:t>
            </w:r>
          </w:p>
          <w:p w14:paraId="58DA1415" w14:textId="77777777" w:rsidR="00040603" w:rsidRDefault="00040603" w:rsidP="00D66738">
            <w:pPr>
              <w:pStyle w:val="charts"/>
              <w:keepNext w:val="0"/>
              <w:spacing w:after="120"/>
              <w:jc w:val="both"/>
              <w:rPr>
                <w:sz w:val="20"/>
              </w:rPr>
            </w:pPr>
            <w:r>
              <w:rPr>
                <w:sz w:val="20"/>
              </w:rPr>
              <w:t>B: More diverse suppliers should ultimately lead to greater dynamism</w:t>
            </w:r>
          </w:p>
          <w:p w14:paraId="33F7C9AA" w14:textId="41414471" w:rsidR="00040603" w:rsidRPr="007F0777" w:rsidRDefault="00040603" w:rsidP="00D66738">
            <w:pPr>
              <w:pStyle w:val="charts"/>
              <w:keepNext w:val="0"/>
              <w:spacing w:after="120"/>
              <w:jc w:val="both"/>
              <w:rPr>
                <w:sz w:val="20"/>
              </w:rPr>
            </w:pPr>
            <w:r>
              <w:rPr>
                <w:sz w:val="20"/>
              </w:rPr>
              <w:t>R: Failure of new suppliers</w:t>
            </w:r>
          </w:p>
        </w:tc>
        <w:tc>
          <w:tcPr>
            <w:tcW w:w="2046" w:type="dxa"/>
          </w:tcPr>
          <w:p w14:paraId="7F0ABFE8" w14:textId="77777777" w:rsidR="007F0777" w:rsidRDefault="00040603" w:rsidP="00D66738">
            <w:pPr>
              <w:pStyle w:val="charts"/>
              <w:keepNext w:val="0"/>
              <w:spacing w:after="120"/>
              <w:jc w:val="both"/>
              <w:rPr>
                <w:sz w:val="20"/>
              </w:rPr>
            </w:pPr>
            <w:r>
              <w:rPr>
                <w:sz w:val="20"/>
              </w:rPr>
              <w:t xml:space="preserve">C: Cost of bringing in new suppliers diverts resources from other priorities; workers in white-owned business may see job losses </w:t>
            </w:r>
          </w:p>
          <w:p w14:paraId="2EF1D57A" w14:textId="77777777" w:rsidR="00040603" w:rsidRDefault="00040603" w:rsidP="00D66738">
            <w:pPr>
              <w:pStyle w:val="charts"/>
              <w:keepNext w:val="0"/>
              <w:spacing w:after="120"/>
              <w:jc w:val="both"/>
              <w:rPr>
                <w:sz w:val="20"/>
              </w:rPr>
            </w:pPr>
            <w:r>
              <w:rPr>
                <w:sz w:val="20"/>
              </w:rPr>
              <w:t>B: More diverse suppliers should lead to greater dynamism; job growth in black-owned business</w:t>
            </w:r>
          </w:p>
          <w:p w14:paraId="284B8343" w14:textId="0E97881C" w:rsidR="00040603" w:rsidRPr="007F0777" w:rsidRDefault="00040603" w:rsidP="00D66738">
            <w:pPr>
              <w:pStyle w:val="charts"/>
              <w:keepNext w:val="0"/>
              <w:spacing w:after="120"/>
              <w:jc w:val="both"/>
              <w:rPr>
                <w:sz w:val="20"/>
              </w:rPr>
            </w:pPr>
            <w:r>
              <w:rPr>
                <w:sz w:val="20"/>
              </w:rPr>
              <w:t>R: Failure of new suppliers</w:t>
            </w:r>
          </w:p>
        </w:tc>
      </w:tr>
    </w:tbl>
    <w:p w14:paraId="3DF3F1E6" w14:textId="3E58C42D" w:rsidR="00C8046A" w:rsidRDefault="00040603" w:rsidP="00D66738">
      <w:pPr>
        <w:jc w:val="both"/>
      </w:pPr>
      <w:r>
        <w:t xml:space="preserve">The preferred option would be to require subcontracting on larger tenders combined with regulations to ensure minimum standards for subcontractors. More research is required to evaluate what percentage of large construction tenders are already subcontracted. There should also be a mechanism to enable contractors to appeal against the requirement where an integrated process is technically imperative. </w:t>
      </w:r>
    </w:p>
    <w:p w14:paraId="2CE09249" w14:textId="06D12559" w:rsidR="00040603" w:rsidRDefault="00040603" w:rsidP="00D66738">
      <w:pPr>
        <w:jc w:val="both"/>
      </w:pPr>
      <w:r>
        <w:t>As noted above, the measures proposed to extend the number of small tenders should be supplemented by:</w:t>
      </w:r>
    </w:p>
    <w:p w14:paraId="41A234D2" w14:textId="41A4C053" w:rsidR="00040603" w:rsidRDefault="00040603" w:rsidP="00D66738">
      <w:pPr>
        <w:pStyle w:val="ListParagraph"/>
        <w:numPr>
          <w:ilvl w:val="0"/>
          <w:numId w:val="95"/>
        </w:numPr>
        <w:jc w:val="both"/>
      </w:pPr>
      <w:r>
        <w:t>Enabling departments to provide up-front payments to qualified contractors equal to a set fraction of the total tender, and</w:t>
      </w:r>
    </w:p>
    <w:p w14:paraId="75B25C48" w14:textId="2086522F" w:rsidR="00040603" w:rsidRDefault="00040603" w:rsidP="00D66738">
      <w:pPr>
        <w:pStyle w:val="ListParagraph"/>
        <w:numPr>
          <w:ilvl w:val="0"/>
          <w:numId w:val="95"/>
        </w:numPr>
        <w:jc w:val="both"/>
      </w:pPr>
      <w:r>
        <w:t>Establishing web-based systems for CIDB applications.</w:t>
      </w:r>
    </w:p>
    <w:p w14:paraId="5B75C6CD" w14:textId="77777777" w:rsidR="006A41B7" w:rsidRDefault="006A41B7" w:rsidP="00D66738">
      <w:pPr>
        <w:pStyle w:val="Heading3"/>
        <w:numPr>
          <w:ilvl w:val="2"/>
          <w:numId w:val="141"/>
        </w:numPr>
        <w:ind w:left="504"/>
        <w:jc w:val="both"/>
      </w:pPr>
      <w:bookmarkStart w:id="918" w:name="_Toc479940908"/>
      <w:r>
        <w:t>Stakeholder responses</w:t>
      </w:r>
      <w:bookmarkEnd w:id="918"/>
    </w:p>
    <w:p w14:paraId="542DF67B" w14:textId="66FF9421" w:rsidR="00777101" w:rsidRPr="00777101" w:rsidRDefault="00777101" w:rsidP="00D66738">
      <w:pPr>
        <w:jc w:val="both"/>
      </w:pPr>
      <w:r>
        <w:t xml:space="preserve">Contractors will likely push back against efforts to set required levels of subcontracting. This will be particularly true if there is no system to enable appeals where the nature of  project would make subcontracting particularly costly or hard to manage. In addition, small contractors would likely prefer an option that generates more contracts directly for them rather than having to rely on larger firms.  </w:t>
      </w:r>
    </w:p>
    <w:p w14:paraId="5C937276" w14:textId="77777777" w:rsidR="00E41438" w:rsidRPr="00A215BF" w:rsidRDefault="00E41438" w:rsidP="00D66738">
      <w:pPr>
        <w:pStyle w:val="Heading1"/>
        <w:numPr>
          <w:ilvl w:val="0"/>
          <w:numId w:val="118"/>
        </w:numPr>
        <w:spacing w:after="160" w:line="259" w:lineRule="auto"/>
        <w:jc w:val="both"/>
        <w:rPr>
          <w:rFonts w:ascii="Calibri" w:hAnsi="Calibri"/>
          <w:caps/>
          <w:color w:val="1B5068"/>
        </w:rPr>
      </w:pPr>
      <w:bookmarkStart w:id="919" w:name="_Ref478899535"/>
      <w:bookmarkStart w:id="920" w:name="_Toc479843953"/>
      <w:bookmarkStart w:id="921" w:name="_Toc479844577"/>
      <w:bookmarkStart w:id="922" w:name="_Toc479940909"/>
      <w:r w:rsidRPr="00A215BF">
        <w:rPr>
          <w:rFonts w:ascii="Calibri" w:hAnsi="Calibri"/>
          <w:caps/>
          <w:color w:val="1B5068"/>
        </w:rPr>
        <w:t>Broad-Based Black Economic Empowerment (BBBEE)</w:t>
      </w:r>
      <w:bookmarkEnd w:id="798"/>
      <w:bookmarkEnd w:id="919"/>
      <w:bookmarkEnd w:id="920"/>
      <w:bookmarkEnd w:id="921"/>
      <w:bookmarkEnd w:id="922"/>
    </w:p>
    <w:p w14:paraId="3C459D04" w14:textId="77777777" w:rsidR="00C60906" w:rsidRPr="00F209B7" w:rsidRDefault="00C60906" w:rsidP="00D66738">
      <w:pPr>
        <w:pStyle w:val="Heading2"/>
        <w:numPr>
          <w:ilvl w:val="1"/>
          <w:numId w:val="144"/>
        </w:numPr>
        <w:ind w:left="0" w:firstLine="0"/>
        <w:jc w:val="both"/>
      </w:pPr>
      <w:bookmarkStart w:id="923" w:name="_Toc469410881"/>
      <w:bookmarkStart w:id="924" w:name="_Toc469585768"/>
      <w:bookmarkStart w:id="925" w:name="_Toc479843954"/>
      <w:bookmarkStart w:id="926" w:name="_Toc479844578"/>
      <w:bookmarkStart w:id="927" w:name="_Toc479940910"/>
      <w:r w:rsidRPr="00F209B7">
        <w:t>The justification for Broad-Based Black Economic Empowerment legislation</w:t>
      </w:r>
      <w:bookmarkEnd w:id="923"/>
      <w:bookmarkEnd w:id="924"/>
      <w:bookmarkEnd w:id="925"/>
      <w:bookmarkEnd w:id="926"/>
      <w:bookmarkEnd w:id="927"/>
    </w:p>
    <w:p w14:paraId="39367A1E" w14:textId="77777777" w:rsidR="001C7EFC" w:rsidRPr="00F209B7" w:rsidRDefault="001C7EFC" w:rsidP="00D66738">
      <w:pPr>
        <w:jc w:val="both"/>
      </w:pPr>
      <w:r w:rsidRPr="00F209B7">
        <w:t xml:space="preserve">The policy of BBBEE should be a strong lever for enabling the growth and development of black owned small business. The codes </w:t>
      </w:r>
      <w:r>
        <w:t>aim in part to facilitate</w:t>
      </w:r>
      <w:r w:rsidRPr="00F209B7">
        <w:t xml:space="preserve"> market access for black</w:t>
      </w:r>
      <w:r>
        <w:t>-</w:t>
      </w:r>
      <w:r w:rsidRPr="00F209B7">
        <w:t>owned small business by creating direct opportunities in government procurement and indirectly by imposing black representivity for white owned businesses.</w:t>
      </w:r>
    </w:p>
    <w:p w14:paraId="6F26350C" w14:textId="77777777" w:rsidR="001C7EFC" w:rsidRPr="00F209B7" w:rsidRDefault="001C7EFC" w:rsidP="00D66738">
      <w:pPr>
        <w:jc w:val="both"/>
      </w:pPr>
      <w:r w:rsidRPr="00F209B7">
        <w:t xml:space="preserve">Broad-Based Black Economic Empowerment (BBBEE) under the Broad-Based Black Economic Empowerment Act </w:t>
      </w:r>
      <w:r>
        <w:t xml:space="preserve">of </w:t>
      </w:r>
      <w:r w:rsidRPr="00F209B7">
        <w:t xml:space="preserve">2003 broadly aims to address the exclusion of black people from the economy. It defines the problem as being the lack of black ownership and management of </w:t>
      </w:r>
      <w:r w:rsidRPr="00F209B7">
        <w:lastRenderedPageBreak/>
        <w:t xml:space="preserve">enterprises, inadequate access to skills and promotions for black workers and failure of dominant companies to buy from black-owned companies. </w:t>
      </w:r>
    </w:p>
    <w:p w14:paraId="27CE04F2" w14:textId="25A08DDC" w:rsidR="001C7EFC" w:rsidRPr="00F209B7" w:rsidRDefault="001C7EFC" w:rsidP="00D66738">
      <w:pPr>
        <w:jc w:val="both"/>
      </w:pPr>
      <w:r w:rsidRPr="00F209B7">
        <w:t xml:space="preserve">BBBEE does not address the exclusion of the unemployed or issues pertaining to wage inequality directly. Moreover, over time it has reduced the emphasis on the lack of career pathing for most workers, reflected in reduced points for representivity in artisanal and supervisory positions. </w:t>
      </w:r>
    </w:p>
    <w:p w14:paraId="1BD2BDDE" w14:textId="7A7F5261" w:rsidR="00E41438" w:rsidRPr="00F209B7" w:rsidRDefault="001C7EFC" w:rsidP="00D66738">
      <w:pPr>
        <w:jc w:val="both"/>
      </w:pPr>
      <w:r>
        <w:t>In addition, t</w:t>
      </w:r>
      <w:r w:rsidR="00E41438" w:rsidRPr="00F209B7">
        <w:t>he latest BBBEE Codes, which came into effect in 2016, seek to discourage state procurement of imports rather than local products. The p</w:t>
      </w:r>
      <w:r>
        <w:t>roblem has been twofold: first</w:t>
      </w:r>
      <w:r w:rsidR="00E41438" w:rsidRPr="00F209B7">
        <w:t>, st</w:t>
      </w:r>
      <w:r>
        <w:t>ate purchases of imports reduce</w:t>
      </w:r>
      <w:r w:rsidR="00E41438" w:rsidRPr="00F209B7">
        <w:t xml:space="preserve"> the multiplier effect of government spending </w:t>
      </w:r>
      <w:r>
        <w:t>on jobs and growth; and second</w:t>
      </w:r>
      <w:r w:rsidR="00E41438" w:rsidRPr="00F209B7">
        <w:t>, it is often easier for emerging black entrepreneurs to import than to produce locally, while small</w:t>
      </w:r>
      <w:r>
        <w:t xml:space="preserve"> manufacturers are often family-</w:t>
      </w:r>
      <w:r w:rsidR="00E41438" w:rsidRPr="00F209B7">
        <w:t xml:space="preserve">owned companies with relatively low profits, so they cannot easily bring in new black owners. </w:t>
      </w:r>
    </w:p>
    <w:p w14:paraId="40B361DB" w14:textId="2ECEBAF3" w:rsidR="00E41438" w:rsidRPr="00F209B7" w:rsidRDefault="00E41438" w:rsidP="00D66738">
      <w:pPr>
        <w:jc w:val="both"/>
      </w:pPr>
      <w:r w:rsidRPr="00F209B7">
        <w:fldChar w:fldCharType="begin"/>
      </w:r>
      <w:r w:rsidRPr="00F209B7">
        <w:instrText xml:space="preserve"> REF _Ref469153282 \h  \* MERGEFORMAT </w:instrText>
      </w:r>
      <w:r w:rsidRPr="00F209B7">
        <w:fldChar w:fldCharType="separate"/>
      </w:r>
      <w:r w:rsidR="005062E7" w:rsidRPr="00F209B7">
        <w:t xml:space="preserve">Table </w:t>
      </w:r>
      <w:r w:rsidR="005062E7">
        <w:rPr>
          <w:noProof/>
        </w:rPr>
        <w:t>31</w:t>
      </w:r>
      <w:r w:rsidRPr="00F209B7">
        <w:fldChar w:fldCharType="end"/>
      </w:r>
      <w:r w:rsidRPr="00F209B7">
        <w:t xml:space="preserve"> indicates the main beneficiaries and cost bearers from the problems that the BBBEE Act and Codes seek to alleviate. </w:t>
      </w:r>
    </w:p>
    <w:p w14:paraId="3CBDDC69" w14:textId="53CF784A" w:rsidR="00E41438" w:rsidRPr="00F209B7" w:rsidRDefault="00E41438" w:rsidP="00D66738">
      <w:pPr>
        <w:pStyle w:val="Caption"/>
        <w:jc w:val="both"/>
      </w:pPr>
      <w:bookmarkStart w:id="928" w:name="_Ref469153282"/>
      <w:bookmarkStart w:id="929" w:name="_Toc469410599"/>
      <w:bookmarkStart w:id="930" w:name="_Toc469411192"/>
      <w:bookmarkStart w:id="931" w:name="_Toc469411510"/>
      <w:bookmarkStart w:id="932" w:name="_Toc469485019"/>
      <w:bookmarkStart w:id="933" w:name="_Toc479940988"/>
      <w:r w:rsidRPr="00F209B7">
        <w:t xml:space="preserve">Table </w:t>
      </w:r>
      <w:fldSimple w:instr=" SEQ Table \* ARABIC ">
        <w:r w:rsidR="005062E7">
          <w:rPr>
            <w:noProof/>
          </w:rPr>
          <w:t>31</w:t>
        </w:r>
      </w:fldSimple>
      <w:bookmarkEnd w:id="928"/>
      <w:r w:rsidR="001C7EFC">
        <w:rPr>
          <w:noProof/>
        </w:rPr>
        <w:t>.</w:t>
      </w:r>
      <w:r w:rsidRPr="00F209B7">
        <w:t xml:space="preserve"> The problems that BBBEE seeks to address, and their beneficiaries and cost bearers</w:t>
      </w:r>
      <w:bookmarkEnd w:id="929"/>
      <w:bookmarkEnd w:id="930"/>
      <w:bookmarkEnd w:id="931"/>
      <w:bookmarkEnd w:id="932"/>
      <w:bookmarkEnd w:id="933"/>
    </w:p>
    <w:tbl>
      <w:tblPr>
        <w:tblStyle w:val="TableGrid"/>
        <w:tblW w:w="5000" w:type="pct"/>
        <w:tblLook w:val="04A0" w:firstRow="1" w:lastRow="0" w:firstColumn="1" w:lastColumn="0" w:noHBand="0" w:noVBand="1"/>
      </w:tblPr>
      <w:tblGrid>
        <w:gridCol w:w="2093"/>
        <w:gridCol w:w="3970"/>
        <w:gridCol w:w="3179"/>
      </w:tblGrid>
      <w:tr w:rsidR="001C7EFC" w:rsidRPr="001C7EFC" w14:paraId="2B413268" w14:textId="77777777" w:rsidTr="001C7EFC">
        <w:trPr>
          <w:cantSplit/>
          <w:tblHeader/>
        </w:trPr>
        <w:tc>
          <w:tcPr>
            <w:tcW w:w="1132" w:type="pct"/>
            <w:vAlign w:val="bottom"/>
          </w:tcPr>
          <w:p w14:paraId="5ABD776B" w14:textId="77777777" w:rsidR="001C7EFC" w:rsidRPr="001C7EFC" w:rsidRDefault="001C7EFC" w:rsidP="00D66738">
            <w:pPr>
              <w:pStyle w:val="charts"/>
              <w:keepNext w:val="0"/>
              <w:jc w:val="both"/>
              <w:rPr>
                <w:b/>
                <w:sz w:val="20"/>
              </w:rPr>
            </w:pPr>
            <w:r w:rsidRPr="001C7EFC">
              <w:rPr>
                <w:b/>
                <w:sz w:val="20"/>
              </w:rPr>
              <w:t>Problem</w:t>
            </w:r>
          </w:p>
        </w:tc>
        <w:tc>
          <w:tcPr>
            <w:tcW w:w="2147" w:type="pct"/>
            <w:vAlign w:val="bottom"/>
          </w:tcPr>
          <w:p w14:paraId="27D25527" w14:textId="77777777" w:rsidR="001C7EFC" w:rsidRPr="001C7EFC" w:rsidRDefault="001C7EFC" w:rsidP="00D66738">
            <w:pPr>
              <w:pStyle w:val="charts"/>
              <w:keepNext w:val="0"/>
              <w:jc w:val="both"/>
              <w:rPr>
                <w:b/>
                <w:sz w:val="20"/>
              </w:rPr>
            </w:pPr>
            <w:r w:rsidRPr="001C7EFC">
              <w:rPr>
                <w:b/>
                <w:sz w:val="20"/>
              </w:rPr>
              <w:t>Beneficiaries from the problem</w:t>
            </w:r>
          </w:p>
        </w:tc>
        <w:tc>
          <w:tcPr>
            <w:tcW w:w="1720" w:type="pct"/>
            <w:vAlign w:val="bottom"/>
          </w:tcPr>
          <w:p w14:paraId="4B1978EE" w14:textId="77777777" w:rsidR="001C7EFC" w:rsidRPr="001C7EFC" w:rsidRDefault="001C7EFC" w:rsidP="00D66738">
            <w:pPr>
              <w:pStyle w:val="charts"/>
              <w:keepNext w:val="0"/>
              <w:jc w:val="both"/>
              <w:rPr>
                <w:b/>
                <w:sz w:val="20"/>
              </w:rPr>
            </w:pPr>
            <w:r w:rsidRPr="001C7EFC">
              <w:rPr>
                <w:b/>
                <w:sz w:val="20"/>
              </w:rPr>
              <w:t>Cost bearers of the problem</w:t>
            </w:r>
          </w:p>
        </w:tc>
      </w:tr>
      <w:tr w:rsidR="001C7EFC" w:rsidRPr="001C7EFC" w14:paraId="6BC6BCA6" w14:textId="77777777" w:rsidTr="001C7EFC">
        <w:trPr>
          <w:cantSplit/>
        </w:trPr>
        <w:tc>
          <w:tcPr>
            <w:tcW w:w="1132" w:type="pct"/>
          </w:tcPr>
          <w:p w14:paraId="7F37817D" w14:textId="77777777" w:rsidR="001C7EFC" w:rsidRPr="001C7EFC" w:rsidRDefault="001C7EFC" w:rsidP="00D66738">
            <w:pPr>
              <w:pStyle w:val="charts"/>
              <w:keepNext w:val="0"/>
              <w:spacing w:after="120"/>
              <w:jc w:val="both"/>
              <w:rPr>
                <w:sz w:val="20"/>
              </w:rPr>
            </w:pPr>
            <w:r w:rsidRPr="001C7EFC">
              <w:rPr>
                <w:sz w:val="20"/>
              </w:rPr>
              <w:t>Lack of representivity in business ownership and control</w:t>
            </w:r>
          </w:p>
        </w:tc>
        <w:tc>
          <w:tcPr>
            <w:tcW w:w="2147" w:type="pct"/>
          </w:tcPr>
          <w:p w14:paraId="40AE6AD4" w14:textId="5F222990" w:rsidR="001C7EFC" w:rsidRDefault="001C7EFC" w:rsidP="00D66738">
            <w:pPr>
              <w:pStyle w:val="charts"/>
              <w:keepNext w:val="0"/>
              <w:spacing w:after="120"/>
              <w:jc w:val="both"/>
              <w:rPr>
                <w:sz w:val="20"/>
              </w:rPr>
            </w:pPr>
            <w:r w:rsidRPr="001C7EFC">
              <w:rPr>
                <w:sz w:val="20"/>
              </w:rPr>
              <w:t xml:space="preserve">Existing white owners (estimated at half of all formal employers) and managers </w:t>
            </w:r>
            <w:r>
              <w:rPr>
                <w:sz w:val="20"/>
              </w:rPr>
              <w:t>in the short run</w:t>
            </w:r>
          </w:p>
          <w:p w14:paraId="3117C955" w14:textId="37910D8F" w:rsidR="001C7EFC" w:rsidRPr="001C7EFC" w:rsidRDefault="001C7EFC" w:rsidP="00D66738">
            <w:pPr>
              <w:pStyle w:val="charts"/>
              <w:keepNext w:val="0"/>
              <w:spacing w:after="120"/>
              <w:jc w:val="both"/>
              <w:rPr>
                <w:sz w:val="20"/>
              </w:rPr>
            </w:pPr>
          </w:p>
        </w:tc>
        <w:tc>
          <w:tcPr>
            <w:tcW w:w="1720" w:type="pct"/>
          </w:tcPr>
          <w:p w14:paraId="3C7D6991" w14:textId="77777777" w:rsidR="001C7EFC" w:rsidRDefault="001C7EFC" w:rsidP="00D66738">
            <w:pPr>
              <w:pStyle w:val="charts"/>
              <w:keepNext w:val="0"/>
              <w:spacing w:after="120"/>
              <w:jc w:val="both"/>
              <w:rPr>
                <w:sz w:val="20"/>
              </w:rPr>
            </w:pPr>
            <w:r w:rsidRPr="001C7EFC">
              <w:rPr>
                <w:sz w:val="20"/>
              </w:rPr>
              <w:t>Potential black owners and managers</w:t>
            </w:r>
          </w:p>
          <w:p w14:paraId="3EA219DB" w14:textId="7943046E" w:rsidR="001C7EFC" w:rsidRPr="001C7EFC" w:rsidRDefault="001C7EFC" w:rsidP="00D66738">
            <w:pPr>
              <w:pStyle w:val="charts"/>
              <w:keepNext w:val="0"/>
              <w:spacing w:after="120"/>
              <w:jc w:val="both"/>
              <w:rPr>
                <w:sz w:val="20"/>
              </w:rPr>
            </w:pPr>
            <w:r>
              <w:rPr>
                <w:sz w:val="20"/>
              </w:rPr>
              <w:t>Workers and citizens to the extent that lack of diversity leads to greater social conflict and slower growth</w:t>
            </w:r>
          </w:p>
        </w:tc>
      </w:tr>
      <w:tr w:rsidR="001C7EFC" w:rsidRPr="001C7EFC" w14:paraId="61820A5A" w14:textId="77777777" w:rsidTr="001C7EFC">
        <w:trPr>
          <w:cantSplit/>
        </w:trPr>
        <w:tc>
          <w:tcPr>
            <w:tcW w:w="1132" w:type="pct"/>
          </w:tcPr>
          <w:p w14:paraId="42402131" w14:textId="77777777" w:rsidR="001C7EFC" w:rsidRPr="001C7EFC" w:rsidRDefault="001C7EFC" w:rsidP="00D66738">
            <w:pPr>
              <w:pStyle w:val="charts"/>
              <w:keepNext w:val="0"/>
              <w:spacing w:after="120"/>
              <w:jc w:val="both"/>
              <w:rPr>
                <w:sz w:val="20"/>
              </w:rPr>
            </w:pPr>
            <w:r w:rsidRPr="001C7EFC">
              <w:rPr>
                <w:sz w:val="20"/>
              </w:rPr>
              <w:t>Lack of skilling and career pathing for workers</w:t>
            </w:r>
          </w:p>
        </w:tc>
        <w:tc>
          <w:tcPr>
            <w:tcW w:w="2147" w:type="pct"/>
          </w:tcPr>
          <w:p w14:paraId="19565B86" w14:textId="77777777" w:rsidR="001C7EFC" w:rsidRPr="001C7EFC" w:rsidRDefault="001C7EFC" w:rsidP="00D66738">
            <w:pPr>
              <w:pStyle w:val="charts"/>
              <w:keepNext w:val="0"/>
              <w:spacing w:after="120"/>
              <w:jc w:val="both"/>
              <w:rPr>
                <w:sz w:val="20"/>
              </w:rPr>
            </w:pPr>
            <w:r w:rsidRPr="001C7EFC">
              <w:rPr>
                <w:sz w:val="20"/>
              </w:rPr>
              <w:t>Existing skilled workers and managers (higher incomes and more power; do not have to disrupt existing work organisation)</w:t>
            </w:r>
          </w:p>
        </w:tc>
        <w:tc>
          <w:tcPr>
            <w:tcW w:w="1720" w:type="pct"/>
          </w:tcPr>
          <w:p w14:paraId="2101EA30" w14:textId="77777777" w:rsidR="001C7EFC" w:rsidRPr="001C7EFC" w:rsidRDefault="001C7EFC" w:rsidP="00D66738">
            <w:pPr>
              <w:pStyle w:val="charts"/>
              <w:keepNext w:val="0"/>
              <w:spacing w:after="120"/>
              <w:jc w:val="both"/>
              <w:rPr>
                <w:sz w:val="20"/>
              </w:rPr>
            </w:pPr>
            <w:r w:rsidRPr="001C7EFC">
              <w:rPr>
                <w:sz w:val="20"/>
              </w:rPr>
              <w:t>Black workers who do not have access to skills or promotions</w:t>
            </w:r>
          </w:p>
        </w:tc>
      </w:tr>
      <w:tr w:rsidR="001C7EFC" w:rsidRPr="001C7EFC" w14:paraId="7680E32F" w14:textId="77777777" w:rsidTr="001C7EFC">
        <w:trPr>
          <w:cantSplit/>
        </w:trPr>
        <w:tc>
          <w:tcPr>
            <w:tcW w:w="1132" w:type="pct"/>
          </w:tcPr>
          <w:p w14:paraId="54D41382" w14:textId="77777777" w:rsidR="001C7EFC" w:rsidRPr="001C7EFC" w:rsidRDefault="001C7EFC" w:rsidP="00D66738">
            <w:pPr>
              <w:pStyle w:val="charts"/>
              <w:keepNext w:val="0"/>
              <w:spacing w:after="120"/>
              <w:jc w:val="both"/>
              <w:rPr>
                <w:sz w:val="20"/>
              </w:rPr>
            </w:pPr>
            <w:r w:rsidRPr="001C7EFC">
              <w:rPr>
                <w:sz w:val="20"/>
              </w:rPr>
              <w:t>Failure to procure from black-owned companies, especially small business</w:t>
            </w:r>
          </w:p>
        </w:tc>
        <w:tc>
          <w:tcPr>
            <w:tcW w:w="2147" w:type="pct"/>
          </w:tcPr>
          <w:p w14:paraId="1F0FB58A" w14:textId="77777777" w:rsidR="001C7EFC" w:rsidRDefault="001C7EFC" w:rsidP="00D66738">
            <w:pPr>
              <w:pStyle w:val="charts"/>
              <w:keepNext w:val="0"/>
              <w:spacing w:after="120"/>
              <w:jc w:val="both"/>
              <w:rPr>
                <w:sz w:val="20"/>
              </w:rPr>
            </w:pPr>
            <w:r w:rsidRPr="001C7EFC">
              <w:rPr>
                <w:sz w:val="20"/>
              </w:rPr>
              <w:t>Existing suppliers (including local producers) and their employees</w:t>
            </w:r>
          </w:p>
          <w:p w14:paraId="0ED0E0BC" w14:textId="67C43E9E" w:rsidR="001C7EFC" w:rsidRPr="001C7EFC" w:rsidRDefault="001C7EFC" w:rsidP="00D66738">
            <w:pPr>
              <w:pStyle w:val="charts"/>
              <w:keepNext w:val="0"/>
              <w:spacing w:after="120"/>
              <w:jc w:val="both"/>
              <w:rPr>
                <w:sz w:val="20"/>
              </w:rPr>
            </w:pPr>
            <w:r w:rsidRPr="001C7EFC">
              <w:rPr>
                <w:sz w:val="20"/>
              </w:rPr>
              <w:t xml:space="preserve">Supply chain managers (easier, often cheaper </w:t>
            </w:r>
            <w:r>
              <w:rPr>
                <w:sz w:val="20"/>
              </w:rPr>
              <w:t>in medium term to work with existing suppliers)</w:t>
            </w:r>
          </w:p>
        </w:tc>
        <w:tc>
          <w:tcPr>
            <w:tcW w:w="1720" w:type="pct"/>
          </w:tcPr>
          <w:p w14:paraId="75A59E0B" w14:textId="77777777" w:rsidR="001C7EFC" w:rsidRDefault="001C7EFC" w:rsidP="00D66738">
            <w:pPr>
              <w:pStyle w:val="charts"/>
              <w:keepNext w:val="0"/>
              <w:spacing w:after="120"/>
              <w:jc w:val="both"/>
              <w:rPr>
                <w:sz w:val="20"/>
              </w:rPr>
            </w:pPr>
            <w:r w:rsidRPr="001C7EFC">
              <w:rPr>
                <w:sz w:val="20"/>
              </w:rPr>
              <w:t>Black-owned companies (including small business) and their employees</w:t>
            </w:r>
          </w:p>
          <w:p w14:paraId="6EA3146E" w14:textId="0153A26C" w:rsidR="001C7EFC" w:rsidRDefault="001C7EFC" w:rsidP="00D66738">
            <w:pPr>
              <w:pStyle w:val="charts"/>
              <w:keepNext w:val="0"/>
              <w:spacing w:after="120"/>
              <w:jc w:val="both"/>
              <w:rPr>
                <w:sz w:val="20"/>
              </w:rPr>
            </w:pPr>
            <w:r>
              <w:rPr>
                <w:sz w:val="20"/>
              </w:rPr>
              <w:t>Big business to the extent that suppliers are less competitive</w:t>
            </w:r>
          </w:p>
          <w:p w14:paraId="322CA9F5" w14:textId="38B43D6F" w:rsidR="001C7EFC" w:rsidRPr="001C7EFC" w:rsidRDefault="001C7EFC" w:rsidP="00D66738">
            <w:pPr>
              <w:pStyle w:val="charts"/>
              <w:keepNext w:val="0"/>
              <w:spacing w:after="120"/>
              <w:jc w:val="both"/>
              <w:rPr>
                <w:sz w:val="20"/>
              </w:rPr>
            </w:pPr>
          </w:p>
        </w:tc>
      </w:tr>
      <w:tr w:rsidR="001C7EFC" w:rsidRPr="001C7EFC" w14:paraId="060AD171" w14:textId="77777777" w:rsidTr="001C7EFC">
        <w:trPr>
          <w:cantSplit/>
        </w:trPr>
        <w:tc>
          <w:tcPr>
            <w:tcW w:w="1132" w:type="pct"/>
          </w:tcPr>
          <w:p w14:paraId="49987CD8" w14:textId="77777777" w:rsidR="001C7EFC" w:rsidRPr="001C7EFC" w:rsidRDefault="001C7EFC" w:rsidP="00D66738">
            <w:pPr>
              <w:pStyle w:val="charts"/>
              <w:keepNext w:val="0"/>
              <w:spacing w:after="120"/>
              <w:jc w:val="both"/>
              <w:rPr>
                <w:sz w:val="20"/>
              </w:rPr>
            </w:pPr>
            <w:r w:rsidRPr="001C7EFC">
              <w:rPr>
                <w:sz w:val="20"/>
              </w:rPr>
              <w:t>State procurement of imports when local products available</w:t>
            </w:r>
          </w:p>
        </w:tc>
        <w:tc>
          <w:tcPr>
            <w:tcW w:w="2147" w:type="pct"/>
          </w:tcPr>
          <w:p w14:paraId="19AD6A58" w14:textId="2C903EAE" w:rsidR="001C7EFC" w:rsidRPr="001C7EFC" w:rsidRDefault="001C7EFC" w:rsidP="00D66738">
            <w:pPr>
              <w:pStyle w:val="charts"/>
              <w:keepNext w:val="0"/>
              <w:spacing w:after="120"/>
              <w:jc w:val="both"/>
              <w:rPr>
                <w:sz w:val="20"/>
              </w:rPr>
            </w:pPr>
            <w:r w:rsidRPr="001C7EFC">
              <w:rPr>
                <w:sz w:val="20"/>
              </w:rPr>
              <w:t>Importers, whether black-owned or not</w:t>
            </w:r>
            <w:r>
              <w:rPr>
                <w:sz w:val="20"/>
              </w:rPr>
              <w:t>, as well as f</w:t>
            </w:r>
            <w:r w:rsidRPr="001C7EFC">
              <w:rPr>
                <w:sz w:val="20"/>
              </w:rPr>
              <w:t>oreign producers</w:t>
            </w:r>
          </w:p>
          <w:p w14:paraId="2CD56D8A" w14:textId="77777777" w:rsidR="001C7EFC" w:rsidRPr="001C7EFC" w:rsidRDefault="001C7EFC" w:rsidP="00D66738">
            <w:pPr>
              <w:pStyle w:val="charts"/>
              <w:keepNext w:val="0"/>
              <w:spacing w:after="120"/>
              <w:jc w:val="both"/>
              <w:rPr>
                <w:sz w:val="20"/>
              </w:rPr>
            </w:pPr>
            <w:r w:rsidRPr="001C7EFC">
              <w:rPr>
                <w:sz w:val="20"/>
              </w:rPr>
              <w:t>Government departments and NT, since do not have to disrupt procedures and may get goods cheaper or of better quality</w:t>
            </w:r>
          </w:p>
          <w:p w14:paraId="12D80A1F" w14:textId="77777777" w:rsidR="001C7EFC" w:rsidRPr="001C7EFC" w:rsidRDefault="001C7EFC" w:rsidP="00D66738">
            <w:pPr>
              <w:pStyle w:val="charts"/>
              <w:keepNext w:val="0"/>
              <w:spacing w:after="120"/>
              <w:jc w:val="both"/>
              <w:rPr>
                <w:sz w:val="20"/>
              </w:rPr>
            </w:pPr>
            <w:r w:rsidRPr="001C7EFC">
              <w:rPr>
                <w:sz w:val="20"/>
              </w:rPr>
              <w:t>Citizens, if get better and cheaper government services</w:t>
            </w:r>
          </w:p>
        </w:tc>
        <w:tc>
          <w:tcPr>
            <w:tcW w:w="1720" w:type="pct"/>
          </w:tcPr>
          <w:p w14:paraId="05090994" w14:textId="77777777" w:rsidR="001C7EFC" w:rsidRPr="001C7EFC" w:rsidRDefault="001C7EFC" w:rsidP="00D66738">
            <w:pPr>
              <w:pStyle w:val="charts"/>
              <w:keepNext w:val="0"/>
              <w:spacing w:after="120"/>
              <w:jc w:val="both"/>
              <w:rPr>
                <w:sz w:val="20"/>
              </w:rPr>
            </w:pPr>
            <w:r w:rsidRPr="001C7EFC">
              <w:rPr>
                <w:sz w:val="20"/>
              </w:rPr>
              <w:t>South African producers and workers</w:t>
            </w:r>
          </w:p>
          <w:p w14:paraId="46C11CBA" w14:textId="77777777" w:rsidR="001C7EFC" w:rsidRPr="001C7EFC" w:rsidRDefault="001C7EFC" w:rsidP="00D66738">
            <w:pPr>
              <w:pStyle w:val="charts"/>
              <w:keepNext w:val="0"/>
              <w:spacing w:after="120"/>
              <w:jc w:val="both"/>
              <w:rPr>
                <w:sz w:val="20"/>
              </w:rPr>
            </w:pPr>
            <w:r w:rsidRPr="001C7EFC">
              <w:rPr>
                <w:sz w:val="20"/>
              </w:rPr>
              <w:t>Citizens, if growth is slower</w:t>
            </w:r>
          </w:p>
          <w:p w14:paraId="7977DA9E" w14:textId="6D256764" w:rsidR="001C7EFC" w:rsidRPr="001C7EFC" w:rsidRDefault="001C7EFC" w:rsidP="00D66738">
            <w:pPr>
              <w:pStyle w:val="charts"/>
              <w:keepNext w:val="0"/>
              <w:spacing w:after="120"/>
              <w:jc w:val="both"/>
              <w:rPr>
                <w:sz w:val="20"/>
              </w:rPr>
            </w:pPr>
            <w:r w:rsidRPr="001C7EFC">
              <w:rPr>
                <w:sz w:val="20"/>
              </w:rPr>
              <w:t xml:space="preserve">National Treasury if revenues go </w:t>
            </w:r>
            <w:r>
              <w:rPr>
                <w:sz w:val="20"/>
              </w:rPr>
              <w:t>down</w:t>
            </w:r>
            <w:r w:rsidRPr="001C7EFC">
              <w:rPr>
                <w:sz w:val="20"/>
              </w:rPr>
              <w:t xml:space="preserve"> due to </w:t>
            </w:r>
            <w:r>
              <w:rPr>
                <w:sz w:val="20"/>
              </w:rPr>
              <w:t>slower growth and job creation as a result of limited industrialisation</w:t>
            </w:r>
          </w:p>
        </w:tc>
      </w:tr>
    </w:tbl>
    <w:p w14:paraId="6811A135" w14:textId="77777777" w:rsidR="00E41438" w:rsidRPr="00F209B7" w:rsidRDefault="00E41438" w:rsidP="00D66738">
      <w:pPr>
        <w:pStyle w:val="Heading2"/>
        <w:numPr>
          <w:ilvl w:val="1"/>
          <w:numId w:val="144"/>
        </w:numPr>
        <w:ind w:left="0" w:firstLine="0"/>
        <w:jc w:val="both"/>
      </w:pPr>
      <w:bookmarkStart w:id="934" w:name="_Toc469585769"/>
      <w:bookmarkStart w:id="935" w:name="_Toc479843955"/>
      <w:bookmarkStart w:id="936" w:name="_Toc479844579"/>
      <w:bookmarkStart w:id="937" w:name="_Toc479940911"/>
      <w:r w:rsidRPr="00F209B7">
        <w:t>What the BBBEE Codes require</w:t>
      </w:r>
      <w:bookmarkEnd w:id="934"/>
      <w:bookmarkEnd w:id="935"/>
      <w:bookmarkEnd w:id="936"/>
      <w:bookmarkEnd w:id="937"/>
    </w:p>
    <w:p w14:paraId="07626133" w14:textId="77777777" w:rsidR="00E41438" w:rsidRPr="00F209B7" w:rsidRDefault="00E41438" w:rsidP="00D66738">
      <w:pPr>
        <w:jc w:val="both"/>
      </w:pPr>
      <w:r w:rsidRPr="00F209B7">
        <w:t xml:space="preserve">Measures under the BBBEE Codes set out different requirements for micro, small and medium/large enterprises. Micro enterprises are defined as having under R10 million in turnover, and small as having between R10 million and R50 million. </w:t>
      </w:r>
    </w:p>
    <w:p w14:paraId="64378711" w14:textId="0E1DA302" w:rsidR="00E41438" w:rsidRPr="00F209B7" w:rsidRDefault="00E41438" w:rsidP="00D66738">
      <w:pPr>
        <w:jc w:val="both"/>
      </w:pPr>
      <w:r w:rsidRPr="00F209B7">
        <w:t xml:space="preserve">The key measure in the BBBEE Act is to require state entities to take into account the </w:t>
      </w:r>
      <w:r w:rsidR="00F87570">
        <w:t>BBBEE</w:t>
      </w:r>
      <w:r w:rsidRPr="00F209B7">
        <w:t xml:space="preserve"> status of enterprises when providing any kind of licence as well as in procurement. In </w:t>
      </w:r>
      <w:r w:rsidRPr="00F209B7">
        <w:lastRenderedPageBreak/>
        <w:t xml:space="preserve">practice, however, the requirement has only been applied consistently in the case of procurement, where it has largely determined </w:t>
      </w:r>
      <w:r w:rsidR="001C7EFC">
        <w:t xml:space="preserve">the </w:t>
      </w:r>
      <w:r w:rsidRPr="00F209B7">
        <w:t xml:space="preserve">10% to 20% of tender points that departments may use for preferential procurement.  </w:t>
      </w:r>
    </w:p>
    <w:p w14:paraId="41457117" w14:textId="6F7DE22A" w:rsidR="00E41438" w:rsidRPr="00F209B7" w:rsidRDefault="00E41438" w:rsidP="00D66738">
      <w:pPr>
        <w:jc w:val="both"/>
      </w:pPr>
      <w:r w:rsidRPr="00F209B7">
        <w:t xml:space="preserve">The BBBEE Codes, which are issued as regulations under the Act, set the criteria for determining an enterprise’s </w:t>
      </w:r>
      <w:r w:rsidR="00F87570">
        <w:t>BBBEE</w:t>
      </w:r>
      <w:r w:rsidRPr="00F209B7">
        <w:t xml:space="preserve"> status. As revised in 2013 and 2015, respectively, an enterprises status requires:</w:t>
      </w:r>
    </w:p>
    <w:p w14:paraId="201057FF" w14:textId="77777777" w:rsidR="00E41438" w:rsidRPr="00F209B7" w:rsidRDefault="00E41438" w:rsidP="00D66738">
      <w:pPr>
        <w:pStyle w:val="ListParagraph"/>
        <w:numPr>
          <w:ilvl w:val="0"/>
          <w:numId w:val="96"/>
        </w:numPr>
        <w:jc w:val="both"/>
      </w:pPr>
      <w:r w:rsidRPr="00F209B7">
        <w:t>That the enterprise qualifies as an Empowering Supplier as defined in the Codes, and</w:t>
      </w:r>
    </w:p>
    <w:p w14:paraId="2E0CA6E8" w14:textId="64C83F10" w:rsidR="00E41438" w:rsidRPr="00F209B7" w:rsidRDefault="00E41438" w:rsidP="00D66738">
      <w:pPr>
        <w:pStyle w:val="ListParagraph"/>
        <w:numPr>
          <w:ilvl w:val="0"/>
          <w:numId w:val="96"/>
        </w:numPr>
        <w:jc w:val="both"/>
      </w:pPr>
      <w:r w:rsidRPr="00F209B7">
        <w:t xml:space="preserve">That it provides a certificate (or, for black-owned micro and small enterprise, an affidavit) that rates its fulfilment of </w:t>
      </w:r>
      <w:r w:rsidR="00F87570">
        <w:t>BBBEE</w:t>
      </w:r>
      <w:r w:rsidRPr="00F209B7">
        <w:t xml:space="preserve"> criteria. </w:t>
      </w:r>
    </w:p>
    <w:p w14:paraId="366BE0E2" w14:textId="77777777" w:rsidR="00E41438" w:rsidRPr="00F209B7" w:rsidRDefault="00E41438" w:rsidP="00D66738">
      <w:pPr>
        <w:jc w:val="both"/>
      </w:pPr>
      <w:r w:rsidRPr="00F209B7">
        <w:t>To be an Empowering Supplier, an enterprise must:</w:t>
      </w:r>
    </w:p>
    <w:p w14:paraId="639F0655" w14:textId="77777777" w:rsidR="00E41438" w:rsidRPr="00F209B7" w:rsidRDefault="00E41438" w:rsidP="00D66738">
      <w:pPr>
        <w:pStyle w:val="ListParagraph"/>
        <w:numPr>
          <w:ilvl w:val="0"/>
          <w:numId w:val="97"/>
        </w:numPr>
        <w:jc w:val="both"/>
      </w:pPr>
      <w:r w:rsidRPr="00F209B7">
        <w:t xml:space="preserve">Obey South African laws, including on taxes, company registration and labour, and </w:t>
      </w:r>
    </w:p>
    <w:p w14:paraId="66C2C89D" w14:textId="77777777" w:rsidR="00E41438" w:rsidRPr="00F209B7" w:rsidRDefault="00E41438" w:rsidP="00D66738">
      <w:pPr>
        <w:pStyle w:val="ListParagraph"/>
        <w:numPr>
          <w:ilvl w:val="0"/>
          <w:numId w:val="97"/>
        </w:numPr>
        <w:jc w:val="both"/>
      </w:pPr>
      <w:r w:rsidRPr="00F209B7">
        <w:t>Unless it is a micro enterprise, meet some of the four following criteria (three for medium and large enterprises and one for small enterprise):</w:t>
      </w:r>
    </w:p>
    <w:p w14:paraId="599711CA" w14:textId="77777777" w:rsidR="00E41438" w:rsidRPr="00F209B7" w:rsidRDefault="00E41438" w:rsidP="00D66738">
      <w:pPr>
        <w:pStyle w:val="ListParagraph"/>
        <w:numPr>
          <w:ilvl w:val="1"/>
          <w:numId w:val="97"/>
        </w:numPr>
        <w:jc w:val="both"/>
      </w:pPr>
      <w:r w:rsidRPr="00F209B7">
        <w:t xml:space="preserve">At least 25% of costs of sales excluding labour costs and depreciation must be procured from local producers or local suppliers in South Africa </w:t>
      </w:r>
    </w:p>
    <w:p w14:paraId="13925BA9" w14:textId="77777777" w:rsidR="00E41438" w:rsidRPr="00F209B7" w:rsidRDefault="00E41438" w:rsidP="00D66738">
      <w:pPr>
        <w:pStyle w:val="ListParagraph"/>
        <w:numPr>
          <w:ilvl w:val="1"/>
          <w:numId w:val="97"/>
        </w:numPr>
        <w:jc w:val="both"/>
      </w:pPr>
      <w:r w:rsidRPr="00F209B7">
        <w:t>50% of net new jobs created are for black people.</w:t>
      </w:r>
    </w:p>
    <w:p w14:paraId="70D31DBC" w14:textId="77777777" w:rsidR="00E41438" w:rsidRPr="00F209B7" w:rsidRDefault="00E41438" w:rsidP="00D66738">
      <w:pPr>
        <w:pStyle w:val="ListParagraph"/>
        <w:numPr>
          <w:ilvl w:val="1"/>
          <w:numId w:val="97"/>
        </w:numPr>
        <w:jc w:val="both"/>
      </w:pPr>
      <w:r w:rsidRPr="00F209B7">
        <w:t>“At least 25% transformation of raw material/beneficiation which include local manufacturing, production and/or assembly, and/or packaging.” (The intent of this section appears fairly clear, although the wording is not precise.)</w:t>
      </w:r>
    </w:p>
    <w:p w14:paraId="6E28B01A" w14:textId="77777777" w:rsidR="00E41438" w:rsidRPr="00F209B7" w:rsidRDefault="00E41438" w:rsidP="00D66738">
      <w:pPr>
        <w:pStyle w:val="ListParagraph"/>
        <w:numPr>
          <w:ilvl w:val="1"/>
          <w:numId w:val="97"/>
        </w:numPr>
        <w:jc w:val="both"/>
      </w:pPr>
      <w:r w:rsidRPr="00F209B7">
        <w:t>The enterprise spends at least 12 days a year in assisting black small business to “increase</w:t>
      </w:r>
      <w:r w:rsidRPr="001C7EFC">
        <w:rPr>
          <w:shd w:val="clear" w:color="auto" w:fill="FFFFFF"/>
          <w:lang w:eastAsia="en-ZA"/>
        </w:rPr>
        <w:t xml:space="preserve"> their operation or financial capacity.”</w:t>
      </w:r>
    </w:p>
    <w:p w14:paraId="29F8CA8F" w14:textId="103A542A" w:rsidR="00E41438" w:rsidRPr="00F209B7" w:rsidRDefault="00E41438" w:rsidP="00D66738">
      <w:pPr>
        <w:pStyle w:val="ListParagraph"/>
        <w:numPr>
          <w:ilvl w:val="0"/>
          <w:numId w:val="97"/>
        </w:numPr>
        <w:jc w:val="both"/>
      </w:pPr>
      <w:r w:rsidRPr="001C7EFC">
        <w:rPr>
          <w:shd w:val="clear" w:color="auto" w:fill="FFFFFF"/>
          <w:lang w:eastAsia="en-ZA"/>
        </w:rPr>
        <w:t xml:space="preserve">In the service sector, 85% of remuneration must be paid to South Africans. </w:t>
      </w:r>
    </w:p>
    <w:p w14:paraId="487FA631" w14:textId="77777777" w:rsidR="00E41438" w:rsidRPr="00F209B7" w:rsidRDefault="00E41438" w:rsidP="00D66738">
      <w:pPr>
        <w:jc w:val="both"/>
      </w:pPr>
      <w:r w:rsidRPr="00F209B7">
        <w:t xml:space="preserve">Private verification companies regulated by the South African National Accreditation System (SANAS) provide the BBBEE certification, but enterprises must pay for it. Certification distinguishes a number of levels, with Level 1 indicating the highest level of performance. Black-owned micro enterprise and small business need only provide an affidavit affirming their ownership status. Other small businesses and all medium and large businesses require a certificate. </w:t>
      </w:r>
    </w:p>
    <w:p w14:paraId="64178243" w14:textId="77777777" w:rsidR="00E41438" w:rsidRPr="00F209B7" w:rsidRDefault="00E41438" w:rsidP="00D66738">
      <w:pPr>
        <w:jc w:val="both"/>
      </w:pPr>
      <w:r w:rsidRPr="00F209B7">
        <w:t>BBBEE status depends on an enterprise’s score against specific criteria in five areas, namely:</w:t>
      </w:r>
    </w:p>
    <w:p w14:paraId="74ED23B8" w14:textId="77777777" w:rsidR="00E41438" w:rsidRPr="00F209B7" w:rsidRDefault="00E41438" w:rsidP="00D66738">
      <w:pPr>
        <w:pStyle w:val="ListParagraph"/>
        <w:numPr>
          <w:ilvl w:val="0"/>
          <w:numId w:val="98"/>
        </w:numPr>
        <w:jc w:val="both"/>
      </w:pPr>
      <w:r w:rsidRPr="001C7EFC">
        <w:rPr>
          <w:u w:val="single"/>
        </w:rPr>
        <w:t>Ownership:</w:t>
      </w:r>
      <w:r w:rsidRPr="00F209B7">
        <w:t xml:space="preserve"> The share of black ownership</w:t>
      </w:r>
    </w:p>
    <w:p w14:paraId="488052D0" w14:textId="77777777" w:rsidR="00E41438" w:rsidRPr="00F209B7" w:rsidRDefault="00E41438" w:rsidP="00D66738">
      <w:pPr>
        <w:pStyle w:val="ListParagraph"/>
        <w:numPr>
          <w:ilvl w:val="0"/>
          <w:numId w:val="98"/>
        </w:numPr>
        <w:jc w:val="both"/>
      </w:pPr>
      <w:r w:rsidRPr="001C7EFC">
        <w:rPr>
          <w:u w:val="single"/>
        </w:rPr>
        <w:t>Management control:</w:t>
      </w:r>
      <w:r w:rsidRPr="00F209B7">
        <w:t xml:space="preserve"> The share of black people in management, measured separately for executive and other levels </w:t>
      </w:r>
    </w:p>
    <w:p w14:paraId="7DF5D0E6" w14:textId="77777777" w:rsidR="00E41438" w:rsidRPr="00F209B7" w:rsidRDefault="00E41438" w:rsidP="00D66738">
      <w:pPr>
        <w:pStyle w:val="ListParagraph"/>
        <w:numPr>
          <w:ilvl w:val="0"/>
          <w:numId w:val="98"/>
        </w:numPr>
        <w:jc w:val="both"/>
      </w:pPr>
      <w:r w:rsidRPr="001C7EFC">
        <w:rPr>
          <w:u w:val="single"/>
        </w:rPr>
        <w:t>Skills:</w:t>
      </w:r>
      <w:r w:rsidRPr="00F209B7">
        <w:t xml:space="preserve"> The funding of skills development beyond legal requirements</w:t>
      </w:r>
    </w:p>
    <w:p w14:paraId="5A5BF181" w14:textId="77777777" w:rsidR="00E41438" w:rsidRPr="00F209B7" w:rsidRDefault="00E41438" w:rsidP="00D66738">
      <w:pPr>
        <w:pStyle w:val="ListParagraph"/>
        <w:numPr>
          <w:ilvl w:val="0"/>
          <w:numId w:val="98"/>
        </w:numPr>
        <w:jc w:val="both"/>
      </w:pPr>
      <w:r w:rsidRPr="001C7EFC">
        <w:rPr>
          <w:u w:val="single"/>
        </w:rPr>
        <w:t>Enterprise and supplier development</w:t>
      </w:r>
      <w:r w:rsidRPr="00F209B7">
        <w:t>: Support for black-owned enterprises, especially suppliers, with a target of procuring 15% of measured procurement spend from micro enterprise (as defined below)</w:t>
      </w:r>
    </w:p>
    <w:p w14:paraId="144CB5B6" w14:textId="77777777" w:rsidR="00E41438" w:rsidRPr="00F209B7" w:rsidRDefault="00E41438" w:rsidP="00D66738">
      <w:pPr>
        <w:pStyle w:val="ListParagraph"/>
        <w:numPr>
          <w:ilvl w:val="0"/>
          <w:numId w:val="98"/>
        </w:numPr>
        <w:jc w:val="both"/>
      </w:pPr>
      <w:r w:rsidRPr="001C7EFC">
        <w:rPr>
          <w:u w:val="single"/>
        </w:rPr>
        <w:t>Social Development:</w:t>
      </w:r>
      <w:r w:rsidRPr="00F209B7">
        <w:t xml:space="preserve"> essentially Corporate Social Investment (CSI) that benefits black people and communities</w:t>
      </w:r>
    </w:p>
    <w:p w14:paraId="5DE3C468" w14:textId="77777777" w:rsidR="00E41438" w:rsidRPr="00F209B7" w:rsidRDefault="00E41438" w:rsidP="00D66738">
      <w:pPr>
        <w:jc w:val="both"/>
      </w:pPr>
      <w:r w:rsidRPr="00F209B7">
        <w:lastRenderedPageBreak/>
        <w:t xml:space="preserve">Enterprises must reach a specified minimum standard for ownership, management control, skills and enterprise development, or their overall score will be reduced by a level. </w:t>
      </w:r>
    </w:p>
    <w:p w14:paraId="05F2B9F4" w14:textId="77777777" w:rsidR="00E41438" w:rsidRPr="00F209B7" w:rsidRDefault="00E41438" w:rsidP="00D66738">
      <w:pPr>
        <w:jc w:val="both"/>
      </w:pPr>
      <w:r w:rsidRPr="00F209B7">
        <w:t xml:space="preserve">To reduce the burden on smaller enterprises, the Codes lay out separate requirements for micro enterprise and black-owned small business, to which it refers as Qualifying Small Enterprise (QSE) and Exempted Micro Enterprise (EME), respectively. </w:t>
      </w:r>
    </w:p>
    <w:p w14:paraId="4BD475E5" w14:textId="20F6E30F" w:rsidR="00E41438" w:rsidRPr="00F209B7" w:rsidRDefault="00E41438" w:rsidP="00D66738">
      <w:pPr>
        <w:pStyle w:val="ListParagraph"/>
        <w:numPr>
          <w:ilvl w:val="0"/>
          <w:numId w:val="99"/>
        </w:numPr>
        <w:jc w:val="both"/>
      </w:pPr>
      <w:r w:rsidRPr="00F209B7">
        <w:t xml:space="preserve">QSEs and EMEs that are 51% or more black-owned qualify automatically as level 2 under the Codes, while those that are 100% black-owned qualify as level 1. Most larger enterprises are ranked at level 4 or below. By extension, black-owned QSEs and EMEs are effectively not required to </w:t>
      </w:r>
      <w:r w:rsidR="001C7EFC">
        <w:t xml:space="preserve">achieve anything </w:t>
      </w:r>
      <w:r w:rsidRPr="00F209B7">
        <w:t xml:space="preserve">on other elements of BBBEE. </w:t>
      </w:r>
    </w:p>
    <w:p w14:paraId="30BBAB22" w14:textId="77777777" w:rsidR="00E41438" w:rsidRPr="00F209B7" w:rsidRDefault="00E41438" w:rsidP="00D66738">
      <w:pPr>
        <w:pStyle w:val="ListParagraph"/>
        <w:numPr>
          <w:ilvl w:val="0"/>
          <w:numId w:val="99"/>
        </w:numPr>
        <w:jc w:val="both"/>
      </w:pPr>
      <w:r w:rsidRPr="00F209B7">
        <w:t xml:space="preserve">EMEs that are not majority black-owned qualify as Level 4. </w:t>
      </w:r>
    </w:p>
    <w:p w14:paraId="2AA10222" w14:textId="5538C8B6" w:rsidR="00E41438" w:rsidRPr="00F209B7" w:rsidRDefault="00E41438" w:rsidP="00D66738">
      <w:pPr>
        <w:pStyle w:val="ListParagraph"/>
        <w:numPr>
          <w:ilvl w:val="0"/>
          <w:numId w:val="99"/>
        </w:numPr>
        <w:jc w:val="both"/>
      </w:pPr>
      <w:r w:rsidRPr="00F209B7">
        <w:t xml:space="preserve">EMEs and black-owned QSEs are automatically recognised as empowering suppliers, that is, in effect, local producers, even if in fact </w:t>
      </w:r>
      <w:r w:rsidR="00F87570">
        <w:t xml:space="preserve">they </w:t>
      </w:r>
      <w:r w:rsidRPr="00F209B7">
        <w:t xml:space="preserve">are import agencies. </w:t>
      </w:r>
    </w:p>
    <w:p w14:paraId="7DDB9077" w14:textId="77777777" w:rsidR="00E41438" w:rsidRPr="00F209B7" w:rsidRDefault="00E41438" w:rsidP="00D66738">
      <w:pPr>
        <w:pStyle w:val="ListParagraph"/>
        <w:numPr>
          <w:ilvl w:val="0"/>
          <w:numId w:val="99"/>
        </w:numPr>
        <w:jc w:val="both"/>
      </w:pPr>
      <w:bookmarkStart w:id="938" w:name="5"/>
      <w:r w:rsidRPr="00F209B7">
        <w:t xml:space="preserve">QSEs that are not black-owned need only be certified on two areas, one of which must be ownership and the other either enterprise support or management control. </w:t>
      </w:r>
    </w:p>
    <w:bookmarkEnd w:id="938"/>
    <w:p w14:paraId="6B421552" w14:textId="77777777" w:rsidR="00E41438" w:rsidRPr="00F209B7" w:rsidRDefault="00E41438" w:rsidP="00D66738">
      <w:pPr>
        <w:pStyle w:val="ListParagraph"/>
        <w:numPr>
          <w:ilvl w:val="0"/>
          <w:numId w:val="99"/>
        </w:numPr>
        <w:jc w:val="both"/>
      </w:pPr>
      <w:r w:rsidRPr="00F209B7">
        <w:t xml:space="preserve">As noted above, EMEs and black-owned QSEs can supply an affidavit rather than outside certification of their adherence to BBBEE standards. </w:t>
      </w:r>
    </w:p>
    <w:p w14:paraId="5E14F59B" w14:textId="77777777" w:rsidR="00E41438" w:rsidRPr="00F209B7" w:rsidRDefault="00E41438" w:rsidP="00D66738">
      <w:pPr>
        <w:pStyle w:val="Heading2"/>
        <w:numPr>
          <w:ilvl w:val="1"/>
          <w:numId w:val="143"/>
        </w:numPr>
        <w:ind w:left="0" w:firstLine="0"/>
        <w:jc w:val="both"/>
      </w:pPr>
      <w:bookmarkStart w:id="939" w:name="_Toc469585770"/>
      <w:bookmarkStart w:id="940" w:name="_Toc479843956"/>
      <w:bookmarkStart w:id="941" w:name="_Toc479844580"/>
      <w:bookmarkStart w:id="942" w:name="_Toc479940912"/>
      <w:r w:rsidRPr="00F209B7">
        <w:t>The theory of change in the BBBEE Codes</w:t>
      </w:r>
      <w:bookmarkEnd w:id="939"/>
      <w:bookmarkEnd w:id="940"/>
      <w:bookmarkEnd w:id="941"/>
      <w:bookmarkEnd w:id="942"/>
    </w:p>
    <w:p w14:paraId="651F330B" w14:textId="77777777" w:rsidR="00E41438" w:rsidRPr="00F209B7" w:rsidRDefault="00E41438" w:rsidP="00D66738">
      <w:pPr>
        <w:jc w:val="both"/>
      </w:pPr>
      <w:r w:rsidRPr="00F209B7">
        <w:t>The desired end state for the BBBEE Codes is a more demographically representative economy, especially in terms of ownership of enterprises but also in terms of management and employment compositions.</w:t>
      </w:r>
    </w:p>
    <w:p w14:paraId="78F610DF" w14:textId="77777777" w:rsidR="00E41438" w:rsidRPr="00F209B7" w:rsidRDefault="00E41438" w:rsidP="00D66738">
      <w:pPr>
        <w:jc w:val="both"/>
      </w:pPr>
      <w:r w:rsidRPr="00F209B7">
        <w:t>The key steps to achieving this end state are:</w:t>
      </w:r>
    </w:p>
    <w:p w14:paraId="12F24016" w14:textId="77777777" w:rsidR="00E41438" w:rsidRPr="00F209B7" w:rsidRDefault="00E41438" w:rsidP="00D66738">
      <w:pPr>
        <w:pStyle w:val="ListParagraph"/>
        <w:numPr>
          <w:ilvl w:val="0"/>
          <w:numId w:val="100"/>
        </w:numPr>
        <w:jc w:val="both"/>
      </w:pPr>
      <w:r w:rsidRPr="00F209B7">
        <w:t xml:space="preserve">Enterprises are required to obtain certification of their Empowering Supplier and BBBEE status from a verification agency unless they are black-owned micro or small enterprise. </w:t>
      </w:r>
    </w:p>
    <w:p w14:paraId="7291563E" w14:textId="77777777" w:rsidR="00E41438" w:rsidRPr="00F209B7" w:rsidRDefault="00E41438" w:rsidP="00D66738">
      <w:pPr>
        <w:pStyle w:val="ListParagraph"/>
        <w:numPr>
          <w:ilvl w:val="0"/>
          <w:numId w:val="100"/>
        </w:numPr>
        <w:jc w:val="both"/>
      </w:pPr>
      <w:r w:rsidRPr="00F209B7">
        <w:t>The state allocates benefits to enterprises (including procurement, licencing, etc.) based on BBBEE status.</w:t>
      </w:r>
    </w:p>
    <w:p w14:paraId="4CA688F3" w14:textId="77777777" w:rsidR="00E41438" w:rsidRPr="00F209B7" w:rsidRDefault="00E41438" w:rsidP="00D66738">
      <w:pPr>
        <w:pStyle w:val="ListParagraph"/>
        <w:numPr>
          <w:ilvl w:val="0"/>
          <w:numId w:val="100"/>
        </w:numPr>
        <w:jc w:val="both"/>
      </w:pPr>
      <w:r w:rsidRPr="00F209B7">
        <w:t xml:space="preserve">In order to obtain state benefits, enterprises will progressively seek to meet and exceed the requirements in the BBBEE Codes. </w:t>
      </w:r>
    </w:p>
    <w:p w14:paraId="2BE0B901" w14:textId="77777777" w:rsidR="00E41438" w:rsidRPr="00F209B7" w:rsidRDefault="00E41438" w:rsidP="00D66738">
      <w:pPr>
        <w:jc w:val="both"/>
      </w:pPr>
      <w:r w:rsidRPr="00F209B7">
        <w:t xml:space="preserve">The core assumptions in this theory of change are the following. </w:t>
      </w:r>
    </w:p>
    <w:p w14:paraId="67263653" w14:textId="77777777" w:rsidR="00E41438" w:rsidRPr="00F209B7" w:rsidRDefault="00E41438" w:rsidP="00D66738">
      <w:pPr>
        <w:jc w:val="both"/>
      </w:pPr>
      <w:r w:rsidRPr="00F209B7">
        <w:t>First, the theory of change implies a specific understanding of what is wrong with procurement – specifically that:</w:t>
      </w:r>
    </w:p>
    <w:p w14:paraId="3FFEFB9F" w14:textId="02788CCA" w:rsidR="00E41438" w:rsidRPr="00F209B7" w:rsidRDefault="00E41438" w:rsidP="00D66738">
      <w:pPr>
        <w:pStyle w:val="ListParagraph"/>
        <w:numPr>
          <w:ilvl w:val="0"/>
          <w:numId w:val="101"/>
        </w:numPr>
        <w:jc w:val="both"/>
      </w:pPr>
      <w:r w:rsidRPr="00F209B7">
        <w:t>The lack of representivity in ownership and management as well as the failure to promote black workers and to procure from black-owned small and micro enterprise largely reflect path dependency rather than the incentive structure facing existing enterprises, and</w:t>
      </w:r>
    </w:p>
    <w:p w14:paraId="3407EB10" w14:textId="77777777" w:rsidR="00E41438" w:rsidRPr="00F209B7" w:rsidRDefault="00E41438" w:rsidP="00D66738">
      <w:pPr>
        <w:pStyle w:val="ListParagraph"/>
        <w:numPr>
          <w:ilvl w:val="0"/>
          <w:numId w:val="101"/>
        </w:numPr>
        <w:jc w:val="both"/>
      </w:pPr>
      <w:r w:rsidRPr="00F209B7">
        <w:t xml:space="preserve">State agencies do not take these issues into account consistently when dealing with enterprises because they lack the information needed to distinguish enterprises in terms of their degree of transformation. </w:t>
      </w:r>
    </w:p>
    <w:p w14:paraId="2ED198A9" w14:textId="77777777" w:rsidR="00E41438" w:rsidRPr="00F209B7" w:rsidRDefault="00E41438" w:rsidP="00D66738">
      <w:pPr>
        <w:jc w:val="both"/>
      </w:pPr>
      <w:r w:rsidRPr="00F209B7">
        <w:t>It follows that the solutions embodied in the BBBEE Codes are expected to work because:</w:t>
      </w:r>
    </w:p>
    <w:p w14:paraId="39DA48B0" w14:textId="2DBD3BB6" w:rsidR="00E41438" w:rsidRPr="00F209B7" w:rsidRDefault="00E41438" w:rsidP="00D66738">
      <w:pPr>
        <w:pStyle w:val="ListParagraph"/>
        <w:numPr>
          <w:ilvl w:val="0"/>
          <w:numId w:val="102"/>
        </w:numPr>
        <w:jc w:val="both"/>
      </w:pPr>
      <w:r w:rsidRPr="00F209B7">
        <w:lastRenderedPageBreak/>
        <w:t xml:space="preserve">Every enterprise has some relationship to the state, although in fact only procurement and mining licences have so far been significantly dependent on </w:t>
      </w:r>
      <w:r w:rsidR="00F87570">
        <w:t>BBBEE</w:t>
      </w:r>
      <w:r w:rsidRPr="00F209B7">
        <w:t xml:space="preserve"> status.</w:t>
      </w:r>
    </w:p>
    <w:p w14:paraId="062351BF" w14:textId="77777777" w:rsidR="00E41438" w:rsidRPr="00F209B7" w:rsidRDefault="00E41438" w:rsidP="00D66738">
      <w:pPr>
        <w:pStyle w:val="ListParagraph"/>
        <w:numPr>
          <w:ilvl w:val="0"/>
          <w:numId w:val="102"/>
        </w:numPr>
        <w:jc w:val="both"/>
      </w:pPr>
      <w:r w:rsidRPr="00F209B7">
        <w:t>Enterprises have the flexibility to find optimal solutions based on the scorecard approach.</w:t>
      </w:r>
    </w:p>
    <w:p w14:paraId="1403BCA5" w14:textId="77777777" w:rsidR="00E41438" w:rsidRPr="00F209B7" w:rsidRDefault="00E41438" w:rsidP="00D66738">
      <w:pPr>
        <w:pStyle w:val="ListParagraph"/>
        <w:numPr>
          <w:ilvl w:val="0"/>
          <w:numId w:val="102"/>
        </w:numPr>
        <w:jc w:val="both"/>
      </w:pPr>
      <w:r w:rsidRPr="00F209B7">
        <w:t>Enterprises will not all simply minimise compliance across the board but rather compete to improve performance.</w:t>
      </w:r>
    </w:p>
    <w:p w14:paraId="6E68B884" w14:textId="77777777" w:rsidR="00E41438" w:rsidRPr="00F209B7" w:rsidRDefault="00E41438" w:rsidP="00D66738">
      <w:pPr>
        <w:pStyle w:val="ListParagraph"/>
        <w:numPr>
          <w:ilvl w:val="0"/>
          <w:numId w:val="102"/>
        </w:numPr>
        <w:jc w:val="both"/>
      </w:pPr>
      <w:r w:rsidRPr="00F209B7">
        <w:t>Certification agencies will resolve the information problem for state agencies without unduly burdening the state or imposing excessive costs on enterprises, and they will not be corruptible or inaccurate.</w:t>
      </w:r>
    </w:p>
    <w:p w14:paraId="427B9118" w14:textId="77777777" w:rsidR="00E41438" w:rsidRPr="00F209B7" w:rsidRDefault="00E41438" w:rsidP="00D66738">
      <w:pPr>
        <w:pStyle w:val="Heading2"/>
        <w:numPr>
          <w:ilvl w:val="1"/>
          <w:numId w:val="143"/>
        </w:numPr>
        <w:ind w:left="0" w:firstLine="0"/>
        <w:jc w:val="both"/>
      </w:pPr>
      <w:bookmarkStart w:id="943" w:name="_Toc469585771"/>
      <w:bookmarkStart w:id="944" w:name="_Toc479843957"/>
      <w:bookmarkStart w:id="945" w:name="_Toc479844581"/>
      <w:bookmarkStart w:id="946" w:name="_Toc479940913"/>
      <w:r w:rsidRPr="00F209B7">
        <w:t>The impact on smaller enterprises</w:t>
      </w:r>
      <w:bookmarkEnd w:id="943"/>
      <w:bookmarkEnd w:id="944"/>
      <w:bookmarkEnd w:id="945"/>
      <w:bookmarkEnd w:id="946"/>
    </w:p>
    <w:p w14:paraId="3B764504" w14:textId="77777777" w:rsidR="00F87570" w:rsidRDefault="00E41438" w:rsidP="00D66738">
      <w:pPr>
        <w:jc w:val="both"/>
      </w:pPr>
      <w:r w:rsidRPr="00F209B7">
        <w:t>The impact of the BBBEE Codes on smaller enterprise var</w:t>
      </w:r>
      <w:r w:rsidR="00F87570">
        <w:t>ies</w:t>
      </w:r>
      <w:r w:rsidRPr="00F209B7">
        <w:t xml:space="preserve"> substantially depending on whether enterprises are black owned or not, and on their size. The Codes aim to foster growth of smaller black-owned and empowered enterprise, in part by imposing </w:t>
      </w:r>
      <w:r w:rsidR="00F87570">
        <w:t xml:space="preserve">both </w:t>
      </w:r>
      <w:r w:rsidRPr="00F209B7">
        <w:t xml:space="preserve">actual and opportunity costs on white formal enterprise of all sizes. </w:t>
      </w:r>
    </w:p>
    <w:p w14:paraId="197A2A5A" w14:textId="43428E2F" w:rsidR="00E41438" w:rsidRPr="00F209B7" w:rsidRDefault="00E41438" w:rsidP="00D66738">
      <w:pPr>
        <w:jc w:val="both"/>
      </w:pPr>
      <w:r w:rsidRPr="00F209B7">
        <w:t xml:space="preserve">Analysis of Statistics South Africa’s Labour Market Dynamics indicates that in 2015, around half of existing micro and small formal enterprises were black owned.  </w:t>
      </w:r>
    </w:p>
    <w:p w14:paraId="42FA4ABE" w14:textId="77777777" w:rsidR="00550A42" w:rsidRPr="00550A42" w:rsidRDefault="00550A42" w:rsidP="00D66738">
      <w:pPr>
        <w:pStyle w:val="ListParagraph"/>
        <w:keepNext/>
        <w:keepLines/>
        <w:numPr>
          <w:ilvl w:val="1"/>
          <w:numId w:val="145"/>
        </w:numPr>
        <w:spacing w:before="200"/>
        <w:jc w:val="both"/>
        <w:outlineLvl w:val="2"/>
        <w:rPr>
          <w:rFonts w:ascii="Calibri" w:eastAsiaTheme="majorEastAsia" w:hAnsi="Calibri" w:cstheme="majorBidi"/>
          <w:b/>
          <w:bCs/>
          <w:vanish/>
          <w:color w:val="1F497D" w:themeColor="text2"/>
        </w:rPr>
      </w:pPr>
      <w:bookmarkStart w:id="947" w:name="_Toc479853667"/>
      <w:bookmarkStart w:id="948" w:name="_Toc479853822"/>
      <w:bookmarkStart w:id="949" w:name="_Toc479862541"/>
      <w:bookmarkStart w:id="950" w:name="_Toc479864186"/>
      <w:bookmarkStart w:id="951" w:name="_Toc479939966"/>
      <w:bookmarkStart w:id="952" w:name="_Toc479940291"/>
      <w:bookmarkStart w:id="953" w:name="_Toc479940914"/>
      <w:bookmarkStart w:id="954" w:name="_Toc469410882"/>
      <w:bookmarkStart w:id="955" w:name="_Toc469585772"/>
      <w:bookmarkStart w:id="956" w:name="_Toc479843958"/>
      <w:bookmarkStart w:id="957" w:name="_Toc479844582"/>
      <w:bookmarkEnd w:id="947"/>
      <w:bookmarkEnd w:id="948"/>
      <w:bookmarkEnd w:id="949"/>
      <w:bookmarkEnd w:id="950"/>
      <w:bookmarkEnd w:id="951"/>
      <w:bookmarkEnd w:id="952"/>
      <w:bookmarkEnd w:id="953"/>
    </w:p>
    <w:p w14:paraId="2E946A34" w14:textId="77777777" w:rsidR="00550A42" w:rsidRPr="00550A42" w:rsidRDefault="00550A42" w:rsidP="00D66738">
      <w:pPr>
        <w:pStyle w:val="ListParagraph"/>
        <w:keepNext/>
        <w:keepLines/>
        <w:numPr>
          <w:ilvl w:val="1"/>
          <w:numId w:val="145"/>
        </w:numPr>
        <w:spacing w:before="200"/>
        <w:jc w:val="both"/>
        <w:outlineLvl w:val="2"/>
        <w:rPr>
          <w:rFonts w:ascii="Calibri" w:eastAsiaTheme="majorEastAsia" w:hAnsi="Calibri" w:cstheme="majorBidi"/>
          <w:b/>
          <w:bCs/>
          <w:vanish/>
          <w:color w:val="1F497D" w:themeColor="text2"/>
        </w:rPr>
      </w:pPr>
      <w:bookmarkStart w:id="958" w:name="_Toc479853668"/>
      <w:bookmarkStart w:id="959" w:name="_Toc479853823"/>
      <w:bookmarkStart w:id="960" w:name="_Toc479862542"/>
      <w:bookmarkStart w:id="961" w:name="_Toc479864187"/>
      <w:bookmarkStart w:id="962" w:name="_Toc479939967"/>
      <w:bookmarkStart w:id="963" w:name="_Toc479940292"/>
      <w:bookmarkStart w:id="964" w:name="_Toc479940915"/>
      <w:bookmarkEnd w:id="958"/>
      <w:bookmarkEnd w:id="959"/>
      <w:bookmarkEnd w:id="960"/>
      <w:bookmarkEnd w:id="961"/>
      <w:bookmarkEnd w:id="962"/>
      <w:bookmarkEnd w:id="963"/>
      <w:bookmarkEnd w:id="964"/>
    </w:p>
    <w:p w14:paraId="39B6090B" w14:textId="77777777" w:rsidR="00550A42" w:rsidRPr="00550A42" w:rsidRDefault="00550A42" w:rsidP="00D66738">
      <w:pPr>
        <w:pStyle w:val="ListParagraph"/>
        <w:keepNext/>
        <w:keepLines/>
        <w:numPr>
          <w:ilvl w:val="1"/>
          <w:numId w:val="145"/>
        </w:numPr>
        <w:spacing w:before="200"/>
        <w:jc w:val="both"/>
        <w:outlineLvl w:val="2"/>
        <w:rPr>
          <w:rFonts w:ascii="Calibri" w:eastAsiaTheme="majorEastAsia" w:hAnsi="Calibri" w:cstheme="majorBidi"/>
          <w:b/>
          <w:bCs/>
          <w:vanish/>
          <w:color w:val="1F497D" w:themeColor="text2"/>
        </w:rPr>
      </w:pPr>
      <w:bookmarkStart w:id="965" w:name="_Toc479853669"/>
      <w:bookmarkStart w:id="966" w:name="_Toc479853824"/>
      <w:bookmarkStart w:id="967" w:name="_Toc479862543"/>
      <w:bookmarkStart w:id="968" w:name="_Toc479864188"/>
      <w:bookmarkStart w:id="969" w:name="_Toc479939968"/>
      <w:bookmarkStart w:id="970" w:name="_Toc479940293"/>
      <w:bookmarkStart w:id="971" w:name="_Toc479940916"/>
      <w:bookmarkEnd w:id="965"/>
      <w:bookmarkEnd w:id="966"/>
      <w:bookmarkEnd w:id="967"/>
      <w:bookmarkEnd w:id="968"/>
      <w:bookmarkEnd w:id="969"/>
      <w:bookmarkEnd w:id="970"/>
      <w:bookmarkEnd w:id="971"/>
    </w:p>
    <w:p w14:paraId="7E8A3DB1" w14:textId="77777777" w:rsidR="00550A42" w:rsidRPr="00550A42" w:rsidRDefault="00550A42" w:rsidP="00D66738">
      <w:pPr>
        <w:pStyle w:val="ListParagraph"/>
        <w:keepNext/>
        <w:keepLines/>
        <w:numPr>
          <w:ilvl w:val="1"/>
          <w:numId w:val="145"/>
        </w:numPr>
        <w:spacing w:before="200"/>
        <w:jc w:val="both"/>
        <w:outlineLvl w:val="2"/>
        <w:rPr>
          <w:rFonts w:ascii="Calibri" w:eastAsiaTheme="majorEastAsia" w:hAnsi="Calibri" w:cstheme="majorBidi"/>
          <w:b/>
          <w:bCs/>
          <w:vanish/>
          <w:color w:val="1F497D" w:themeColor="text2"/>
        </w:rPr>
      </w:pPr>
      <w:bookmarkStart w:id="972" w:name="_Toc479853670"/>
      <w:bookmarkStart w:id="973" w:name="_Toc479853825"/>
      <w:bookmarkStart w:id="974" w:name="_Toc479862544"/>
      <w:bookmarkStart w:id="975" w:name="_Toc479864189"/>
      <w:bookmarkStart w:id="976" w:name="_Toc479939969"/>
      <w:bookmarkStart w:id="977" w:name="_Toc479940294"/>
      <w:bookmarkStart w:id="978" w:name="_Toc479940917"/>
      <w:bookmarkEnd w:id="972"/>
      <w:bookmarkEnd w:id="973"/>
      <w:bookmarkEnd w:id="974"/>
      <w:bookmarkEnd w:id="975"/>
      <w:bookmarkEnd w:id="976"/>
      <w:bookmarkEnd w:id="977"/>
      <w:bookmarkEnd w:id="978"/>
    </w:p>
    <w:p w14:paraId="522CBBC2" w14:textId="77777777" w:rsidR="00550A42" w:rsidRPr="00550A42" w:rsidRDefault="00550A42" w:rsidP="00D66738">
      <w:pPr>
        <w:pStyle w:val="ListParagraph"/>
        <w:keepNext/>
        <w:keepLines/>
        <w:numPr>
          <w:ilvl w:val="0"/>
          <w:numId w:val="141"/>
        </w:numPr>
        <w:spacing w:before="200"/>
        <w:jc w:val="both"/>
        <w:outlineLvl w:val="2"/>
        <w:rPr>
          <w:rFonts w:ascii="Calibri" w:eastAsiaTheme="majorEastAsia" w:hAnsi="Calibri" w:cstheme="majorBidi"/>
          <w:b/>
          <w:bCs/>
          <w:vanish/>
          <w:color w:val="1F497D" w:themeColor="text2"/>
        </w:rPr>
      </w:pPr>
      <w:bookmarkStart w:id="979" w:name="_Toc479853671"/>
      <w:bookmarkStart w:id="980" w:name="_Toc479853826"/>
      <w:bookmarkStart w:id="981" w:name="_Toc479862545"/>
      <w:bookmarkStart w:id="982" w:name="_Toc479864190"/>
      <w:bookmarkStart w:id="983" w:name="_Toc479939970"/>
      <w:bookmarkStart w:id="984" w:name="_Toc479940295"/>
      <w:bookmarkStart w:id="985" w:name="_Toc479940918"/>
      <w:bookmarkEnd w:id="979"/>
      <w:bookmarkEnd w:id="980"/>
      <w:bookmarkEnd w:id="981"/>
      <w:bookmarkEnd w:id="982"/>
      <w:bookmarkEnd w:id="983"/>
      <w:bookmarkEnd w:id="984"/>
      <w:bookmarkEnd w:id="985"/>
    </w:p>
    <w:p w14:paraId="4155F1F0" w14:textId="77777777" w:rsidR="00550A42" w:rsidRPr="00550A42" w:rsidRDefault="00550A42" w:rsidP="00D66738">
      <w:pPr>
        <w:pStyle w:val="ListParagraph"/>
        <w:keepNext/>
        <w:keepLines/>
        <w:numPr>
          <w:ilvl w:val="1"/>
          <w:numId w:val="141"/>
        </w:numPr>
        <w:spacing w:before="200"/>
        <w:jc w:val="both"/>
        <w:outlineLvl w:val="2"/>
        <w:rPr>
          <w:rFonts w:ascii="Calibri" w:eastAsiaTheme="majorEastAsia" w:hAnsi="Calibri" w:cstheme="majorBidi"/>
          <w:b/>
          <w:bCs/>
          <w:vanish/>
          <w:color w:val="1F497D" w:themeColor="text2"/>
        </w:rPr>
      </w:pPr>
      <w:bookmarkStart w:id="986" w:name="_Toc479853672"/>
      <w:bookmarkStart w:id="987" w:name="_Toc479853827"/>
      <w:bookmarkStart w:id="988" w:name="_Toc479862546"/>
      <w:bookmarkStart w:id="989" w:name="_Toc479864191"/>
      <w:bookmarkStart w:id="990" w:name="_Toc479939971"/>
      <w:bookmarkStart w:id="991" w:name="_Toc479940296"/>
      <w:bookmarkStart w:id="992" w:name="_Toc479940919"/>
      <w:bookmarkEnd w:id="986"/>
      <w:bookmarkEnd w:id="987"/>
      <w:bookmarkEnd w:id="988"/>
      <w:bookmarkEnd w:id="989"/>
      <w:bookmarkEnd w:id="990"/>
      <w:bookmarkEnd w:id="991"/>
      <w:bookmarkEnd w:id="992"/>
    </w:p>
    <w:p w14:paraId="7EB76FFF" w14:textId="192BD34D" w:rsidR="00E41438" w:rsidRPr="00F209B7" w:rsidRDefault="00E41438" w:rsidP="00D66738">
      <w:pPr>
        <w:pStyle w:val="Heading3"/>
        <w:numPr>
          <w:ilvl w:val="2"/>
          <w:numId w:val="141"/>
        </w:numPr>
        <w:ind w:left="504"/>
        <w:jc w:val="both"/>
      </w:pPr>
      <w:bookmarkStart w:id="993" w:name="_Toc479940920"/>
      <w:r w:rsidRPr="00F209B7">
        <w:t>The cost of implementation</w:t>
      </w:r>
      <w:bookmarkEnd w:id="954"/>
      <w:bookmarkEnd w:id="955"/>
      <w:bookmarkEnd w:id="956"/>
      <w:bookmarkEnd w:id="957"/>
      <w:bookmarkEnd w:id="993"/>
    </w:p>
    <w:p w14:paraId="5E507768" w14:textId="77777777" w:rsidR="00E41438" w:rsidRPr="00F209B7" w:rsidRDefault="00E41438" w:rsidP="00D66738">
      <w:pPr>
        <w:jc w:val="both"/>
      </w:pPr>
      <w:r w:rsidRPr="00F209B7">
        <w:t>The cost of implementation differs if the small business is white or black owned as well as if it is small or micro.</w:t>
      </w:r>
    </w:p>
    <w:p w14:paraId="5001AEAA" w14:textId="5E769176" w:rsidR="00E41438" w:rsidRPr="00F209B7" w:rsidRDefault="00E41438" w:rsidP="00D66738">
      <w:pPr>
        <w:jc w:val="both"/>
      </w:pPr>
      <w:r w:rsidRPr="00F209B7">
        <w:t xml:space="preserve">EMEs and black-owned QSEs only have to supply an affidavit or CIPC certificate to be exempt from </w:t>
      </w:r>
      <w:r w:rsidR="00F87570">
        <w:t xml:space="preserve">BBBEE </w:t>
      </w:r>
      <w:r w:rsidRPr="00F209B7">
        <w:t xml:space="preserve">certification. </w:t>
      </w:r>
      <w:r w:rsidR="00F87570">
        <w:t>Both a</w:t>
      </w:r>
      <w:r w:rsidRPr="00F209B7">
        <w:t xml:space="preserve">ffidavits and CIPC certificates are free. </w:t>
      </w:r>
      <w:r w:rsidR="00F87570">
        <w:t>Nonetheless, some</w:t>
      </w:r>
      <w:r w:rsidRPr="00F209B7">
        <w:t xml:space="preserve"> verification agencies charge </w:t>
      </w:r>
      <w:r w:rsidR="00F87570">
        <w:t xml:space="preserve">for </w:t>
      </w:r>
      <w:r w:rsidRPr="00F209B7">
        <w:t xml:space="preserve">BBBEE verification for EMEs, </w:t>
      </w:r>
      <w:r w:rsidR="00F87570">
        <w:t xml:space="preserve">with reported fees running from </w:t>
      </w:r>
      <w:r w:rsidRPr="00F209B7">
        <w:t>R460 to R1037.</w:t>
      </w:r>
      <w:r w:rsidR="00F87570">
        <w:t xml:space="preserve"> </w:t>
      </w:r>
    </w:p>
    <w:p w14:paraId="6B96A073" w14:textId="77777777" w:rsidR="00E41438" w:rsidRPr="00F209B7" w:rsidRDefault="00E41438" w:rsidP="00D66738">
      <w:pPr>
        <w:jc w:val="both"/>
      </w:pPr>
      <w:r w:rsidRPr="00F209B7">
        <w:t>White-owned small enterprise and all medium enterprise have to:</w:t>
      </w:r>
    </w:p>
    <w:p w14:paraId="0C963CD0" w14:textId="77777777" w:rsidR="00E41438" w:rsidRPr="00F209B7" w:rsidRDefault="00E41438" w:rsidP="00D66738">
      <w:pPr>
        <w:pStyle w:val="ListParagraph"/>
        <w:numPr>
          <w:ilvl w:val="0"/>
          <w:numId w:val="103"/>
        </w:numPr>
        <w:jc w:val="both"/>
      </w:pPr>
      <w:r w:rsidRPr="00F209B7">
        <w:t>pay a verification agency, with the costs and effort varying significantly from agency to agency, and</w:t>
      </w:r>
    </w:p>
    <w:p w14:paraId="7AA7B3BA" w14:textId="72CDF0C3" w:rsidR="00E41438" w:rsidRPr="00F209B7" w:rsidRDefault="00E41438" w:rsidP="00D66738">
      <w:pPr>
        <w:pStyle w:val="ListParagraph"/>
        <w:numPr>
          <w:ilvl w:val="0"/>
          <w:numId w:val="103"/>
        </w:numPr>
        <w:jc w:val="both"/>
      </w:pPr>
      <w:r w:rsidRPr="00F209B7">
        <w:t xml:space="preserve">set up systems to generate </w:t>
      </w:r>
      <w:r w:rsidR="00F87570">
        <w:t>information on BBBEE compliance, including amongst others employment, procurement and training by race</w:t>
      </w:r>
      <w:r w:rsidRPr="00F209B7">
        <w:t>.</w:t>
      </w:r>
    </w:p>
    <w:p w14:paraId="7C6FBAC2" w14:textId="77777777" w:rsidR="00F87570" w:rsidRDefault="00E41438" w:rsidP="00D66738">
      <w:pPr>
        <w:jc w:val="both"/>
      </w:pPr>
      <w:r w:rsidRPr="00F209B7">
        <w:t>Verification for QSEs can range from about R6 000 to R10 000, depending on the complexity of the enterprise</w:t>
      </w:r>
      <w:r w:rsidR="00F87570">
        <w:t>. The process</w:t>
      </w:r>
      <w:r w:rsidRPr="00F209B7">
        <w:t xml:space="preserve"> can span </w:t>
      </w:r>
      <w:r w:rsidR="00F87570">
        <w:t xml:space="preserve">from two </w:t>
      </w:r>
      <w:r w:rsidRPr="00F209B7">
        <w:t xml:space="preserve">weeks to as much as </w:t>
      </w:r>
      <w:r w:rsidR="00F87570">
        <w:t>three</w:t>
      </w:r>
      <w:r w:rsidRPr="00F209B7">
        <w:t xml:space="preserve"> months. </w:t>
      </w:r>
    </w:p>
    <w:p w14:paraId="331E3531" w14:textId="428C52B3" w:rsidR="00E41438" w:rsidRPr="00F209B7" w:rsidRDefault="00E41438" w:rsidP="00D66738">
      <w:pPr>
        <w:jc w:val="both"/>
      </w:pPr>
      <w:r w:rsidRPr="00F209B7">
        <w:t xml:space="preserve">All of these are estimates based on the verification agencies that </w:t>
      </w:r>
      <w:r w:rsidR="00F87570">
        <w:t xml:space="preserve">list </w:t>
      </w:r>
      <w:r w:rsidRPr="00F209B7">
        <w:t>their rates and average verification times on their website</w:t>
      </w:r>
      <w:r w:rsidR="00F87570">
        <w:t xml:space="preserve">. Most verification agencies, however, do not publish this information. </w:t>
      </w:r>
      <w:r w:rsidRPr="00F209B7">
        <w:t xml:space="preserve"> </w:t>
      </w:r>
    </w:p>
    <w:p w14:paraId="28EB7A0F" w14:textId="77777777" w:rsidR="00E41438" w:rsidRPr="00F209B7" w:rsidRDefault="00E41438" w:rsidP="00D66738">
      <w:pPr>
        <w:pStyle w:val="Heading3"/>
        <w:numPr>
          <w:ilvl w:val="2"/>
          <w:numId w:val="141"/>
        </w:numPr>
        <w:ind w:left="504"/>
        <w:jc w:val="both"/>
      </w:pPr>
      <w:bookmarkStart w:id="994" w:name="_Toc469410883"/>
      <w:bookmarkStart w:id="995" w:name="_Toc469585773"/>
      <w:bookmarkStart w:id="996" w:name="_Toc479843959"/>
      <w:bookmarkStart w:id="997" w:name="_Toc479844583"/>
      <w:bookmarkStart w:id="998" w:name="_Toc479940921"/>
      <w:r w:rsidRPr="00F209B7">
        <w:t>Administrative costs</w:t>
      </w:r>
      <w:bookmarkEnd w:id="994"/>
      <w:bookmarkEnd w:id="995"/>
      <w:bookmarkEnd w:id="996"/>
      <w:bookmarkEnd w:id="997"/>
      <w:bookmarkEnd w:id="998"/>
    </w:p>
    <w:p w14:paraId="6CB66272" w14:textId="77777777" w:rsidR="00E41438" w:rsidRPr="00F209B7" w:rsidRDefault="00E41438" w:rsidP="00D66738">
      <w:pPr>
        <w:jc w:val="both"/>
      </w:pPr>
      <w:r w:rsidRPr="00F209B7">
        <w:t xml:space="preserve">Enterprises have to obtain annual certification, although the differentiation based on size and ownership is replicated. </w:t>
      </w:r>
    </w:p>
    <w:p w14:paraId="2BEB96D1" w14:textId="5FF4ECCF" w:rsidR="00E41438" w:rsidRPr="00F209B7" w:rsidRDefault="00F87570" w:rsidP="00D66738">
      <w:pPr>
        <w:jc w:val="both"/>
      </w:pPr>
      <w:r>
        <w:t>Informants argued that c</w:t>
      </w:r>
      <w:r w:rsidR="00E41438" w:rsidRPr="00F209B7">
        <w:t xml:space="preserve">hanges in the BBBEE Codes </w:t>
      </w:r>
      <w:r>
        <w:t xml:space="preserve">in 2013 required significant shifts in both information systems and compliance. They saw the change as adding to uncertainty, although it formed part of a regular ten-year review process. </w:t>
      </w:r>
    </w:p>
    <w:p w14:paraId="08059CE2" w14:textId="77777777" w:rsidR="00E41438" w:rsidRPr="00F209B7" w:rsidRDefault="00E41438" w:rsidP="00D66738">
      <w:pPr>
        <w:pStyle w:val="Heading3"/>
        <w:numPr>
          <w:ilvl w:val="2"/>
          <w:numId w:val="141"/>
        </w:numPr>
        <w:ind w:left="504"/>
        <w:jc w:val="both"/>
      </w:pPr>
      <w:bookmarkStart w:id="999" w:name="_Toc469410884"/>
      <w:bookmarkStart w:id="1000" w:name="_Toc469585774"/>
      <w:bookmarkStart w:id="1001" w:name="_Toc479843960"/>
      <w:bookmarkStart w:id="1002" w:name="_Toc479844584"/>
      <w:bookmarkStart w:id="1003" w:name="_Toc479940922"/>
      <w:r w:rsidRPr="00F209B7">
        <w:lastRenderedPageBreak/>
        <w:t>Costs and benefits that are integral to the desired outcome</w:t>
      </w:r>
      <w:bookmarkEnd w:id="999"/>
      <w:bookmarkEnd w:id="1000"/>
      <w:bookmarkEnd w:id="1001"/>
      <w:bookmarkEnd w:id="1002"/>
      <w:bookmarkEnd w:id="1003"/>
    </w:p>
    <w:p w14:paraId="5A602C1E" w14:textId="77777777" w:rsidR="00E41438" w:rsidRPr="00F209B7" w:rsidRDefault="00E41438" w:rsidP="00D66738">
      <w:pPr>
        <w:jc w:val="both"/>
      </w:pPr>
      <w:r w:rsidRPr="00F209B7">
        <w:t>The benefits are:</w:t>
      </w:r>
    </w:p>
    <w:p w14:paraId="36896692" w14:textId="5168CD9B" w:rsidR="00E41438" w:rsidRPr="00F209B7" w:rsidRDefault="00E41438" w:rsidP="00D66738">
      <w:pPr>
        <w:pStyle w:val="ListParagraph"/>
        <w:numPr>
          <w:ilvl w:val="0"/>
          <w:numId w:val="104"/>
        </w:numPr>
        <w:jc w:val="both"/>
      </w:pPr>
      <w:r w:rsidRPr="00F209B7">
        <w:t xml:space="preserve">Micro and small enterprises with high </w:t>
      </w:r>
      <w:r w:rsidR="00F87570">
        <w:t>BB</w:t>
      </w:r>
      <w:r w:rsidRPr="00F209B7">
        <w:t xml:space="preserve">BEE rankings should benefit from increased procurement and support from larger private enterprise as well as improved conditions in competing for state procurement and licences. </w:t>
      </w:r>
    </w:p>
    <w:p w14:paraId="5030C98D" w14:textId="084B22F0" w:rsidR="00E41438" w:rsidRPr="00F209B7" w:rsidRDefault="00E41438" w:rsidP="00D66738">
      <w:pPr>
        <w:pStyle w:val="ListParagraph"/>
        <w:numPr>
          <w:ilvl w:val="0"/>
          <w:numId w:val="104"/>
        </w:numPr>
        <w:jc w:val="both"/>
      </w:pPr>
      <w:r w:rsidRPr="00F209B7">
        <w:t xml:space="preserve">Small </w:t>
      </w:r>
      <w:r w:rsidR="00F87570">
        <w:t xml:space="preserve">white-owned business </w:t>
      </w:r>
      <w:r w:rsidRPr="00F209B7">
        <w:t xml:space="preserve">would become more productive if they broadened the pool of skills and suppliers to become more representative. Research internationally indicates that more diverse companies perform better in the long run. </w:t>
      </w:r>
    </w:p>
    <w:p w14:paraId="7AB1103E" w14:textId="77777777" w:rsidR="00E41438" w:rsidRPr="00F209B7" w:rsidRDefault="00E41438" w:rsidP="00D66738">
      <w:pPr>
        <w:jc w:val="both"/>
      </w:pPr>
      <w:r w:rsidRPr="00F209B7">
        <w:t>The costs are:</w:t>
      </w:r>
    </w:p>
    <w:p w14:paraId="75C91B8C" w14:textId="3710380F" w:rsidR="00E41438" w:rsidRPr="00F209B7" w:rsidRDefault="00E41438" w:rsidP="00D66738">
      <w:pPr>
        <w:pStyle w:val="ListParagraph"/>
        <w:numPr>
          <w:ilvl w:val="0"/>
          <w:numId w:val="105"/>
        </w:numPr>
        <w:jc w:val="both"/>
      </w:pPr>
      <w:r w:rsidRPr="00F209B7">
        <w:t xml:space="preserve">White-owned small and micro enterprises could experience a loss of sales to both the public and private sector since they could not compete with black-owned small and micro enterprises for state benefits. They could also be hindered because they might not qualify as easily for licences and other benefits. Alternatively, they would have to meet the costs of significant changes to meet </w:t>
      </w:r>
      <w:r w:rsidR="00F87570">
        <w:t>BBBEE</w:t>
      </w:r>
      <w:r w:rsidRPr="00F209B7">
        <w:t xml:space="preserve"> criteria. A particular challenge is that many small white-owned companies are not profitable enough to attract black owners or managers. </w:t>
      </w:r>
    </w:p>
    <w:p w14:paraId="3F32C1F8" w14:textId="77777777" w:rsidR="00E41438" w:rsidRDefault="00E41438" w:rsidP="00D66738">
      <w:pPr>
        <w:pStyle w:val="ListParagraph"/>
        <w:numPr>
          <w:ilvl w:val="0"/>
          <w:numId w:val="105"/>
        </w:numPr>
        <w:jc w:val="both"/>
      </w:pPr>
      <w:r w:rsidRPr="00F209B7">
        <w:t xml:space="preserve">Local producers could lose out compared to small importers because of higher costs and because they are more likely to be white-owned. The reason for this is that it is easier to establish an import agency than to initiate local production. The Emerging Suppliers requirements for micro and small enterprises can be met by employing mostly black people or by assisting other micro and small enterprises, rather than through local production. </w:t>
      </w:r>
    </w:p>
    <w:p w14:paraId="6279C4AE" w14:textId="46E48B25" w:rsidR="001D5B93" w:rsidRPr="00F209B7" w:rsidRDefault="001D5B93" w:rsidP="00D66738">
      <w:pPr>
        <w:jc w:val="both"/>
      </w:pPr>
      <w:r>
        <w:t xml:space="preserve">In the event, informants were reluctant to discuss the substantive costs for small business as opposed to administrative burdens, especially around verification. Increased research is required to understand the net impact on small business of achieving BBBEE targets. </w:t>
      </w:r>
    </w:p>
    <w:p w14:paraId="0021371F" w14:textId="467A87A9" w:rsidR="00E41438" w:rsidRPr="00F209B7" w:rsidRDefault="00777101" w:rsidP="00D66738">
      <w:pPr>
        <w:pStyle w:val="Heading2"/>
        <w:numPr>
          <w:ilvl w:val="1"/>
          <w:numId w:val="143"/>
        </w:numPr>
        <w:ind w:left="0" w:firstLine="0"/>
        <w:jc w:val="both"/>
      </w:pPr>
      <w:bookmarkStart w:id="1004" w:name="_Toc479843961"/>
      <w:bookmarkStart w:id="1005" w:name="_Toc479844585"/>
      <w:bookmarkStart w:id="1006" w:name="_Toc479940923"/>
      <w:r>
        <w:t>Options</w:t>
      </w:r>
      <w:bookmarkEnd w:id="1004"/>
      <w:bookmarkEnd w:id="1005"/>
      <w:bookmarkEnd w:id="1006"/>
    </w:p>
    <w:p w14:paraId="1DF2BA42" w14:textId="77777777" w:rsidR="00550A42" w:rsidRPr="00550A42" w:rsidRDefault="00550A42" w:rsidP="00D66738">
      <w:pPr>
        <w:pStyle w:val="ListParagraph"/>
        <w:keepNext/>
        <w:keepLines/>
        <w:numPr>
          <w:ilvl w:val="1"/>
          <w:numId w:val="145"/>
        </w:numPr>
        <w:spacing w:before="200"/>
        <w:jc w:val="both"/>
        <w:outlineLvl w:val="2"/>
        <w:rPr>
          <w:rFonts w:ascii="Calibri" w:eastAsiaTheme="majorEastAsia" w:hAnsi="Calibri" w:cstheme="majorBidi"/>
          <w:b/>
          <w:bCs/>
          <w:vanish/>
          <w:color w:val="1F497D" w:themeColor="text2"/>
        </w:rPr>
      </w:pPr>
      <w:bookmarkStart w:id="1007" w:name="_Toc479853677"/>
      <w:bookmarkStart w:id="1008" w:name="_Toc479853832"/>
      <w:bookmarkStart w:id="1009" w:name="_Toc479862551"/>
      <w:bookmarkStart w:id="1010" w:name="_Toc479864196"/>
      <w:bookmarkStart w:id="1011" w:name="_Toc479939976"/>
      <w:bookmarkStart w:id="1012" w:name="_Toc479940301"/>
      <w:bookmarkStart w:id="1013" w:name="_Toc479940924"/>
      <w:bookmarkStart w:id="1014" w:name="_Toc479843962"/>
      <w:bookmarkStart w:id="1015" w:name="_Toc479844586"/>
      <w:bookmarkEnd w:id="1007"/>
      <w:bookmarkEnd w:id="1008"/>
      <w:bookmarkEnd w:id="1009"/>
      <w:bookmarkEnd w:id="1010"/>
      <w:bookmarkEnd w:id="1011"/>
      <w:bookmarkEnd w:id="1012"/>
      <w:bookmarkEnd w:id="1013"/>
    </w:p>
    <w:p w14:paraId="4B0D4884" w14:textId="77777777" w:rsidR="00550A42" w:rsidRPr="00550A42" w:rsidRDefault="00550A42" w:rsidP="00D66738">
      <w:pPr>
        <w:pStyle w:val="ListParagraph"/>
        <w:keepNext/>
        <w:keepLines/>
        <w:numPr>
          <w:ilvl w:val="1"/>
          <w:numId w:val="145"/>
        </w:numPr>
        <w:spacing w:before="200"/>
        <w:jc w:val="both"/>
        <w:outlineLvl w:val="2"/>
        <w:rPr>
          <w:rFonts w:ascii="Calibri" w:eastAsiaTheme="majorEastAsia" w:hAnsi="Calibri" w:cstheme="majorBidi"/>
          <w:b/>
          <w:bCs/>
          <w:vanish/>
          <w:color w:val="1F497D" w:themeColor="text2"/>
        </w:rPr>
      </w:pPr>
      <w:bookmarkStart w:id="1016" w:name="_Toc479853678"/>
      <w:bookmarkStart w:id="1017" w:name="_Toc479853833"/>
      <w:bookmarkStart w:id="1018" w:name="_Toc479862552"/>
      <w:bookmarkStart w:id="1019" w:name="_Toc479864197"/>
      <w:bookmarkStart w:id="1020" w:name="_Toc479939977"/>
      <w:bookmarkStart w:id="1021" w:name="_Toc479940302"/>
      <w:bookmarkStart w:id="1022" w:name="_Toc479940925"/>
      <w:bookmarkEnd w:id="1016"/>
      <w:bookmarkEnd w:id="1017"/>
      <w:bookmarkEnd w:id="1018"/>
      <w:bookmarkEnd w:id="1019"/>
      <w:bookmarkEnd w:id="1020"/>
      <w:bookmarkEnd w:id="1021"/>
      <w:bookmarkEnd w:id="1022"/>
    </w:p>
    <w:p w14:paraId="441C246A" w14:textId="77777777" w:rsidR="00550A42" w:rsidRPr="00550A42" w:rsidRDefault="00550A42" w:rsidP="00D66738">
      <w:pPr>
        <w:pStyle w:val="ListParagraph"/>
        <w:keepNext/>
        <w:keepLines/>
        <w:numPr>
          <w:ilvl w:val="1"/>
          <w:numId w:val="145"/>
        </w:numPr>
        <w:spacing w:before="200"/>
        <w:jc w:val="both"/>
        <w:outlineLvl w:val="2"/>
        <w:rPr>
          <w:rFonts w:ascii="Calibri" w:eastAsiaTheme="majorEastAsia" w:hAnsi="Calibri" w:cstheme="majorBidi"/>
          <w:b/>
          <w:bCs/>
          <w:vanish/>
          <w:color w:val="1F497D" w:themeColor="text2"/>
        </w:rPr>
      </w:pPr>
      <w:bookmarkStart w:id="1023" w:name="_Toc479853679"/>
      <w:bookmarkStart w:id="1024" w:name="_Toc479853834"/>
      <w:bookmarkStart w:id="1025" w:name="_Toc479862553"/>
      <w:bookmarkStart w:id="1026" w:name="_Toc479864198"/>
      <w:bookmarkStart w:id="1027" w:name="_Toc479939978"/>
      <w:bookmarkStart w:id="1028" w:name="_Toc479940303"/>
      <w:bookmarkStart w:id="1029" w:name="_Toc479940926"/>
      <w:bookmarkEnd w:id="1023"/>
      <w:bookmarkEnd w:id="1024"/>
      <w:bookmarkEnd w:id="1025"/>
      <w:bookmarkEnd w:id="1026"/>
      <w:bookmarkEnd w:id="1027"/>
      <w:bookmarkEnd w:id="1028"/>
      <w:bookmarkEnd w:id="1029"/>
    </w:p>
    <w:p w14:paraId="5580739B" w14:textId="77777777" w:rsidR="00550A42" w:rsidRPr="00550A42" w:rsidRDefault="00550A42" w:rsidP="00D66738">
      <w:pPr>
        <w:pStyle w:val="ListParagraph"/>
        <w:keepNext/>
        <w:keepLines/>
        <w:numPr>
          <w:ilvl w:val="1"/>
          <w:numId w:val="145"/>
        </w:numPr>
        <w:spacing w:before="200"/>
        <w:jc w:val="both"/>
        <w:outlineLvl w:val="2"/>
        <w:rPr>
          <w:rFonts w:ascii="Calibri" w:eastAsiaTheme="majorEastAsia" w:hAnsi="Calibri" w:cstheme="majorBidi"/>
          <w:b/>
          <w:bCs/>
          <w:vanish/>
          <w:color w:val="1F497D" w:themeColor="text2"/>
        </w:rPr>
      </w:pPr>
      <w:bookmarkStart w:id="1030" w:name="_Toc479853680"/>
      <w:bookmarkStart w:id="1031" w:name="_Toc479853835"/>
      <w:bookmarkStart w:id="1032" w:name="_Toc479862554"/>
      <w:bookmarkStart w:id="1033" w:name="_Toc479864199"/>
      <w:bookmarkStart w:id="1034" w:name="_Toc479939979"/>
      <w:bookmarkStart w:id="1035" w:name="_Toc479940304"/>
      <w:bookmarkStart w:id="1036" w:name="_Toc479940927"/>
      <w:bookmarkEnd w:id="1030"/>
      <w:bookmarkEnd w:id="1031"/>
      <w:bookmarkEnd w:id="1032"/>
      <w:bookmarkEnd w:id="1033"/>
      <w:bookmarkEnd w:id="1034"/>
      <w:bookmarkEnd w:id="1035"/>
      <w:bookmarkEnd w:id="1036"/>
    </w:p>
    <w:p w14:paraId="75E2ABB3" w14:textId="06ADD2E6" w:rsidR="00777101" w:rsidRDefault="00777101" w:rsidP="00D66738">
      <w:pPr>
        <w:pStyle w:val="Heading3"/>
        <w:numPr>
          <w:ilvl w:val="2"/>
          <w:numId w:val="147"/>
        </w:numPr>
        <w:ind w:left="0" w:firstLine="0"/>
        <w:jc w:val="both"/>
      </w:pPr>
      <w:bookmarkStart w:id="1037" w:name="_Toc479940928"/>
      <w:r>
        <w:t>Assessment of options</w:t>
      </w:r>
      <w:bookmarkEnd w:id="1014"/>
      <w:bookmarkEnd w:id="1015"/>
      <w:bookmarkEnd w:id="1037"/>
    </w:p>
    <w:p w14:paraId="154C41E8" w14:textId="4908DCCA" w:rsidR="00E41438" w:rsidRPr="00F209B7" w:rsidRDefault="001D5B93" w:rsidP="00D66738">
      <w:pPr>
        <w:jc w:val="both"/>
      </w:pPr>
      <w:r>
        <w:t xml:space="preserve">The options here focus on managing the administrative costs of BBBEE requirements for small business. In particular, </w:t>
      </w:r>
    </w:p>
    <w:p w14:paraId="0E2171A9" w14:textId="0D6712B1" w:rsidR="00E41438" w:rsidRPr="00F87570" w:rsidRDefault="00E41438" w:rsidP="00D66738">
      <w:pPr>
        <w:pStyle w:val="ListParagraph"/>
        <w:numPr>
          <w:ilvl w:val="0"/>
          <w:numId w:val="106"/>
        </w:numPr>
        <w:jc w:val="both"/>
        <w:rPr>
          <w:rFonts w:ascii="Calibri" w:eastAsia="Calibri" w:hAnsi="Calibri" w:cs="Times New Roman"/>
          <w:szCs w:val="24"/>
        </w:rPr>
      </w:pPr>
      <w:bookmarkStart w:id="1038" w:name="_Toc469585804"/>
      <w:r w:rsidRPr="00F209B7">
        <w:t>There is no guidance framework for pricing and time taken for verification</w:t>
      </w:r>
    </w:p>
    <w:p w14:paraId="3C50A2E2" w14:textId="37F98A07" w:rsidR="001139E2" w:rsidRPr="001D5B93" w:rsidRDefault="002B793E" w:rsidP="00D66738">
      <w:pPr>
        <w:pStyle w:val="ListParagraph"/>
        <w:numPr>
          <w:ilvl w:val="0"/>
          <w:numId w:val="106"/>
        </w:numPr>
        <w:jc w:val="both"/>
        <w:rPr>
          <w:rFonts w:ascii="Calibri" w:eastAsia="Calibri" w:hAnsi="Calibri" w:cs="Times New Roman"/>
          <w:szCs w:val="24"/>
        </w:rPr>
      </w:pPr>
      <w:r>
        <w:t>Informants complain</w:t>
      </w:r>
      <w:r w:rsidR="001139E2" w:rsidRPr="00F209B7">
        <w:t xml:space="preserve"> that </w:t>
      </w:r>
      <w:r>
        <w:t>state-</w:t>
      </w:r>
      <w:r w:rsidRPr="00F209B7">
        <w:t>ow</w:t>
      </w:r>
      <w:r>
        <w:t>n</w:t>
      </w:r>
      <w:r w:rsidRPr="00F209B7">
        <w:t xml:space="preserve">ed </w:t>
      </w:r>
      <w:r>
        <w:t xml:space="preserve">companies </w:t>
      </w:r>
      <w:r w:rsidRPr="00F209B7">
        <w:t xml:space="preserve">and municipalities </w:t>
      </w:r>
      <w:r w:rsidR="001139E2" w:rsidRPr="00F209B7">
        <w:t>sometimes do not accept affidavit</w:t>
      </w:r>
      <w:r>
        <w:t>s</w:t>
      </w:r>
      <w:r w:rsidR="001139E2" w:rsidRPr="00F209B7">
        <w:t xml:space="preserve"> as evidence that the company is a</w:t>
      </w:r>
      <w:r w:rsidR="001D5B93">
        <w:t>n</w:t>
      </w:r>
      <w:r w:rsidR="001139E2" w:rsidRPr="00F209B7">
        <w:t xml:space="preserve"> EME</w:t>
      </w:r>
      <w:r w:rsidR="001D5B93">
        <w:t>.</w:t>
      </w:r>
    </w:p>
    <w:p w14:paraId="343CDD59" w14:textId="65EDBA47" w:rsidR="001D5B93" w:rsidRDefault="001D5B93" w:rsidP="00D66738">
      <w:pPr>
        <w:jc w:val="both"/>
      </w:pPr>
      <w:r>
        <w:t xml:space="preserve">The following options were proposed to ensure more transparency around verification costs. </w:t>
      </w:r>
    </w:p>
    <w:p w14:paraId="09DF145D" w14:textId="0566E9B9" w:rsidR="001D5B93" w:rsidRPr="001D5B93" w:rsidRDefault="001D5B93" w:rsidP="00D66738">
      <w:pPr>
        <w:pStyle w:val="ListParagraph"/>
        <w:numPr>
          <w:ilvl w:val="0"/>
          <w:numId w:val="107"/>
        </w:numPr>
        <w:jc w:val="both"/>
      </w:pPr>
      <w:r w:rsidRPr="001D5B93">
        <w:t xml:space="preserve">Option 1: The </w:t>
      </w:r>
      <w:r w:rsidRPr="00D40FDE">
        <w:rPr>
          <w:b/>
        </w:rPr>
        <w:t xml:space="preserve">dti </w:t>
      </w:r>
      <w:r>
        <w:t xml:space="preserve">could publish </w:t>
      </w:r>
      <w:r w:rsidRPr="001D5B93">
        <w:t>guidelines for verification costs</w:t>
      </w:r>
      <w:r>
        <w:t xml:space="preserve"> linked to the size and complexity of small businesses.</w:t>
      </w:r>
    </w:p>
    <w:p w14:paraId="4E1CD846" w14:textId="0F6629FF" w:rsidR="001D5B93" w:rsidRPr="001D5B93" w:rsidRDefault="001D5B93" w:rsidP="00D66738">
      <w:pPr>
        <w:pStyle w:val="ListParagraph"/>
        <w:numPr>
          <w:ilvl w:val="0"/>
          <w:numId w:val="107"/>
        </w:numPr>
        <w:jc w:val="both"/>
      </w:pPr>
      <w:r w:rsidRPr="001D5B93">
        <w:t xml:space="preserve">Option 2: </w:t>
      </w:r>
      <w:r>
        <w:t xml:space="preserve">The </w:t>
      </w:r>
      <w:r w:rsidRPr="00D40FDE">
        <w:rPr>
          <w:b/>
        </w:rPr>
        <w:t>dti</w:t>
      </w:r>
      <w:r>
        <w:t xml:space="preserve"> could require that verification agencies publish their fees annually in an easily accessible form. </w:t>
      </w:r>
    </w:p>
    <w:p w14:paraId="43A1E0E1" w14:textId="309A7355" w:rsidR="001D5B93" w:rsidRPr="001D5B93" w:rsidRDefault="001D5B93" w:rsidP="00D66738">
      <w:pPr>
        <w:pStyle w:val="ListParagraph"/>
        <w:numPr>
          <w:ilvl w:val="0"/>
          <w:numId w:val="107"/>
        </w:numPr>
        <w:jc w:val="both"/>
      </w:pPr>
      <w:r w:rsidRPr="001D5B93">
        <w:t xml:space="preserve">Option 3: </w:t>
      </w:r>
      <w:r>
        <w:t xml:space="preserve">Verification could be undertaken as part of companies’ financial audit. </w:t>
      </w:r>
    </w:p>
    <w:p w14:paraId="372C05AE" w14:textId="07F3C3B8" w:rsidR="00E41438" w:rsidRPr="000468A4" w:rsidRDefault="00E41438" w:rsidP="00D66738">
      <w:pPr>
        <w:pStyle w:val="Caption"/>
        <w:jc w:val="both"/>
      </w:pPr>
      <w:bookmarkStart w:id="1039" w:name="_Toc479940989"/>
      <w:r w:rsidRPr="000468A4">
        <w:lastRenderedPageBreak/>
        <w:t xml:space="preserve">Table </w:t>
      </w:r>
      <w:fldSimple w:instr=" SEQ Table \* ARABIC ">
        <w:r w:rsidR="005062E7">
          <w:rPr>
            <w:noProof/>
          </w:rPr>
          <w:t>32</w:t>
        </w:r>
      </w:fldSimple>
      <w:r w:rsidR="001D5B93">
        <w:rPr>
          <w:noProof/>
        </w:rPr>
        <w:t>.</w:t>
      </w:r>
      <w:r w:rsidRPr="000468A4">
        <w:t xml:space="preserve"> Cost</w:t>
      </w:r>
      <w:r w:rsidR="001D5B93">
        <w:t>s, benefits and risks</w:t>
      </w:r>
      <w:bookmarkEnd w:id="1039"/>
    </w:p>
    <w:tbl>
      <w:tblPr>
        <w:tblStyle w:val="TableGrid"/>
        <w:tblW w:w="5000" w:type="pct"/>
        <w:tblLook w:val="04A0" w:firstRow="1" w:lastRow="0" w:firstColumn="1" w:lastColumn="0" w:noHBand="0" w:noVBand="1"/>
      </w:tblPr>
      <w:tblGrid>
        <w:gridCol w:w="1385"/>
        <w:gridCol w:w="2412"/>
        <w:gridCol w:w="2691"/>
        <w:gridCol w:w="2754"/>
      </w:tblGrid>
      <w:tr w:rsidR="001D5B93" w:rsidRPr="001D5B93" w14:paraId="604255DB" w14:textId="77777777" w:rsidTr="002B793E">
        <w:trPr>
          <w:trHeight w:val="418"/>
          <w:tblHeader/>
        </w:trPr>
        <w:tc>
          <w:tcPr>
            <w:tcW w:w="749" w:type="pct"/>
            <w:vAlign w:val="bottom"/>
          </w:tcPr>
          <w:p w14:paraId="2EE2C099" w14:textId="784D4493" w:rsidR="001D5B93" w:rsidRPr="001D5B93" w:rsidRDefault="001D5B93" w:rsidP="00D66738">
            <w:pPr>
              <w:pStyle w:val="charts"/>
              <w:keepNext w:val="0"/>
              <w:jc w:val="both"/>
              <w:rPr>
                <w:b/>
                <w:sz w:val="20"/>
              </w:rPr>
            </w:pPr>
          </w:p>
        </w:tc>
        <w:tc>
          <w:tcPr>
            <w:tcW w:w="1305" w:type="pct"/>
            <w:vAlign w:val="bottom"/>
          </w:tcPr>
          <w:p w14:paraId="4C0385FF" w14:textId="4DE38C71" w:rsidR="001D5B93" w:rsidRPr="001D5B93" w:rsidRDefault="001D5B93" w:rsidP="00D66738">
            <w:pPr>
              <w:pStyle w:val="charts"/>
              <w:keepNext w:val="0"/>
              <w:jc w:val="both"/>
              <w:rPr>
                <w:b/>
                <w:sz w:val="20"/>
              </w:rPr>
            </w:pPr>
            <w:r>
              <w:rPr>
                <w:b/>
                <w:sz w:val="20"/>
              </w:rPr>
              <w:t>White-owned QSE (not relevant for black-owned QSE)</w:t>
            </w:r>
          </w:p>
        </w:tc>
        <w:tc>
          <w:tcPr>
            <w:tcW w:w="1456" w:type="pct"/>
            <w:vAlign w:val="bottom"/>
          </w:tcPr>
          <w:p w14:paraId="15EEC0C0" w14:textId="36223215" w:rsidR="001D5B93" w:rsidRPr="001D5B93" w:rsidRDefault="001D5B93" w:rsidP="00D66738">
            <w:pPr>
              <w:pStyle w:val="charts"/>
              <w:keepNext w:val="0"/>
              <w:jc w:val="both"/>
              <w:rPr>
                <w:b/>
                <w:sz w:val="20"/>
              </w:rPr>
            </w:pPr>
            <w:r>
              <w:rPr>
                <w:b/>
                <w:sz w:val="20"/>
              </w:rPr>
              <w:t>the dti</w:t>
            </w:r>
          </w:p>
        </w:tc>
        <w:tc>
          <w:tcPr>
            <w:tcW w:w="1490" w:type="pct"/>
            <w:vAlign w:val="bottom"/>
          </w:tcPr>
          <w:p w14:paraId="03654CDC" w14:textId="2E98B629" w:rsidR="001D5B93" w:rsidRPr="001D5B93" w:rsidRDefault="002B793E" w:rsidP="00D66738">
            <w:pPr>
              <w:pStyle w:val="charts"/>
              <w:keepNext w:val="0"/>
              <w:jc w:val="both"/>
              <w:rPr>
                <w:b/>
                <w:sz w:val="20"/>
              </w:rPr>
            </w:pPr>
            <w:r>
              <w:rPr>
                <w:b/>
                <w:sz w:val="20"/>
              </w:rPr>
              <w:t>Verification agencies</w:t>
            </w:r>
          </w:p>
        </w:tc>
      </w:tr>
      <w:tr w:rsidR="001D5B93" w:rsidRPr="001D5B93" w14:paraId="125DCBCC" w14:textId="77777777" w:rsidTr="002B793E">
        <w:trPr>
          <w:trHeight w:val="841"/>
        </w:trPr>
        <w:tc>
          <w:tcPr>
            <w:tcW w:w="749" w:type="pct"/>
          </w:tcPr>
          <w:p w14:paraId="6BE4ACC4" w14:textId="77777777" w:rsidR="001D5B93" w:rsidRPr="001D5B93" w:rsidRDefault="001D5B93" w:rsidP="00D66738">
            <w:pPr>
              <w:pStyle w:val="charts"/>
              <w:keepNext w:val="0"/>
              <w:spacing w:after="120"/>
              <w:jc w:val="both"/>
              <w:rPr>
                <w:sz w:val="20"/>
              </w:rPr>
            </w:pPr>
            <w:r w:rsidRPr="001D5B93">
              <w:rPr>
                <w:sz w:val="20"/>
              </w:rPr>
              <w:t xml:space="preserve">Option 1: The </w:t>
            </w:r>
            <w:r w:rsidRPr="00D40FDE">
              <w:rPr>
                <w:b/>
                <w:sz w:val="20"/>
              </w:rPr>
              <w:t>dti</w:t>
            </w:r>
            <w:r w:rsidRPr="001D5B93">
              <w:rPr>
                <w:sz w:val="20"/>
              </w:rPr>
              <w:t xml:space="preserve"> to produce guidelines for verification costs</w:t>
            </w:r>
          </w:p>
        </w:tc>
        <w:tc>
          <w:tcPr>
            <w:tcW w:w="1305" w:type="pct"/>
          </w:tcPr>
          <w:p w14:paraId="3EC4BEDC" w14:textId="6DD9250F" w:rsidR="001D5B93" w:rsidRPr="001D5B93" w:rsidRDefault="001D5B93" w:rsidP="00D66738">
            <w:pPr>
              <w:pStyle w:val="charts"/>
              <w:keepNext w:val="0"/>
              <w:spacing w:after="120"/>
              <w:jc w:val="both"/>
              <w:rPr>
                <w:sz w:val="20"/>
                <w:szCs w:val="20"/>
              </w:rPr>
            </w:pPr>
            <w:r w:rsidRPr="001D5B93">
              <w:rPr>
                <w:sz w:val="20"/>
                <w:szCs w:val="20"/>
              </w:rPr>
              <w:t xml:space="preserve">C: </w:t>
            </w:r>
            <w:r w:rsidR="002B793E">
              <w:rPr>
                <w:sz w:val="20"/>
                <w:szCs w:val="20"/>
              </w:rPr>
              <w:t>Still have to pay for verification</w:t>
            </w:r>
          </w:p>
          <w:p w14:paraId="1CDAC7E1" w14:textId="4EA9FD56" w:rsidR="001D5B93" w:rsidRPr="001D5B93" w:rsidRDefault="001D5B93" w:rsidP="00D66738">
            <w:pPr>
              <w:pStyle w:val="charts"/>
              <w:keepNext w:val="0"/>
              <w:spacing w:after="120"/>
              <w:jc w:val="both"/>
              <w:rPr>
                <w:sz w:val="20"/>
                <w:szCs w:val="20"/>
              </w:rPr>
            </w:pPr>
            <w:r w:rsidRPr="001D5B93">
              <w:rPr>
                <w:sz w:val="20"/>
                <w:szCs w:val="20"/>
              </w:rPr>
              <w:t xml:space="preserve">B: </w:t>
            </w:r>
            <w:r w:rsidR="002B793E">
              <w:rPr>
                <w:sz w:val="20"/>
                <w:szCs w:val="20"/>
              </w:rPr>
              <w:t>Lower admin costs for BBBEE</w:t>
            </w:r>
          </w:p>
          <w:p w14:paraId="1032C0EF" w14:textId="5E1830B7" w:rsidR="001D5B93" w:rsidRPr="001D5B93" w:rsidRDefault="001D5B93" w:rsidP="00D66738">
            <w:pPr>
              <w:pStyle w:val="charts"/>
              <w:keepNext w:val="0"/>
              <w:spacing w:after="120"/>
              <w:jc w:val="both"/>
              <w:rPr>
                <w:sz w:val="20"/>
                <w:szCs w:val="20"/>
              </w:rPr>
            </w:pPr>
            <w:r w:rsidRPr="001D5B93">
              <w:rPr>
                <w:sz w:val="20"/>
                <w:szCs w:val="20"/>
              </w:rPr>
              <w:t xml:space="preserve">R: </w:t>
            </w:r>
            <w:r w:rsidR="002B793E" w:rsidRPr="00D40FDE">
              <w:rPr>
                <w:b/>
                <w:sz w:val="20"/>
                <w:szCs w:val="20"/>
              </w:rPr>
              <w:t>dti</w:t>
            </w:r>
            <w:r w:rsidR="002B793E">
              <w:rPr>
                <w:sz w:val="20"/>
                <w:szCs w:val="20"/>
              </w:rPr>
              <w:t xml:space="preserve"> sets price too high or too low, leading to unnecessary costs or to shortage of agencies</w:t>
            </w:r>
          </w:p>
        </w:tc>
        <w:tc>
          <w:tcPr>
            <w:tcW w:w="1456" w:type="pct"/>
          </w:tcPr>
          <w:p w14:paraId="7F43805D" w14:textId="77777777" w:rsidR="001D5B93" w:rsidRPr="001D5B93" w:rsidRDefault="001D5B93" w:rsidP="00D66738">
            <w:pPr>
              <w:pStyle w:val="charts"/>
              <w:keepNext w:val="0"/>
              <w:spacing w:after="120"/>
              <w:jc w:val="both"/>
              <w:rPr>
                <w:sz w:val="20"/>
                <w:szCs w:val="20"/>
              </w:rPr>
            </w:pPr>
            <w:r w:rsidRPr="001D5B93">
              <w:rPr>
                <w:sz w:val="20"/>
                <w:szCs w:val="20"/>
              </w:rPr>
              <w:t>C: Develop guidelines for pricing</w:t>
            </w:r>
          </w:p>
          <w:p w14:paraId="5BA0698B" w14:textId="7DA522AF" w:rsidR="001D5B93" w:rsidRPr="001D5B93" w:rsidRDefault="001D5B93" w:rsidP="00D66738">
            <w:pPr>
              <w:pStyle w:val="charts"/>
              <w:keepNext w:val="0"/>
              <w:spacing w:after="120"/>
              <w:jc w:val="both"/>
              <w:rPr>
                <w:sz w:val="20"/>
                <w:szCs w:val="20"/>
              </w:rPr>
            </w:pPr>
            <w:r w:rsidRPr="001D5B93">
              <w:rPr>
                <w:sz w:val="20"/>
                <w:szCs w:val="20"/>
              </w:rPr>
              <w:t xml:space="preserve">B: </w:t>
            </w:r>
            <w:r w:rsidR="002B793E">
              <w:rPr>
                <w:sz w:val="20"/>
                <w:szCs w:val="20"/>
              </w:rPr>
              <w:t>Reduce the cost of doing business for QSE</w:t>
            </w:r>
          </w:p>
          <w:p w14:paraId="33FDD9C8" w14:textId="1A5CE89D" w:rsidR="001D5B93" w:rsidRPr="001D5B93" w:rsidRDefault="001D5B93" w:rsidP="00D66738">
            <w:pPr>
              <w:pStyle w:val="charts"/>
              <w:keepNext w:val="0"/>
              <w:spacing w:after="120"/>
              <w:jc w:val="both"/>
              <w:rPr>
                <w:sz w:val="20"/>
                <w:szCs w:val="20"/>
              </w:rPr>
            </w:pPr>
            <w:r w:rsidRPr="001D5B93">
              <w:rPr>
                <w:sz w:val="20"/>
                <w:szCs w:val="20"/>
              </w:rPr>
              <w:t>R:</w:t>
            </w:r>
            <w:r>
              <w:rPr>
                <w:sz w:val="20"/>
                <w:szCs w:val="20"/>
              </w:rPr>
              <w:t xml:space="preserve"> Guidelines are too high or too low, leading to market exit or super profits at least in short run</w:t>
            </w:r>
          </w:p>
        </w:tc>
        <w:tc>
          <w:tcPr>
            <w:tcW w:w="1490" w:type="pct"/>
          </w:tcPr>
          <w:p w14:paraId="33910E46" w14:textId="77777777" w:rsidR="001D5B93" w:rsidRDefault="001D5B93" w:rsidP="00D66738">
            <w:pPr>
              <w:pStyle w:val="charts"/>
              <w:keepNext w:val="0"/>
              <w:spacing w:after="120"/>
              <w:jc w:val="both"/>
              <w:rPr>
                <w:sz w:val="20"/>
                <w:szCs w:val="20"/>
              </w:rPr>
            </w:pPr>
            <w:r w:rsidRPr="001D5B93">
              <w:rPr>
                <w:sz w:val="20"/>
                <w:szCs w:val="20"/>
              </w:rPr>
              <w:t xml:space="preserve">C: </w:t>
            </w:r>
            <w:r w:rsidR="002B793E">
              <w:rPr>
                <w:sz w:val="20"/>
                <w:szCs w:val="20"/>
              </w:rPr>
              <w:t>May have to reduce prices</w:t>
            </w:r>
          </w:p>
          <w:p w14:paraId="6E291395" w14:textId="77777777" w:rsidR="002B793E" w:rsidRDefault="002B793E" w:rsidP="00D66738">
            <w:pPr>
              <w:pStyle w:val="charts"/>
              <w:keepNext w:val="0"/>
              <w:spacing w:after="120"/>
              <w:jc w:val="both"/>
              <w:rPr>
                <w:sz w:val="20"/>
                <w:szCs w:val="20"/>
              </w:rPr>
            </w:pPr>
            <w:r>
              <w:rPr>
                <w:sz w:val="20"/>
                <w:szCs w:val="20"/>
              </w:rPr>
              <w:t>B: Competition shifts to quality, rather than price</w:t>
            </w:r>
          </w:p>
          <w:p w14:paraId="7AC27DB7" w14:textId="329A0A0B" w:rsidR="002B793E" w:rsidRPr="001D5B93" w:rsidRDefault="002B793E" w:rsidP="00D66738">
            <w:pPr>
              <w:pStyle w:val="charts"/>
              <w:keepNext w:val="0"/>
              <w:spacing w:after="120"/>
              <w:jc w:val="both"/>
              <w:rPr>
                <w:sz w:val="20"/>
                <w:szCs w:val="20"/>
              </w:rPr>
            </w:pPr>
            <w:r>
              <w:rPr>
                <w:sz w:val="20"/>
                <w:szCs w:val="20"/>
              </w:rPr>
              <w:t>R: Guidelines set prices too low, leading to market exit</w:t>
            </w:r>
          </w:p>
        </w:tc>
      </w:tr>
      <w:tr w:rsidR="001D5B93" w:rsidRPr="001D5B93" w14:paraId="3E17DDA0" w14:textId="77777777" w:rsidTr="002B793E">
        <w:tc>
          <w:tcPr>
            <w:tcW w:w="749" w:type="pct"/>
          </w:tcPr>
          <w:p w14:paraId="335FFD65" w14:textId="6A68BB95" w:rsidR="001D5B93" w:rsidRPr="001D5B93" w:rsidRDefault="001D5B93" w:rsidP="00D66738">
            <w:pPr>
              <w:pStyle w:val="charts"/>
              <w:keepNext w:val="0"/>
              <w:spacing w:after="120"/>
              <w:jc w:val="both"/>
              <w:rPr>
                <w:sz w:val="20"/>
              </w:rPr>
            </w:pPr>
            <w:r w:rsidRPr="001D5B93">
              <w:rPr>
                <w:sz w:val="20"/>
              </w:rPr>
              <w:t xml:space="preserve">Option 2: Require an annual fee list from verification agencies </w:t>
            </w:r>
          </w:p>
        </w:tc>
        <w:tc>
          <w:tcPr>
            <w:tcW w:w="1305" w:type="pct"/>
          </w:tcPr>
          <w:p w14:paraId="0488CC95" w14:textId="3E6F8F9C" w:rsidR="001D5B93" w:rsidRPr="001D5B93" w:rsidRDefault="001D5B93" w:rsidP="00D66738">
            <w:pPr>
              <w:pStyle w:val="charts"/>
              <w:keepNext w:val="0"/>
              <w:spacing w:after="120"/>
              <w:jc w:val="both"/>
              <w:rPr>
                <w:sz w:val="20"/>
                <w:szCs w:val="20"/>
              </w:rPr>
            </w:pPr>
            <w:r w:rsidRPr="001D5B93">
              <w:rPr>
                <w:sz w:val="20"/>
                <w:szCs w:val="20"/>
              </w:rPr>
              <w:t xml:space="preserve">C: </w:t>
            </w:r>
            <w:r w:rsidR="002B793E">
              <w:rPr>
                <w:sz w:val="20"/>
                <w:szCs w:val="20"/>
              </w:rPr>
              <w:t>Still have to pay for verification</w:t>
            </w:r>
          </w:p>
          <w:p w14:paraId="0F1D2F26" w14:textId="693E2136" w:rsidR="001D5B93" w:rsidRPr="001D5B93" w:rsidRDefault="001D5B93" w:rsidP="00D66738">
            <w:pPr>
              <w:pStyle w:val="charts"/>
              <w:keepNext w:val="0"/>
              <w:spacing w:after="120"/>
              <w:jc w:val="both"/>
              <w:rPr>
                <w:sz w:val="20"/>
                <w:szCs w:val="20"/>
              </w:rPr>
            </w:pPr>
            <w:r w:rsidRPr="001D5B93">
              <w:rPr>
                <w:sz w:val="20"/>
                <w:szCs w:val="20"/>
              </w:rPr>
              <w:t xml:space="preserve">B: </w:t>
            </w:r>
            <w:r w:rsidR="002B793E">
              <w:rPr>
                <w:sz w:val="20"/>
                <w:szCs w:val="20"/>
              </w:rPr>
              <w:t>Able to find lowest cost provider</w:t>
            </w:r>
          </w:p>
          <w:p w14:paraId="6DA66F10" w14:textId="7705BFBB" w:rsidR="001D5B93" w:rsidRPr="001D5B93" w:rsidRDefault="001D5B93" w:rsidP="00D66738">
            <w:pPr>
              <w:pStyle w:val="charts"/>
              <w:keepNext w:val="0"/>
              <w:spacing w:after="120"/>
              <w:jc w:val="both"/>
              <w:rPr>
                <w:sz w:val="20"/>
                <w:szCs w:val="20"/>
              </w:rPr>
            </w:pPr>
            <w:r w:rsidRPr="001D5B93">
              <w:rPr>
                <w:sz w:val="20"/>
                <w:szCs w:val="20"/>
              </w:rPr>
              <w:t xml:space="preserve">R: </w:t>
            </w:r>
            <w:r w:rsidR="002B793E">
              <w:rPr>
                <w:sz w:val="20"/>
                <w:szCs w:val="20"/>
              </w:rPr>
              <w:t>Does not ensure quality; list fees are misleading</w:t>
            </w:r>
          </w:p>
        </w:tc>
        <w:tc>
          <w:tcPr>
            <w:tcW w:w="1456" w:type="pct"/>
          </w:tcPr>
          <w:p w14:paraId="4BA06922" w14:textId="7F0DBF26" w:rsidR="001D5B93" w:rsidRPr="001D5B93" w:rsidRDefault="001D5B93" w:rsidP="00D66738">
            <w:pPr>
              <w:pStyle w:val="charts"/>
              <w:keepNext w:val="0"/>
              <w:spacing w:after="120"/>
              <w:jc w:val="both"/>
              <w:rPr>
                <w:sz w:val="20"/>
                <w:szCs w:val="20"/>
              </w:rPr>
            </w:pPr>
            <w:r w:rsidRPr="001D5B93">
              <w:rPr>
                <w:sz w:val="20"/>
                <w:szCs w:val="20"/>
              </w:rPr>
              <w:t xml:space="preserve">C: </w:t>
            </w:r>
            <w:r w:rsidR="002B793E">
              <w:rPr>
                <w:sz w:val="20"/>
                <w:szCs w:val="20"/>
              </w:rPr>
              <w:t>Develop regulation</w:t>
            </w:r>
          </w:p>
          <w:p w14:paraId="63EE1A30" w14:textId="1E6E125B" w:rsidR="001D5B93" w:rsidRPr="001D5B93" w:rsidRDefault="001D5B93" w:rsidP="00D66738">
            <w:pPr>
              <w:pStyle w:val="charts"/>
              <w:keepNext w:val="0"/>
              <w:spacing w:after="120"/>
              <w:jc w:val="both"/>
              <w:rPr>
                <w:sz w:val="20"/>
                <w:szCs w:val="20"/>
              </w:rPr>
            </w:pPr>
            <w:r w:rsidRPr="001D5B93">
              <w:rPr>
                <w:sz w:val="20"/>
                <w:szCs w:val="20"/>
              </w:rPr>
              <w:t xml:space="preserve">B: </w:t>
            </w:r>
            <w:r w:rsidR="002B793E">
              <w:rPr>
                <w:sz w:val="20"/>
                <w:szCs w:val="20"/>
              </w:rPr>
              <w:t>More efficient verification market</w:t>
            </w:r>
          </w:p>
          <w:p w14:paraId="406F7F4D" w14:textId="7714E0EC" w:rsidR="001D5B93" w:rsidRPr="001D5B93" w:rsidRDefault="001D5B93" w:rsidP="00D66738">
            <w:pPr>
              <w:pStyle w:val="charts"/>
              <w:keepNext w:val="0"/>
              <w:spacing w:after="120"/>
              <w:jc w:val="both"/>
              <w:rPr>
                <w:sz w:val="20"/>
                <w:szCs w:val="20"/>
              </w:rPr>
            </w:pPr>
            <w:r w:rsidRPr="001D5B93">
              <w:rPr>
                <w:sz w:val="20"/>
                <w:szCs w:val="20"/>
              </w:rPr>
              <w:t>R:</w:t>
            </w:r>
            <w:r w:rsidR="002B793E">
              <w:rPr>
                <w:sz w:val="20"/>
                <w:szCs w:val="20"/>
              </w:rPr>
              <w:t xml:space="preserve"> Companies publish misleading lists</w:t>
            </w:r>
          </w:p>
        </w:tc>
        <w:tc>
          <w:tcPr>
            <w:tcW w:w="1490" w:type="pct"/>
          </w:tcPr>
          <w:p w14:paraId="10737AFA" w14:textId="433DABA2" w:rsidR="001D5B93" w:rsidRPr="001D5B93" w:rsidRDefault="001D5B93" w:rsidP="00D66738">
            <w:pPr>
              <w:pStyle w:val="charts"/>
              <w:keepNext w:val="0"/>
              <w:spacing w:after="120"/>
              <w:jc w:val="both"/>
              <w:rPr>
                <w:sz w:val="20"/>
                <w:szCs w:val="20"/>
              </w:rPr>
            </w:pPr>
            <w:r w:rsidRPr="001D5B93">
              <w:rPr>
                <w:sz w:val="20"/>
                <w:szCs w:val="20"/>
              </w:rPr>
              <w:t xml:space="preserve">C: </w:t>
            </w:r>
            <w:r w:rsidR="002B793E">
              <w:rPr>
                <w:sz w:val="20"/>
                <w:szCs w:val="20"/>
              </w:rPr>
              <w:t>May have to reduce prices to compete</w:t>
            </w:r>
          </w:p>
          <w:p w14:paraId="39417FAB" w14:textId="6216DA95" w:rsidR="001D5B93" w:rsidRPr="001D5B93" w:rsidRDefault="001D5B93" w:rsidP="00D66738">
            <w:pPr>
              <w:pStyle w:val="charts"/>
              <w:keepNext w:val="0"/>
              <w:spacing w:after="120"/>
              <w:jc w:val="both"/>
              <w:rPr>
                <w:sz w:val="20"/>
                <w:szCs w:val="20"/>
              </w:rPr>
            </w:pPr>
            <w:r w:rsidRPr="001D5B93">
              <w:rPr>
                <w:sz w:val="20"/>
                <w:szCs w:val="20"/>
              </w:rPr>
              <w:t xml:space="preserve">B: </w:t>
            </w:r>
            <w:r w:rsidR="002B793E">
              <w:rPr>
                <w:sz w:val="20"/>
                <w:szCs w:val="20"/>
              </w:rPr>
              <w:t>More efficient market for verification</w:t>
            </w:r>
          </w:p>
          <w:p w14:paraId="20CB9B77" w14:textId="7CF4F0BF" w:rsidR="001D5B93" w:rsidRPr="001D5B93" w:rsidRDefault="001D5B93" w:rsidP="00D66738">
            <w:pPr>
              <w:pStyle w:val="charts"/>
              <w:keepNext w:val="0"/>
              <w:spacing w:after="120"/>
              <w:jc w:val="both"/>
              <w:rPr>
                <w:sz w:val="20"/>
                <w:szCs w:val="20"/>
              </w:rPr>
            </w:pPr>
            <w:r w:rsidRPr="001D5B93">
              <w:rPr>
                <w:sz w:val="20"/>
                <w:szCs w:val="20"/>
              </w:rPr>
              <w:t xml:space="preserve">R: </w:t>
            </w:r>
            <w:r w:rsidR="002B793E">
              <w:rPr>
                <w:sz w:val="20"/>
                <w:szCs w:val="20"/>
              </w:rPr>
              <w:t>May be unable to compete if transparency leads to lower prices</w:t>
            </w:r>
          </w:p>
        </w:tc>
      </w:tr>
      <w:tr w:rsidR="001D5B93" w:rsidRPr="001D5B93" w14:paraId="1247DAE2" w14:textId="77777777" w:rsidTr="002B793E">
        <w:tc>
          <w:tcPr>
            <w:tcW w:w="749" w:type="pct"/>
          </w:tcPr>
          <w:p w14:paraId="349E2236" w14:textId="77777777" w:rsidR="001D5B93" w:rsidRPr="001D5B93" w:rsidRDefault="001D5B93" w:rsidP="00D66738">
            <w:pPr>
              <w:pStyle w:val="charts"/>
              <w:keepNext w:val="0"/>
              <w:spacing w:after="120"/>
              <w:jc w:val="both"/>
              <w:rPr>
                <w:sz w:val="20"/>
              </w:rPr>
            </w:pPr>
            <w:r w:rsidRPr="001D5B93">
              <w:rPr>
                <w:sz w:val="20"/>
              </w:rPr>
              <w:t>Option 3: Link verification through audit</w:t>
            </w:r>
          </w:p>
        </w:tc>
        <w:tc>
          <w:tcPr>
            <w:tcW w:w="1305" w:type="pct"/>
          </w:tcPr>
          <w:p w14:paraId="3193385A" w14:textId="28179605" w:rsidR="001D5B93" w:rsidRPr="001D5B93" w:rsidRDefault="001D5B93" w:rsidP="00D66738">
            <w:pPr>
              <w:pStyle w:val="charts"/>
              <w:keepNext w:val="0"/>
              <w:spacing w:after="120"/>
              <w:jc w:val="both"/>
              <w:rPr>
                <w:sz w:val="20"/>
                <w:szCs w:val="20"/>
              </w:rPr>
            </w:pPr>
            <w:r w:rsidRPr="001D5B93">
              <w:rPr>
                <w:sz w:val="20"/>
                <w:szCs w:val="20"/>
              </w:rPr>
              <w:t xml:space="preserve">C: </w:t>
            </w:r>
            <w:r w:rsidR="002B793E">
              <w:rPr>
                <w:sz w:val="20"/>
                <w:szCs w:val="20"/>
              </w:rPr>
              <w:t>Still have to undertake verification</w:t>
            </w:r>
          </w:p>
          <w:p w14:paraId="77E59A27" w14:textId="3ED09F14" w:rsidR="001D5B93" w:rsidRPr="001D5B93" w:rsidRDefault="001D5B93" w:rsidP="00D66738">
            <w:pPr>
              <w:pStyle w:val="charts"/>
              <w:keepNext w:val="0"/>
              <w:spacing w:after="120"/>
              <w:jc w:val="both"/>
              <w:rPr>
                <w:sz w:val="20"/>
                <w:szCs w:val="20"/>
              </w:rPr>
            </w:pPr>
            <w:r w:rsidRPr="001D5B93">
              <w:rPr>
                <w:sz w:val="20"/>
                <w:szCs w:val="20"/>
              </w:rPr>
              <w:t xml:space="preserve">B: </w:t>
            </w:r>
            <w:r w:rsidR="002B793E">
              <w:rPr>
                <w:sz w:val="20"/>
                <w:szCs w:val="20"/>
              </w:rPr>
              <w:t>Reduced costs in terms of time and possibly fees</w:t>
            </w:r>
          </w:p>
          <w:p w14:paraId="3E57B29E" w14:textId="60AC1536" w:rsidR="001D5B93" w:rsidRPr="001D5B93" w:rsidRDefault="001D5B93" w:rsidP="00D66738">
            <w:pPr>
              <w:pStyle w:val="charts"/>
              <w:keepNext w:val="0"/>
              <w:spacing w:after="120"/>
              <w:jc w:val="both"/>
              <w:rPr>
                <w:sz w:val="20"/>
                <w:szCs w:val="20"/>
              </w:rPr>
            </w:pPr>
            <w:r w:rsidRPr="001D5B93">
              <w:rPr>
                <w:sz w:val="20"/>
                <w:szCs w:val="20"/>
              </w:rPr>
              <w:t xml:space="preserve">R: </w:t>
            </w:r>
            <w:r w:rsidR="002B793E">
              <w:rPr>
                <w:sz w:val="20"/>
                <w:szCs w:val="20"/>
              </w:rPr>
              <w:t>None</w:t>
            </w:r>
          </w:p>
        </w:tc>
        <w:tc>
          <w:tcPr>
            <w:tcW w:w="1456" w:type="pct"/>
          </w:tcPr>
          <w:p w14:paraId="0D3AAFB2" w14:textId="56815AA5" w:rsidR="001D5B93" w:rsidRPr="001D5B93" w:rsidRDefault="001D5B93" w:rsidP="00D66738">
            <w:pPr>
              <w:pStyle w:val="charts"/>
              <w:keepNext w:val="0"/>
              <w:spacing w:after="120"/>
              <w:jc w:val="both"/>
              <w:rPr>
                <w:sz w:val="20"/>
                <w:szCs w:val="20"/>
              </w:rPr>
            </w:pPr>
            <w:r w:rsidRPr="001D5B93">
              <w:rPr>
                <w:sz w:val="20"/>
                <w:szCs w:val="20"/>
              </w:rPr>
              <w:t>C</w:t>
            </w:r>
            <w:r w:rsidR="002B793E">
              <w:rPr>
                <w:sz w:val="20"/>
                <w:szCs w:val="20"/>
              </w:rPr>
              <w:t>: Amend regulations</w:t>
            </w:r>
          </w:p>
          <w:p w14:paraId="1F72E85A" w14:textId="1FAA188B" w:rsidR="001D5B93" w:rsidRPr="001D5B93" w:rsidRDefault="001D5B93" w:rsidP="00D66738">
            <w:pPr>
              <w:pStyle w:val="charts"/>
              <w:keepNext w:val="0"/>
              <w:spacing w:after="120"/>
              <w:jc w:val="both"/>
              <w:rPr>
                <w:sz w:val="20"/>
                <w:szCs w:val="20"/>
              </w:rPr>
            </w:pPr>
            <w:r w:rsidRPr="001D5B93">
              <w:rPr>
                <w:sz w:val="20"/>
                <w:szCs w:val="20"/>
              </w:rPr>
              <w:t xml:space="preserve">B: </w:t>
            </w:r>
            <w:r w:rsidR="002B793E">
              <w:rPr>
                <w:sz w:val="20"/>
                <w:szCs w:val="20"/>
              </w:rPr>
              <w:t>Reduce the cost of doing business for QSE</w:t>
            </w:r>
          </w:p>
          <w:p w14:paraId="16489060" w14:textId="59A94253" w:rsidR="001D5B93" w:rsidRPr="001D5B93" w:rsidRDefault="001D5B93" w:rsidP="00D66738">
            <w:pPr>
              <w:pStyle w:val="charts"/>
              <w:keepNext w:val="0"/>
              <w:spacing w:after="120"/>
              <w:jc w:val="both"/>
              <w:rPr>
                <w:sz w:val="20"/>
                <w:szCs w:val="20"/>
              </w:rPr>
            </w:pPr>
            <w:r w:rsidRPr="001D5B93">
              <w:rPr>
                <w:sz w:val="20"/>
                <w:szCs w:val="20"/>
              </w:rPr>
              <w:t>R:</w:t>
            </w:r>
            <w:r w:rsidR="002B793E">
              <w:rPr>
                <w:sz w:val="20"/>
                <w:szCs w:val="20"/>
              </w:rPr>
              <w:t xml:space="preserve"> Audit companies do not take BBBEE requirements seriously</w:t>
            </w:r>
          </w:p>
        </w:tc>
        <w:tc>
          <w:tcPr>
            <w:tcW w:w="1490" w:type="pct"/>
          </w:tcPr>
          <w:p w14:paraId="78D777E1" w14:textId="501BDED2" w:rsidR="001D5B93" w:rsidRPr="001D5B93" w:rsidRDefault="001D5B93" w:rsidP="00D66738">
            <w:pPr>
              <w:pStyle w:val="charts"/>
              <w:keepNext w:val="0"/>
              <w:spacing w:after="120"/>
              <w:jc w:val="both"/>
              <w:rPr>
                <w:sz w:val="20"/>
                <w:szCs w:val="20"/>
              </w:rPr>
            </w:pPr>
            <w:r w:rsidRPr="001D5B93">
              <w:rPr>
                <w:sz w:val="20"/>
                <w:szCs w:val="20"/>
              </w:rPr>
              <w:t xml:space="preserve">C: </w:t>
            </w:r>
            <w:r w:rsidR="002B793E">
              <w:rPr>
                <w:sz w:val="20"/>
                <w:szCs w:val="20"/>
              </w:rPr>
              <w:t>Increased competition from audit companies</w:t>
            </w:r>
          </w:p>
          <w:p w14:paraId="7D1EFE1A" w14:textId="2AC84886" w:rsidR="001D5B93" w:rsidRPr="001D5B93" w:rsidRDefault="001D5B93" w:rsidP="00D66738">
            <w:pPr>
              <w:pStyle w:val="charts"/>
              <w:keepNext w:val="0"/>
              <w:spacing w:after="120"/>
              <w:jc w:val="both"/>
              <w:rPr>
                <w:sz w:val="20"/>
                <w:szCs w:val="20"/>
              </w:rPr>
            </w:pPr>
            <w:r w:rsidRPr="001D5B93">
              <w:rPr>
                <w:sz w:val="20"/>
                <w:szCs w:val="20"/>
              </w:rPr>
              <w:t xml:space="preserve">B: </w:t>
            </w:r>
            <w:r w:rsidR="002B793E">
              <w:rPr>
                <w:sz w:val="20"/>
                <w:szCs w:val="20"/>
              </w:rPr>
              <w:t>More efficient market as more competitive</w:t>
            </w:r>
          </w:p>
          <w:p w14:paraId="290725F4" w14:textId="20D135DE" w:rsidR="001D5B93" w:rsidRPr="001D5B93" w:rsidRDefault="001D5B93" w:rsidP="00D66738">
            <w:pPr>
              <w:pStyle w:val="charts"/>
              <w:keepNext w:val="0"/>
              <w:spacing w:after="120"/>
              <w:jc w:val="both"/>
              <w:rPr>
                <w:sz w:val="20"/>
                <w:szCs w:val="20"/>
              </w:rPr>
            </w:pPr>
            <w:r w:rsidRPr="001D5B93">
              <w:rPr>
                <w:sz w:val="20"/>
                <w:szCs w:val="20"/>
              </w:rPr>
              <w:t xml:space="preserve">R: </w:t>
            </w:r>
            <w:r w:rsidR="002B793E">
              <w:rPr>
                <w:sz w:val="20"/>
                <w:szCs w:val="20"/>
              </w:rPr>
              <w:t>May be unable to compete with large audit companies, many of which are white-owned</w:t>
            </w:r>
          </w:p>
        </w:tc>
      </w:tr>
    </w:tbl>
    <w:p w14:paraId="69A4D063" w14:textId="60B9C6B5" w:rsidR="00E41438" w:rsidRPr="00F209B7" w:rsidRDefault="002B793E" w:rsidP="00D66738">
      <w:pPr>
        <w:spacing w:after="200" w:line="276" w:lineRule="auto"/>
        <w:jc w:val="both"/>
      </w:pPr>
      <w:r>
        <w:t xml:space="preserve">The easiest option to implement is to require verification agencies to publish a fees list at least annually. Ideally they should also indicate how long they think the process will take. Publication of this kind of information should lead to more competitive and efficient outcomes in the verification market. </w:t>
      </w:r>
    </w:p>
    <w:p w14:paraId="72DB6052" w14:textId="641DFC92" w:rsidR="00E41438" w:rsidRPr="00F209B7" w:rsidRDefault="002B793E" w:rsidP="00D66738">
      <w:pPr>
        <w:jc w:val="both"/>
      </w:pPr>
      <w:r>
        <w:t>In terms of affidavits and CIPC certificates for EMES</w:t>
      </w:r>
      <w:r w:rsidR="00E41438" w:rsidRPr="00F209B7">
        <w:t>, the DSBD can undertake to:</w:t>
      </w:r>
    </w:p>
    <w:p w14:paraId="650B1B61" w14:textId="10747904" w:rsidR="00E41438" w:rsidRPr="00F209B7" w:rsidRDefault="00E41438" w:rsidP="00D66738">
      <w:pPr>
        <w:pStyle w:val="ListParagraph"/>
        <w:numPr>
          <w:ilvl w:val="0"/>
          <w:numId w:val="108"/>
        </w:numPr>
        <w:jc w:val="both"/>
      </w:pPr>
      <w:r w:rsidRPr="00F209B7">
        <w:t xml:space="preserve">Publicise the template on </w:t>
      </w:r>
      <w:r w:rsidR="002B793E">
        <w:t>its</w:t>
      </w:r>
      <w:r w:rsidRPr="00F209B7">
        <w:t xml:space="preserve"> website </w:t>
      </w:r>
      <w:r w:rsidR="002B793E">
        <w:t xml:space="preserve">as well as </w:t>
      </w:r>
      <w:r w:rsidRPr="00F209B7">
        <w:t xml:space="preserve">through </w:t>
      </w:r>
      <w:proofErr w:type="spellStart"/>
      <w:r w:rsidR="00520601">
        <w:t>seda</w:t>
      </w:r>
      <w:proofErr w:type="spellEnd"/>
      <w:r w:rsidRPr="00F209B7">
        <w:t xml:space="preserve"> and </w:t>
      </w:r>
      <w:proofErr w:type="spellStart"/>
      <w:r w:rsidR="00520601">
        <w:t>sefa</w:t>
      </w:r>
      <w:proofErr w:type="spellEnd"/>
      <w:r w:rsidR="002B793E">
        <w:t>,</w:t>
      </w:r>
    </w:p>
    <w:p w14:paraId="76264029" w14:textId="2E23049B" w:rsidR="00E41438" w:rsidRPr="00F209B7" w:rsidRDefault="00E41438" w:rsidP="00D66738">
      <w:pPr>
        <w:pStyle w:val="ListParagraph"/>
        <w:numPr>
          <w:ilvl w:val="0"/>
          <w:numId w:val="108"/>
        </w:numPr>
        <w:jc w:val="both"/>
      </w:pPr>
      <w:r w:rsidRPr="00F209B7">
        <w:t xml:space="preserve">Ask National Treasury to issue a directive </w:t>
      </w:r>
      <w:r w:rsidR="002B793E">
        <w:t>requiring that all state agencies accept affidavits for EME, in line with the BBBEE Codes, and</w:t>
      </w:r>
    </w:p>
    <w:p w14:paraId="65B33396" w14:textId="77777777" w:rsidR="00777101" w:rsidRDefault="002B793E" w:rsidP="00D66738">
      <w:pPr>
        <w:pStyle w:val="ListParagraph"/>
        <w:numPr>
          <w:ilvl w:val="0"/>
          <w:numId w:val="108"/>
        </w:numPr>
        <w:jc w:val="both"/>
      </w:pPr>
      <w:r>
        <w:t xml:space="preserve">Set up a hotline to support EMEs confronted with supply-chain managers who do not accept the affidavit. </w:t>
      </w:r>
    </w:p>
    <w:p w14:paraId="6BC65AC2" w14:textId="77777777" w:rsidR="00777101" w:rsidRDefault="00777101" w:rsidP="00D66738">
      <w:pPr>
        <w:pStyle w:val="Heading3"/>
        <w:numPr>
          <w:ilvl w:val="2"/>
          <w:numId w:val="147"/>
        </w:numPr>
        <w:ind w:left="0" w:firstLine="0"/>
        <w:jc w:val="both"/>
      </w:pPr>
      <w:bookmarkStart w:id="1040" w:name="_Toc479843963"/>
      <w:bookmarkStart w:id="1041" w:name="_Toc479844587"/>
      <w:bookmarkStart w:id="1042" w:name="_Toc479940929"/>
      <w:r>
        <w:t>Stakeholder responses</w:t>
      </w:r>
      <w:bookmarkEnd w:id="1040"/>
      <w:bookmarkEnd w:id="1041"/>
      <w:bookmarkEnd w:id="1042"/>
    </w:p>
    <w:p w14:paraId="347862A0" w14:textId="12316F96" w:rsidR="00E41438" w:rsidRPr="00F209B7" w:rsidRDefault="00777101" w:rsidP="00D66738">
      <w:pPr>
        <w:jc w:val="both"/>
      </w:pPr>
      <w:r>
        <w:t xml:space="preserve">Verification agencies will certainly push back against regulation, even if it is only to require that they provide a public price list. The requirement is not however particularly onerous, so the measure should not lead to much contestation. </w:t>
      </w:r>
      <w:r w:rsidR="00E41438" w:rsidRPr="00F209B7">
        <w:br w:type="page"/>
      </w:r>
    </w:p>
    <w:p w14:paraId="41A26BC5" w14:textId="69D6F09C" w:rsidR="000C6E69" w:rsidRPr="00A215BF" w:rsidRDefault="000C6E69" w:rsidP="00D66738">
      <w:pPr>
        <w:pStyle w:val="Heading1"/>
        <w:numPr>
          <w:ilvl w:val="0"/>
          <w:numId w:val="118"/>
        </w:numPr>
        <w:spacing w:after="160" w:line="259" w:lineRule="auto"/>
        <w:jc w:val="both"/>
        <w:rPr>
          <w:rFonts w:ascii="Calibri" w:hAnsi="Calibri"/>
          <w:caps/>
          <w:color w:val="1B5068"/>
        </w:rPr>
      </w:pPr>
      <w:bookmarkStart w:id="1043" w:name="_Toc479843964"/>
      <w:bookmarkStart w:id="1044" w:name="_Toc479844588"/>
      <w:bookmarkStart w:id="1045" w:name="_Toc479940930"/>
      <w:r w:rsidRPr="00A215BF">
        <w:rPr>
          <w:rFonts w:ascii="Calibri" w:hAnsi="Calibri"/>
          <w:caps/>
          <w:color w:val="1B5068"/>
        </w:rPr>
        <w:lastRenderedPageBreak/>
        <w:t>Summary of options</w:t>
      </w:r>
      <w:r w:rsidR="00777101" w:rsidRPr="00A215BF">
        <w:rPr>
          <w:rFonts w:ascii="Calibri" w:hAnsi="Calibri"/>
          <w:caps/>
          <w:color w:val="1B5068"/>
        </w:rPr>
        <w:t xml:space="preserve"> and stakeholder analysis</w:t>
      </w:r>
      <w:bookmarkEnd w:id="1043"/>
      <w:bookmarkEnd w:id="1044"/>
      <w:bookmarkEnd w:id="1045"/>
    </w:p>
    <w:p w14:paraId="79D82D18" w14:textId="5F976A0E" w:rsidR="00873169" w:rsidRPr="00873169" w:rsidRDefault="00873169" w:rsidP="00D66738">
      <w:pPr>
        <w:jc w:val="both"/>
      </w:pPr>
      <w:r w:rsidRPr="00873169">
        <w:t xml:space="preserve">This section </w:t>
      </w:r>
      <w:r>
        <w:t xml:space="preserve">summarises the options for reforming regulations that impose unnecessary costs on small business. In each case, the </w:t>
      </w:r>
      <w:r w:rsidR="008A44A6">
        <w:t>options</w:t>
      </w:r>
      <w:r>
        <w:t xml:space="preserve"> derive from a longer analysis of </w:t>
      </w:r>
      <w:r w:rsidR="008A44A6">
        <w:t>alternatives</w:t>
      </w:r>
      <w:r>
        <w:t xml:space="preserve">, which is included in the relevant sections above. The likely response of key stakeholders is also summarised, in order to inform engagements going forward. </w:t>
      </w:r>
    </w:p>
    <w:p w14:paraId="7546ED20" w14:textId="7DF79677" w:rsidR="00873169" w:rsidRPr="00803DA3" w:rsidRDefault="00873169" w:rsidP="00D66738">
      <w:pPr>
        <w:pStyle w:val="Heading2"/>
        <w:numPr>
          <w:ilvl w:val="1"/>
          <w:numId w:val="148"/>
        </w:numPr>
        <w:ind w:left="0" w:firstLine="0"/>
        <w:jc w:val="both"/>
      </w:pPr>
      <w:bookmarkStart w:id="1046" w:name="_Toc479843965"/>
      <w:bookmarkStart w:id="1047" w:name="_Toc479844589"/>
      <w:bookmarkStart w:id="1048" w:name="_Toc479940931"/>
      <w:r w:rsidRPr="00803DA3">
        <w:t>Company and co-op</w:t>
      </w:r>
      <w:r>
        <w:t>erative</w:t>
      </w:r>
      <w:r w:rsidRPr="00803DA3">
        <w:t xml:space="preserve"> registration</w:t>
      </w:r>
      <w:bookmarkEnd w:id="1046"/>
      <w:bookmarkEnd w:id="1047"/>
      <w:bookmarkEnd w:id="1048"/>
    </w:p>
    <w:p w14:paraId="3D03D026" w14:textId="4AD60E6F" w:rsidR="00873169" w:rsidRDefault="00873169" w:rsidP="00D66738">
      <w:pPr>
        <w:jc w:val="both"/>
      </w:pPr>
      <w:r>
        <w:t>To simplify the filing of Annual Returns at the CIPC, it is proposed that</w:t>
      </w:r>
    </w:p>
    <w:p w14:paraId="6E338DDB" w14:textId="29E47607" w:rsidR="00873169" w:rsidRDefault="00873169" w:rsidP="00D66738">
      <w:pPr>
        <w:pStyle w:val="ListParagraph"/>
        <w:numPr>
          <w:ilvl w:val="0"/>
          <w:numId w:val="109"/>
        </w:numPr>
        <w:jc w:val="both"/>
      </w:pPr>
      <w:r>
        <w:t>The returns be integrated with the SARS filing, since most of the information is duplicated; and</w:t>
      </w:r>
    </w:p>
    <w:p w14:paraId="49D5CB48" w14:textId="66DEF615" w:rsidR="00873169" w:rsidRPr="00873169" w:rsidRDefault="00873169" w:rsidP="00D66738">
      <w:pPr>
        <w:pStyle w:val="ListParagraph"/>
        <w:numPr>
          <w:ilvl w:val="0"/>
          <w:numId w:val="109"/>
        </w:numPr>
        <w:jc w:val="both"/>
      </w:pPr>
      <w:r>
        <w:t xml:space="preserve">SARS levies the filing fees and transfers the funds to the CIPC. </w:t>
      </w:r>
    </w:p>
    <w:p w14:paraId="7CC245AA" w14:textId="7634676C" w:rsidR="00873169" w:rsidRPr="00803DA3" w:rsidRDefault="00873169" w:rsidP="00D66738">
      <w:pPr>
        <w:jc w:val="both"/>
      </w:pPr>
      <w:r>
        <w:t xml:space="preserve">The main stakeholders affected would be the </w:t>
      </w:r>
      <w:r w:rsidRPr="00803DA3">
        <w:t>CIPC and SARS</w:t>
      </w:r>
      <w:r>
        <w:t xml:space="preserve">. They </w:t>
      </w:r>
      <w:r w:rsidRPr="00803DA3">
        <w:t xml:space="preserve">would have to manage </w:t>
      </w:r>
      <w:r>
        <w:t xml:space="preserve">the </w:t>
      </w:r>
      <w:r w:rsidRPr="00803DA3">
        <w:t>technical challenges</w:t>
      </w:r>
      <w:r>
        <w:t xml:space="preserve"> of marrying their databases, which would impose both resource and capacity burdens. In addition, the CIPC </w:t>
      </w:r>
      <w:r w:rsidRPr="00803DA3">
        <w:t>would have to be assured that it would not see revenue losses</w:t>
      </w:r>
      <w:r>
        <w:t xml:space="preserve">, since fees from Annual Returns contribute around half its budget. </w:t>
      </w:r>
    </w:p>
    <w:p w14:paraId="334BB93A" w14:textId="46E22D87" w:rsidR="00873169" w:rsidRPr="00803DA3" w:rsidRDefault="00873169" w:rsidP="00D66738">
      <w:pPr>
        <w:jc w:val="both"/>
      </w:pPr>
      <w:r>
        <w:t xml:space="preserve">To reduce the disproportionate audit burden on co-operatives, the exemption criteria in the Act should be clarified, including exempting smaller co-ops altogether. The exemption could set thresholds similar to those now provided for small business under the Companies Act, using the public interest score. In addition, it would be helpful if the DSBD worked with co-ops and support agencies to develop bookkeeping systems that are appropriate for co-ops. </w:t>
      </w:r>
    </w:p>
    <w:p w14:paraId="7B0DB02C" w14:textId="2BA42B32" w:rsidR="00873169" w:rsidRPr="00803DA3" w:rsidRDefault="00873169" w:rsidP="00D66738">
      <w:pPr>
        <w:jc w:val="both"/>
      </w:pPr>
      <w:r>
        <w:t xml:space="preserve">The main burden of implementation </w:t>
      </w:r>
      <w:r w:rsidR="008A44A6">
        <w:t>would</w:t>
      </w:r>
      <w:r>
        <w:t xml:space="preserve"> fall in the DSBD, which </w:t>
      </w:r>
      <w:r w:rsidRPr="00803DA3">
        <w:t xml:space="preserve">would have to </w:t>
      </w:r>
      <w:r>
        <w:t xml:space="preserve">clarify the </w:t>
      </w:r>
      <w:r w:rsidRPr="00803DA3">
        <w:t xml:space="preserve">criteria </w:t>
      </w:r>
      <w:r>
        <w:t xml:space="preserve">for audit requirements and find </w:t>
      </w:r>
      <w:r w:rsidRPr="00803DA3">
        <w:t xml:space="preserve">partners to assist in </w:t>
      </w:r>
      <w:r>
        <w:t xml:space="preserve">improving bookkeeping systems for co-ops. </w:t>
      </w:r>
    </w:p>
    <w:p w14:paraId="572C7A79" w14:textId="77777777" w:rsidR="00873169" w:rsidRPr="00803DA3" w:rsidRDefault="00873169" w:rsidP="00D66738">
      <w:pPr>
        <w:pStyle w:val="Heading2"/>
        <w:numPr>
          <w:ilvl w:val="1"/>
          <w:numId w:val="148"/>
        </w:numPr>
        <w:ind w:left="0" w:firstLine="0"/>
        <w:jc w:val="both"/>
      </w:pPr>
      <w:bookmarkStart w:id="1049" w:name="_Toc479843966"/>
      <w:bookmarkStart w:id="1050" w:name="_Toc479844590"/>
      <w:bookmarkStart w:id="1051" w:name="_Toc479940932"/>
      <w:r>
        <w:t>Taxation</w:t>
      </w:r>
      <w:bookmarkEnd w:id="1049"/>
      <w:bookmarkEnd w:id="1050"/>
      <w:bookmarkEnd w:id="1051"/>
    </w:p>
    <w:p w14:paraId="606362C6" w14:textId="0EDC55E8" w:rsidR="00873169" w:rsidRPr="00803DA3" w:rsidRDefault="00873169" w:rsidP="00D66738">
      <w:pPr>
        <w:jc w:val="both"/>
      </w:pPr>
      <w:r>
        <w:t xml:space="preserve">To make VAT refunds more predictable and </w:t>
      </w:r>
      <w:proofErr w:type="gramStart"/>
      <w:r>
        <w:t>reliable</w:t>
      </w:r>
      <w:proofErr w:type="gramEnd"/>
      <w:r>
        <w:t xml:space="preserve">, it is proposed that SARS be required to make payments to small businesses no later than 90 days after submission, even if they are still undergoing an audit. Over-payments can then be captured from later tax payments, if required. </w:t>
      </w:r>
    </w:p>
    <w:p w14:paraId="78740F6E" w14:textId="51D401A9" w:rsidR="00873169" w:rsidRDefault="00873169" w:rsidP="00D66738">
      <w:pPr>
        <w:jc w:val="both"/>
      </w:pPr>
      <w:r>
        <w:t xml:space="preserve">SARS is very concerned about the risk of VAT fraud, so they may argue that the audit should take precedence over small business cashflow. In the event, however, small business only accounts for around 15% of VAT revenue, so the proposed dispensation should not have much effect on revenues. </w:t>
      </w:r>
    </w:p>
    <w:p w14:paraId="0B975A04" w14:textId="77777777" w:rsidR="00CB1232" w:rsidRDefault="00CB1232" w:rsidP="00D66738">
      <w:pPr>
        <w:jc w:val="both"/>
      </w:pPr>
      <w:r>
        <w:t xml:space="preserve">The turnover tax regime has not attracted many small businesses, despite the reduced administrative burden, because the rate was high compared to the normal tax system. The reduction of the rate in 2015 should however remedy that problem. It is therefore proposed that the new lower rates be publicised while returns are monitored to ensure that the turnover tax does not lead to higher payments than the mainstream system. </w:t>
      </w:r>
    </w:p>
    <w:p w14:paraId="1780D95D" w14:textId="70B21864" w:rsidR="00873169" w:rsidRPr="00803DA3" w:rsidRDefault="00CB1232" w:rsidP="00D66738">
      <w:pPr>
        <w:jc w:val="both"/>
      </w:pPr>
      <w:r>
        <w:t xml:space="preserve">Publicity for the turnover tax and monitoring its impact would entail some costs. The DSBD could assist SARS in this regard. </w:t>
      </w:r>
      <w:r w:rsidR="00873169">
        <w:t xml:space="preserve"> </w:t>
      </w:r>
    </w:p>
    <w:p w14:paraId="3BAA291D" w14:textId="77777777" w:rsidR="00873169" w:rsidRPr="00803DA3" w:rsidRDefault="00873169" w:rsidP="00D66738">
      <w:pPr>
        <w:pStyle w:val="Heading2"/>
        <w:numPr>
          <w:ilvl w:val="1"/>
          <w:numId w:val="148"/>
        </w:numPr>
        <w:ind w:left="0" w:firstLine="0"/>
        <w:jc w:val="both"/>
      </w:pPr>
      <w:bookmarkStart w:id="1052" w:name="_Toc479843967"/>
      <w:bookmarkStart w:id="1053" w:name="_Toc479844591"/>
      <w:bookmarkStart w:id="1054" w:name="_Toc479940933"/>
      <w:r>
        <w:lastRenderedPageBreak/>
        <w:t>Labour laws</w:t>
      </w:r>
      <w:bookmarkEnd w:id="1052"/>
      <w:bookmarkEnd w:id="1053"/>
      <w:bookmarkEnd w:id="1054"/>
      <w:r>
        <w:t xml:space="preserve"> </w:t>
      </w:r>
    </w:p>
    <w:p w14:paraId="09F81667" w14:textId="0543AFA2" w:rsidR="00873169" w:rsidRPr="00803DA3" w:rsidRDefault="00CB1232" w:rsidP="00D66738">
      <w:pPr>
        <w:jc w:val="both"/>
      </w:pPr>
      <w:r>
        <w:t xml:space="preserve">The threshold for the skills levy should be increased to at least R1 million in payroll, and SETAs should be assisted to develop more appropriate training modules for small business. </w:t>
      </w:r>
    </w:p>
    <w:p w14:paraId="09ED66AD" w14:textId="4DD6DA2F" w:rsidR="00873169" w:rsidRDefault="00CB1232" w:rsidP="00D66738">
      <w:pPr>
        <w:jc w:val="both"/>
      </w:pPr>
      <w:r>
        <w:t>This proposal will likely run into some o</w:t>
      </w:r>
      <w:r w:rsidR="00873169">
        <w:t xml:space="preserve">pposition from unions and experts, including some in government, </w:t>
      </w:r>
      <w:r>
        <w:t xml:space="preserve">since they would object to </w:t>
      </w:r>
      <w:r w:rsidR="00873169">
        <w:t xml:space="preserve">measures that would lower training standards </w:t>
      </w:r>
      <w:r>
        <w:t xml:space="preserve">and potentially the amount employers spend on skills development. </w:t>
      </w:r>
    </w:p>
    <w:p w14:paraId="1CDD8E9D" w14:textId="0697F10D" w:rsidR="00873169" w:rsidRPr="00803DA3" w:rsidRDefault="00CB1232" w:rsidP="00D66738">
      <w:pPr>
        <w:jc w:val="both"/>
      </w:pPr>
      <w:r>
        <w:t xml:space="preserve">The current system entails substantial overpayment to the </w:t>
      </w:r>
      <w:r w:rsidR="00873169">
        <w:t>Compensation Fund</w:t>
      </w:r>
      <w:r>
        <w:t>, reflected in a rapidly growing surplus. It is therefore proposed that there should be a l</w:t>
      </w:r>
      <w:r w:rsidR="00873169">
        <w:t xml:space="preserve">imited holiday on contributions </w:t>
      </w:r>
      <w:r>
        <w:t xml:space="preserve">while a tri-partite commission </w:t>
      </w:r>
      <w:r w:rsidR="00873169">
        <w:t>develop</w:t>
      </w:r>
      <w:r>
        <w:t xml:space="preserve">s a more reasonable </w:t>
      </w:r>
      <w:r w:rsidR="00873169">
        <w:t>actuarial basis for assessments</w:t>
      </w:r>
      <w:r>
        <w:t xml:space="preserve"> as well as an </w:t>
      </w:r>
      <w:r w:rsidR="00873169">
        <w:t xml:space="preserve">efficient appeals </w:t>
      </w:r>
      <w:r>
        <w:t xml:space="preserve">system for employers and industries that think the assessment is too high. </w:t>
      </w:r>
    </w:p>
    <w:p w14:paraId="0A72CC6E" w14:textId="4A8588C9" w:rsidR="00873169" w:rsidRPr="00803DA3" w:rsidRDefault="00CB1232" w:rsidP="00D66738">
      <w:pPr>
        <w:jc w:val="both"/>
      </w:pPr>
      <w:r>
        <w:t xml:space="preserve">The </w:t>
      </w:r>
      <w:r w:rsidR="008A44A6">
        <w:t>Compensation</w:t>
      </w:r>
      <w:r w:rsidR="00873169">
        <w:t xml:space="preserve"> </w:t>
      </w:r>
      <w:r>
        <w:t xml:space="preserve">Commissioner and the </w:t>
      </w:r>
      <w:r w:rsidR="00873169">
        <w:t xml:space="preserve">board </w:t>
      </w:r>
      <w:r>
        <w:t xml:space="preserve">will likely object to measures that will reduce their revenues, </w:t>
      </w:r>
      <w:r w:rsidR="00873169">
        <w:t xml:space="preserve">despite </w:t>
      </w:r>
      <w:r>
        <w:t xml:space="preserve">the Fund’s </w:t>
      </w:r>
      <w:r w:rsidR="00873169">
        <w:t>very large annual surplus and accumulation of assets</w:t>
      </w:r>
      <w:r>
        <w:t xml:space="preserve">. </w:t>
      </w:r>
      <w:r w:rsidR="00873169">
        <w:t xml:space="preserve">Unions </w:t>
      </w:r>
      <w:r>
        <w:t xml:space="preserve">may also </w:t>
      </w:r>
      <w:r w:rsidR="00873169">
        <w:t xml:space="preserve">oppose </w:t>
      </w:r>
      <w:r>
        <w:t>the proposal unless it is clear that</w:t>
      </w:r>
      <w:r w:rsidR="00873169">
        <w:t xml:space="preserve">, because of the high surplus, </w:t>
      </w:r>
      <w:r>
        <w:t xml:space="preserve">lower </w:t>
      </w:r>
      <w:r w:rsidR="00873169">
        <w:t>assessments will not affect benefits</w:t>
      </w:r>
      <w:r>
        <w:t xml:space="preserve">. </w:t>
      </w:r>
    </w:p>
    <w:p w14:paraId="221BF31A" w14:textId="3E351F28" w:rsidR="00873169" w:rsidRDefault="00CB1232" w:rsidP="00D66738">
      <w:pPr>
        <w:jc w:val="both"/>
      </w:pPr>
      <w:r>
        <w:t>For private employment agencies, the Department of Labour should be encouraged to introduce a d</w:t>
      </w:r>
      <w:r w:rsidR="00873169">
        <w:t xml:space="preserve">igital solution for </w:t>
      </w:r>
      <w:r>
        <w:t xml:space="preserve">the </w:t>
      </w:r>
      <w:r w:rsidR="00873169">
        <w:t xml:space="preserve">Letter of Good Standing </w:t>
      </w:r>
      <w:r>
        <w:t xml:space="preserve">required for the PEA certificate, and undertake </w:t>
      </w:r>
      <w:r w:rsidR="00873169">
        <w:t>only selective site visits</w:t>
      </w:r>
      <w:r>
        <w:t xml:space="preserve">. </w:t>
      </w:r>
    </w:p>
    <w:p w14:paraId="2355F667" w14:textId="037C3A01" w:rsidR="00873169" w:rsidRPr="00803DA3" w:rsidRDefault="00873169" w:rsidP="00D66738">
      <w:pPr>
        <w:jc w:val="both"/>
      </w:pPr>
      <w:r>
        <w:t xml:space="preserve">Regional offices of the Department of Labour may see changes to </w:t>
      </w:r>
      <w:r w:rsidR="00CB1232">
        <w:t xml:space="preserve">the existing </w:t>
      </w:r>
      <w:r>
        <w:t>systems as disruptive and unnecessary</w:t>
      </w:r>
      <w:r w:rsidR="00CB1232">
        <w:t>. Moreover, u</w:t>
      </w:r>
      <w:r>
        <w:t xml:space="preserve">nions </w:t>
      </w:r>
      <w:r w:rsidR="00CB1232">
        <w:t xml:space="preserve">generally </w:t>
      </w:r>
      <w:r>
        <w:t xml:space="preserve">see employment agencies as </w:t>
      </w:r>
      <w:r w:rsidR="00CB1232">
        <w:t xml:space="preserve">a mechanism to promote outsourcing, casualization, and lower </w:t>
      </w:r>
      <w:r>
        <w:t>employment standards, so they will not be sympathetic</w:t>
      </w:r>
      <w:r w:rsidR="00CB1232">
        <w:t xml:space="preserve"> to these proposals. </w:t>
      </w:r>
    </w:p>
    <w:p w14:paraId="33DA8671" w14:textId="77777777" w:rsidR="00873169" w:rsidRPr="00803DA3" w:rsidRDefault="00873169" w:rsidP="00D66738">
      <w:pPr>
        <w:pStyle w:val="Heading2"/>
        <w:numPr>
          <w:ilvl w:val="1"/>
          <w:numId w:val="148"/>
        </w:numPr>
        <w:ind w:left="0" w:firstLine="0"/>
        <w:jc w:val="both"/>
      </w:pPr>
      <w:bookmarkStart w:id="1055" w:name="_Toc479843968"/>
      <w:bookmarkStart w:id="1056" w:name="_Toc479844592"/>
      <w:bookmarkStart w:id="1057" w:name="_Toc479940934"/>
      <w:r>
        <w:t>Procurement</w:t>
      </w:r>
      <w:bookmarkEnd w:id="1055"/>
      <w:bookmarkEnd w:id="1056"/>
      <w:bookmarkEnd w:id="1057"/>
    </w:p>
    <w:p w14:paraId="61C26D95" w14:textId="535E6507" w:rsidR="00873169" w:rsidRDefault="00CB1232" w:rsidP="00D66738">
      <w:pPr>
        <w:jc w:val="both"/>
      </w:pPr>
      <w:r>
        <w:t>To address the still-pervasive problem of delays in paying invoices, the guidelines should s</w:t>
      </w:r>
      <w:r w:rsidR="00873169">
        <w:t xml:space="preserve">et timeframes for </w:t>
      </w:r>
      <w:r>
        <w:t xml:space="preserve">additional steps in the payment process, including </w:t>
      </w:r>
      <w:r w:rsidR="00873169">
        <w:t xml:space="preserve">for disputes </w:t>
      </w:r>
      <w:r>
        <w:t xml:space="preserve">about products and contracts as well as the </w:t>
      </w:r>
      <w:r w:rsidR="00873169">
        <w:t>finalisation of documentation</w:t>
      </w:r>
      <w:r>
        <w:t xml:space="preserve">. The DSBD could also consider establishing a </w:t>
      </w:r>
      <w:r w:rsidR="00873169">
        <w:t xml:space="preserve">hotline aligned with </w:t>
      </w:r>
      <w:r>
        <w:t xml:space="preserve">the </w:t>
      </w:r>
      <w:r w:rsidR="00873169">
        <w:t>existing DPME Unit</w:t>
      </w:r>
      <w:r>
        <w:t xml:space="preserve">. </w:t>
      </w:r>
    </w:p>
    <w:p w14:paraId="5131EDF6" w14:textId="698F2F78" w:rsidR="00873169" w:rsidRPr="00803DA3" w:rsidRDefault="00873169" w:rsidP="00D66738">
      <w:pPr>
        <w:jc w:val="both"/>
      </w:pPr>
      <w:r>
        <w:t>Treasury would have to regulate timeframes</w:t>
      </w:r>
      <w:r w:rsidR="00CB1232">
        <w:t xml:space="preserve"> for payments</w:t>
      </w:r>
      <w:r>
        <w:t xml:space="preserve">, but </w:t>
      </w:r>
      <w:r w:rsidR="00CB1232">
        <w:t xml:space="preserve">the </w:t>
      </w:r>
      <w:r>
        <w:t xml:space="preserve">DSBD could assist in developing specific </w:t>
      </w:r>
      <w:r w:rsidR="008A44A6">
        <w:t>requirements</w:t>
      </w:r>
      <w:r>
        <w:t xml:space="preserve">. </w:t>
      </w:r>
      <w:r w:rsidR="00CB1232">
        <w:t>In this process, s</w:t>
      </w:r>
      <w:r>
        <w:t>upply-chain managers from departments and provinces should be consulted carefully, since they are most familiar with realities on the ground and have to implement the new rules</w:t>
      </w:r>
    </w:p>
    <w:p w14:paraId="48F1D164" w14:textId="21591EB3" w:rsidR="00873169" w:rsidRDefault="00CB1232" w:rsidP="00D66738">
      <w:pPr>
        <w:jc w:val="both"/>
      </w:pPr>
      <w:r>
        <w:t>Small businesses often cannot compete for tenders because they do not have enough liquidity to manage the initial phases of a contract. For this reason, procurement rules should be modified to a</w:t>
      </w:r>
      <w:r w:rsidR="00873169">
        <w:t>llow up-front payment of up to 25% of contracts to small business</w:t>
      </w:r>
      <w:r w:rsidR="009614DC">
        <w:t xml:space="preserve">es. These contracts account for a relatively </w:t>
      </w:r>
      <w:r w:rsidR="00873169">
        <w:t>small share of total expenditure</w:t>
      </w:r>
      <w:r w:rsidR="009614DC">
        <w:t xml:space="preserve">. Guidelines could be developed to </w:t>
      </w:r>
      <w:r w:rsidR="00873169">
        <w:t>mitigate risks</w:t>
      </w:r>
      <w:r w:rsidR="009614DC">
        <w:t>, for instance by taking into account the suppliers’ credit and contracting history and their assets</w:t>
      </w:r>
      <w:r w:rsidR="00873169">
        <w:t xml:space="preserve">. </w:t>
      </w:r>
    </w:p>
    <w:p w14:paraId="7FFAC9AF" w14:textId="31A8F503" w:rsidR="00873169" w:rsidRPr="00803DA3" w:rsidRDefault="00873169" w:rsidP="00D66738">
      <w:pPr>
        <w:jc w:val="both"/>
      </w:pPr>
      <w:r>
        <w:t xml:space="preserve">Treasury and </w:t>
      </w:r>
      <w:r w:rsidR="008A44A6">
        <w:t>accounting</w:t>
      </w:r>
      <w:r>
        <w:t xml:space="preserve"> officers will likely see up-front payments as too risky unless DSBD works with them to develop risk-mitigation strategies. </w:t>
      </w:r>
    </w:p>
    <w:p w14:paraId="3DEFC4F4" w14:textId="17FA7FA1" w:rsidR="00873169" w:rsidRDefault="009614DC" w:rsidP="00D66738">
      <w:pPr>
        <w:jc w:val="both"/>
      </w:pPr>
      <w:r>
        <w:t xml:space="preserve">A </w:t>
      </w:r>
      <w:r w:rsidR="00873169">
        <w:t xml:space="preserve">Code of Good Practice with </w:t>
      </w:r>
      <w:r>
        <w:t xml:space="preserve">an efficient </w:t>
      </w:r>
      <w:r w:rsidR="00873169">
        <w:t>dispute-resolution system</w:t>
      </w:r>
      <w:r>
        <w:t xml:space="preserve"> should be established to improve sub-contracting practices. Currently small businesses complain about delayed payments, or sometimes no payment at all, as well as project creep. </w:t>
      </w:r>
    </w:p>
    <w:p w14:paraId="301D44E1" w14:textId="6EEA68B7" w:rsidR="00873169" w:rsidRPr="00803DA3" w:rsidRDefault="00873169" w:rsidP="00D66738">
      <w:pPr>
        <w:jc w:val="both"/>
      </w:pPr>
      <w:r>
        <w:lastRenderedPageBreak/>
        <w:t>Contractors would likely push back against higher standards for sub-contractors, and might insist on higher prices to cover perceived increases in costs</w:t>
      </w:r>
      <w:r w:rsidR="009614DC">
        <w:t xml:space="preserve">. The </w:t>
      </w:r>
      <w:r>
        <w:t xml:space="preserve">proposed code of good practice </w:t>
      </w:r>
      <w:r w:rsidR="009614DC">
        <w:t xml:space="preserve">could </w:t>
      </w:r>
      <w:r>
        <w:t>build on work by DPW and CIDB</w:t>
      </w:r>
      <w:r w:rsidR="009614DC">
        <w:t xml:space="preserve"> around </w:t>
      </w:r>
      <w:r w:rsidR="008A44A6">
        <w:t>subcontracting</w:t>
      </w:r>
      <w:r w:rsidR="009614DC">
        <w:t xml:space="preserve"> in construction. </w:t>
      </w:r>
    </w:p>
    <w:p w14:paraId="6DE82C40" w14:textId="77777777" w:rsidR="00873169" w:rsidRPr="00803DA3" w:rsidRDefault="00873169" w:rsidP="00D66738">
      <w:pPr>
        <w:pStyle w:val="Heading2"/>
        <w:numPr>
          <w:ilvl w:val="1"/>
          <w:numId w:val="148"/>
        </w:numPr>
        <w:ind w:left="0" w:firstLine="0"/>
        <w:jc w:val="both"/>
      </w:pPr>
      <w:bookmarkStart w:id="1058" w:name="_Toc479843969"/>
      <w:bookmarkStart w:id="1059" w:name="_Toc479844593"/>
      <w:bookmarkStart w:id="1060" w:name="_Toc479940935"/>
      <w:r>
        <w:t>Construction</w:t>
      </w:r>
      <w:bookmarkEnd w:id="1058"/>
      <w:bookmarkEnd w:id="1059"/>
      <w:bookmarkEnd w:id="1060"/>
    </w:p>
    <w:p w14:paraId="5105A308" w14:textId="048E534D" w:rsidR="00873169" w:rsidRDefault="009614DC" w:rsidP="00D66738">
      <w:pPr>
        <w:jc w:val="both"/>
      </w:pPr>
      <w:r>
        <w:t xml:space="preserve">To improve the access of small business to state tenders, </w:t>
      </w:r>
      <w:r w:rsidR="008A44A6">
        <w:t>construction</w:t>
      </w:r>
      <w:r>
        <w:t xml:space="preserve"> contracts should include a requirement that a significant share of larger tenders by subcontracted. </w:t>
      </w:r>
      <w:proofErr w:type="gramStart"/>
      <w:r>
        <w:t xml:space="preserve">These requirements should be complemented by </w:t>
      </w:r>
      <w:r w:rsidR="00873169" w:rsidRPr="003A7341">
        <w:t>regulations</w:t>
      </w:r>
      <w:proofErr w:type="gramEnd"/>
      <w:r w:rsidR="00873169" w:rsidRPr="003A7341">
        <w:t xml:space="preserve"> to ensure </w:t>
      </w:r>
      <w:r>
        <w:t xml:space="preserve">adequate protection </w:t>
      </w:r>
      <w:r w:rsidR="00873169" w:rsidRPr="003A7341">
        <w:t>for subcontractors.</w:t>
      </w:r>
    </w:p>
    <w:p w14:paraId="604C5307" w14:textId="687B4435" w:rsidR="00873169" w:rsidRPr="00803DA3" w:rsidRDefault="00873169" w:rsidP="00D66738">
      <w:pPr>
        <w:jc w:val="both"/>
      </w:pPr>
      <w:r>
        <w:t>Large contractors will likely push back</w:t>
      </w:r>
      <w:r w:rsidR="009614DC">
        <w:t>. T</w:t>
      </w:r>
      <w:r>
        <w:t xml:space="preserve">heir concerns might be mitigated if there is a system to exclude </w:t>
      </w:r>
      <w:r w:rsidR="008A44A6">
        <w:t>from</w:t>
      </w:r>
      <w:r w:rsidR="009614DC">
        <w:t xml:space="preserve"> the subcontracting requirements any </w:t>
      </w:r>
      <w:r>
        <w:t xml:space="preserve">projects that inherently require close integration </w:t>
      </w:r>
      <w:r w:rsidR="009614DC">
        <w:t xml:space="preserve">and </w:t>
      </w:r>
      <w:r w:rsidR="008A44A6">
        <w:t>careful</w:t>
      </w:r>
      <w:r w:rsidR="009614DC">
        <w:t xml:space="preserve"> phasing. </w:t>
      </w:r>
    </w:p>
    <w:p w14:paraId="6B1A2DAC" w14:textId="77777777" w:rsidR="00873169" w:rsidRPr="00803DA3" w:rsidRDefault="00873169" w:rsidP="00D66738">
      <w:pPr>
        <w:pStyle w:val="Heading2"/>
        <w:numPr>
          <w:ilvl w:val="1"/>
          <w:numId w:val="148"/>
        </w:numPr>
        <w:ind w:left="0" w:firstLine="0"/>
        <w:jc w:val="both"/>
      </w:pPr>
      <w:bookmarkStart w:id="1061" w:name="_Toc479843970"/>
      <w:bookmarkStart w:id="1062" w:name="_Toc479844594"/>
      <w:bookmarkStart w:id="1063" w:name="_Toc479940936"/>
      <w:r>
        <w:t>BBBEEE</w:t>
      </w:r>
      <w:bookmarkEnd w:id="1061"/>
      <w:bookmarkEnd w:id="1062"/>
      <w:bookmarkEnd w:id="1063"/>
    </w:p>
    <w:p w14:paraId="7567F5C6" w14:textId="4DA49EF5" w:rsidR="00873169" w:rsidRPr="00803DA3" w:rsidRDefault="008A44A6" w:rsidP="00D66738">
      <w:pPr>
        <w:jc w:val="both"/>
      </w:pPr>
      <w:r>
        <w:t>Verification</w:t>
      </w:r>
      <w:r w:rsidR="00873169">
        <w:t xml:space="preserve"> agency costs</w:t>
      </w:r>
      <w:r w:rsidR="009614DC">
        <w:t xml:space="preserve"> and practices are currently difficult to </w:t>
      </w:r>
      <w:r>
        <w:t>understand</w:t>
      </w:r>
      <w:r w:rsidR="009614DC">
        <w:t xml:space="preserve"> and poorly publicised. The </w:t>
      </w:r>
      <w:r w:rsidR="009614DC" w:rsidRPr="00D40FDE">
        <w:rPr>
          <w:b/>
        </w:rPr>
        <w:t>dti</w:t>
      </w:r>
      <w:r w:rsidR="009614DC">
        <w:t xml:space="preserve"> should be asked to require that </w:t>
      </w:r>
      <w:r>
        <w:t>verification</w:t>
      </w:r>
      <w:r w:rsidR="009614DC">
        <w:t xml:space="preserve"> </w:t>
      </w:r>
      <w:r w:rsidR="00873169">
        <w:t xml:space="preserve">agencies </w:t>
      </w:r>
      <w:r w:rsidR="009614DC">
        <w:t xml:space="preserve">publish a </w:t>
      </w:r>
      <w:proofErr w:type="gramStart"/>
      <w:r w:rsidR="00873169">
        <w:t>fees</w:t>
      </w:r>
      <w:proofErr w:type="gramEnd"/>
      <w:r w:rsidR="00873169">
        <w:t xml:space="preserve"> list </w:t>
      </w:r>
      <w:r w:rsidR="009614DC">
        <w:t xml:space="preserve">every year. The </w:t>
      </w:r>
      <w:r w:rsidR="00873169">
        <w:t>agencies may object</w:t>
      </w:r>
      <w:r w:rsidR="009614DC">
        <w:t xml:space="preserve">, but the requirement is not onerous, and it would significantly </w:t>
      </w:r>
      <w:r w:rsidR="00873169">
        <w:t>improve the efficiency and transparency of the market.</w:t>
      </w:r>
    </w:p>
    <w:p w14:paraId="086145B0" w14:textId="484A13B8" w:rsidR="00873169" w:rsidRDefault="009614DC" w:rsidP="00D66738">
      <w:pPr>
        <w:jc w:val="both"/>
      </w:pPr>
      <w:r>
        <w:t xml:space="preserve">The BBBEE Codes now enable micro enterprises and black-owned small business to provide an affidavit  rather than a full verification certificate, specifically in order to reduce their costs. The DSBD should work with Treasury and the </w:t>
      </w:r>
      <w:r w:rsidRPr="00D40FDE">
        <w:rPr>
          <w:b/>
        </w:rPr>
        <w:t xml:space="preserve">dti </w:t>
      </w:r>
      <w:r>
        <w:t xml:space="preserve">to publish this new dispensation, and consider setting up a hotline to support businesses who find that officials decline to recognise the affidavits.  </w:t>
      </w:r>
    </w:p>
    <w:p w14:paraId="4C91D247" w14:textId="377D5943" w:rsidR="00873169" w:rsidRPr="00803DA3" w:rsidRDefault="009614DC" w:rsidP="00D66738">
      <w:pPr>
        <w:jc w:val="both"/>
      </w:pPr>
      <w:r>
        <w:t xml:space="preserve">This proposal will require </w:t>
      </w:r>
      <w:r w:rsidR="00873169">
        <w:t>some effort from Treasury and the</w:t>
      </w:r>
      <w:r w:rsidR="00873169" w:rsidRPr="00D40FDE">
        <w:rPr>
          <w:b/>
        </w:rPr>
        <w:t xml:space="preserve"> dti</w:t>
      </w:r>
      <w:r w:rsidR="003949B7">
        <w:t>, and coordination in particular with the BBBEE Commission</w:t>
      </w:r>
      <w:r>
        <w:t xml:space="preserve">. </w:t>
      </w:r>
      <w:r w:rsidR="003949B7">
        <w:t>In addition, i</w:t>
      </w:r>
      <w:r>
        <w:t xml:space="preserve">t will be </w:t>
      </w:r>
      <w:r w:rsidR="008A44A6">
        <w:t>important</w:t>
      </w:r>
      <w:r>
        <w:t xml:space="preserve"> to work with supply-chain managers, including in municipalities and state-owned enterprises, to ensure that they </w:t>
      </w:r>
      <w:r w:rsidR="00873169">
        <w:t xml:space="preserve">understand that the Codes require acceptance of affidavits for </w:t>
      </w:r>
      <w:r>
        <w:t xml:space="preserve">the relevant small and micro businesses. </w:t>
      </w:r>
    </w:p>
    <w:p w14:paraId="7E86288B" w14:textId="77777777" w:rsidR="009614DC" w:rsidRDefault="009614DC" w:rsidP="00D66738">
      <w:pPr>
        <w:spacing w:before="0" w:after="200" w:line="276" w:lineRule="auto"/>
        <w:jc w:val="both"/>
        <w:rPr>
          <w:rFonts w:asciiTheme="majorHAnsi" w:eastAsiaTheme="majorEastAsia" w:hAnsiTheme="majorHAnsi" w:cstheme="majorBidi"/>
          <w:b/>
          <w:bCs/>
          <w:color w:val="365F91" w:themeColor="accent1" w:themeShade="BF"/>
          <w:sz w:val="28"/>
          <w:szCs w:val="28"/>
        </w:rPr>
      </w:pPr>
      <w:r>
        <w:br w:type="page"/>
      </w:r>
    </w:p>
    <w:p w14:paraId="096C662D" w14:textId="43DFDF4B" w:rsidR="00E41438" w:rsidRPr="00F209B7" w:rsidRDefault="00E41438" w:rsidP="00D66738">
      <w:pPr>
        <w:pStyle w:val="Heading1"/>
        <w:jc w:val="both"/>
      </w:pPr>
      <w:bookmarkStart w:id="1064" w:name="_Toc479843971"/>
      <w:bookmarkStart w:id="1065" w:name="_Toc479844595"/>
      <w:bookmarkStart w:id="1066" w:name="_Toc479940937"/>
      <w:r w:rsidRPr="00F209B7">
        <w:lastRenderedPageBreak/>
        <w:t>References</w:t>
      </w:r>
      <w:bookmarkEnd w:id="1064"/>
      <w:bookmarkEnd w:id="1065"/>
      <w:bookmarkEnd w:id="1066"/>
      <w:r w:rsidRPr="00F209B7">
        <w:t xml:space="preserve"> </w:t>
      </w:r>
    </w:p>
    <w:p w14:paraId="4F2973AA"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Bureau for Economic Research</w:t>
      </w:r>
      <w:r>
        <w:rPr>
          <w:rFonts w:ascii="Calibri" w:eastAsia="Calibri" w:hAnsi="Calibri" w:cs="Times New Roman"/>
          <w:szCs w:val="24"/>
        </w:rPr>
        <w:t xml:space="preserve">.  </w:t>
      </w:r>
      <w:r w:rsidRPr="005E3A3C">
        <w:rPr>
          <w:rFonts w:ascii="Calibri" w:eastAsia="Calibri" w:hAnsi="Calibri" w:cs="Times New Roman"/>
          <w:szCs w:val="24"/>
        </w:rPr>
        <w:t>2016</w:t>
      </w:r>
      <w:r>
        <w:rPr>
          <w:rFonts w:ascii="Calibri" w:eastAsia="Calibri" w:hAnsi="Calibri" w:cs="Times New Roman"/>
          <w:szCs w:val="24"/>
        </w:rPr>
        <w:t xml:space="preserve">. </w:t>
      </w:r>
      <w:r w:rsidRPr="008F6320">
        <w:rPr>
          <w:rFonts w:ascii="Calibri" w:eastAsia="Calibri" w:hAnsi="Calibri" w:cs="Times New Roman"/>
          <w:i/>
          <w:szCs w:val="24"/>
        </w:rPr>
        <w:t>The Small, Medium and Micro Enterprise Sector of South Africa</w:t>
      </w:r>
      <w:r w:rsidRPr="005E3A3C">
        <w:rPr>
          <w:rFonts w:ascii="Calibri" w:eastAsia="Calibri" w:hAnsi="Calibri" w:cs="Times New Roman"/>
          <w:szCs w:val="24"/>
        </w:rPr>
        <w:t>. Commissioned by The Small Enterprise Development Agency. Research Note No. 1 2016</w:t>
      </w:r>
    </w:p>
    <w:p w14:paraId="04470FD0"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Business Upstart Strategies</w:t>
      </w:r>
      <w:r>
        <w:rPr>
          <w:rFonts w:ascii="Calibri" w:eastAsia="Calibri" w:hAnsi="Calibri" w:cs="Times New Roman"/>
          <w:szCs w:val="24"/>
        </w:rPr>
        <w:t xml:space="preserve">.  </w:t>
      </w:r>
      <w:r w:rsidRPr="005E3A3C">
        <w:rPr>
          <w:rFonts w:ascii="Calibri" w:eastAsia="Calibri" w:hAnsi="Calibri" w:cs="Times New Roman"/>
          <w:szCs w:val="24"/>
        </w:rPr>
        <w:t>2004</w:t>
      </w:r>
      <w:r>
        <w:rPr>
          <w:rFonts w:ascii="Calibri" w:eastAsia="Calibri" w:hAnsi="Calibri" w:cs="Times New Roman"/>
          <w:szCs w:val="24"/>
        </w:rPr>
        <w:t xml:space="preserve">. </w:t>
      </w:r>
      <w:r w:rsidRPr="008F6320">
        <w:rPr>
          <w:rFonts w:ascii="Calibri" w:eastAsia="Calibri" w:hAnsi="Calibri" w:cs="Times New Roman"/>
          <w:i/>
          <w:szCs w:val="24"/>
        </w:rPr>
        <w:t>Measuring Value Added Tax Act and Regional Services Councils Act</w:t>
      </w:r>
      <w:r>
        <w:rPr>
          <w:rFonts w:ascii="Calibri" w:eastAsia="Calibri" w:hAnsi="Calibri" w:cs="Times New Roman"/>
          <w:i/>
          <w:szCs w:val="24"/>
        </w:rPr>
        <w:t xml:space="preserve">. </w:t>
      </w:r>
      <w:r>
        <w:rPr>
          <w:rFonts w:ascii="Calibri" w:eastAsia="Calibri" w:hAnsi="Calibri" w:cs="Times New Roman"/>
          <w:szCs w:val="24"/>
        </w:rPr>
        <w:t>C</w:t>
      </w:r>
      <w:r w:rsidRPr="005E3A3C">
        <w:rPr>
          <w:rFonts w:ascii="Calibri" w:eastAsia="Calibri" w:hAnsi="Calibri" w:cs="Times New Roman"/>
          <w:szCs w:val="24"/>
        </w:rPr>
        <w:t>ommissioned by the Department of Trade and Industry</w:t>
      </w:r>
      <w:r>
        <w:rPr>
          <w:rFonts w:ascii="Calibri" w:eastAsia="Calibri" w:hAnsi="Calibri" w:cs="Times New Roman"/>
          <w:szCs w:val="24"/>
        </w:rPr>
        <w:t>.</w:t>
      </w:r>
    </w:p>
    <w:p w14:paraId="353643E1" w14:textId="77777777" w:rsidR="008F6320" w:rsidRPr="008F6320" w:rsidRDefault="008F6320" w:rsidP="00D66738">
      <w:pPr>
        <w:jc w:val="both"/>
      </w:pPr>
      <w:r w:rsidRPr="0043646D">
        <w:t>CIPC</w:t>
      </w:r>
      <w:r>
        <w:t xml:space="preserve">.  </w:t>
      </w:r>
      <w:r w:rsidRPr="0043646D">
        <w:t>2016</w:t>
      </w:r>
      <w:r>
        <w:t xml:space="preserve">a. </w:t>
      </w:r>
      <w:r w:rsidRPr="008F6320">
        <w:rPr>
          <w:i/>
        </w:rPr>
        <w:t>The Companies Act 2008 at a Glance</w:t>
      </w:r>
      <w:r>
        <w:t>. Pretoria.</w:t>
      </w:r>
    </w:p>
    <w:p w14:paraId="7DD6D3BE" w14:textId="77777777" w:rsidR="008F6320" w:rsidRPr="008F6320" w:rsidRDefault="008F6320" w:rsidP="00D66738">
      <w:pPr>
        <w:spacing w:after="160" w:line="259" w:lineRule="auto"/>
        <w:jc w:val="both"/>
      </w:pPr>
      <w:r w:rsidRPr="00EE5F5B">
        <w:t>CIPC</w:t>
      </w:r>
      <w:r>
        <w:t xml:space="preserve">.  </w:t>
      </w:r>
      <w:r w:rsidRPr="00EE5F5B">
        <w:t>2016</w:t>
      </w:r>
      <w:r>
        <w:t xml:space="preserve">b. </w:t>
      </w:r>
      <w:r w:rsidRPr="008F6320">
        <w:rPr>
          <w:i/>
        </w:rPr>
        <w:t>CIPC Annual Report 2015/2016</w:t>
      </w:r>
      <w:r>
        <w:rPr>
          <w:i/>
        </w:rPr>
        <w:t xml:space="preserve">. </w:t>
      </w:r>
      <w:r>
        <w:t>Pretoria.</w:t>
      </w:r>
    </w:p>
    <w:p w14:paraId="35862B64" w14:textId="77777777" w:rsidR="008F6320" w:rsidRDefault="008F6320" w:rsidP="00D66738">
      <w:pPr>
        <w:jc w:val="both"/>
      </w:pPr>
      <w:r>
        <w:t xml:space="preserve">Compensation Fund. </w:t>
      </w:r>
      <w:r w:rsidRPr="00D7351F">
        <w:rPr>
          <w:i/>
        </w:rPr>
        <w:t>Annual Report 2015/6.</w:t>
      </w:r>
      <w:r>
        <w:t xml:space="preserve"> Pretoria. </w:t>
      </w:r>
    </w:p>
    <w:p w14:paraId="773B6F78"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Davis Tax Committee</w:t>
      </w:r>
      <w:r>
        <w:rPr>
          <w:rFonts w:ascii="Calibri" w:eastAsia="Calibri" w:hAnsi="Calibri" w:cs="Times New Roman"/>
          <w:szCs w:val="24"/>
        </w:rPr>
        <w:t xml:space="preserve">.  </w:t>
      </w:r>
      <w:r w:rsidRPr="005E3A3C">
        <w:rPr>
          <w:rFonts w:ascii="Calibri" w:eastAsia="Calibri" w:hAnsi="Calibri" w:cs="Times New Roman"/>
          <w:szCs w:val="24"/>
        </w:rPr>
        <w:t>2014</w:t>
      </w:r>
      <w:r>
        <w:rPr>
          <w:rFonts w:ascii="Calibri" w:eastAsia="Calibri" w:hAnsi="Calibri" w:cs="Times New Roman"/>
          <w:szCs w:val="24"/>
        </w:rPr>
        <w:t xml:space="preserve">. </w:t>
      </w:r>
      <w:r w:rsidRPr="008F6320">
        <w:rPr>
          <w:rFonts w:ascii="Calibri" w:eastAsia="Calibri" w:hAnsi="Calibri" w:cs="Times New Roman"/>
          <w:i/>
          <w:szCs w:val="24"/>
        </w:rPr>
        <w:t>Small and Medium Enterprise Taxation Considerations, Interim Report, July 2014</w:t>
      </w:r>
      <w:r w:rsidRPr="005E3A3C">
        <w:rPr>
          <w:rFonts w:ascii="Calibri" w:eastAsia="Calibri" w:hAnsi="Calibri" w:cs="Times New Roman"/>
          <w:szCs w:val="24"/>
        </w:rPr>
        <w:t>.</w:t>
      </w:r>
      <w:r>
        <w:rPr>
          <w:rFonts w:ascii="Calibri" w:eastAsia="Calibri" w:hAnsi="Calibri" w:cs="Times New Roman"/>
          <w:szCs w:val="24"/>
        </w:rPr>
        <w:t xml:space="preserve"> Pretoria. </w:t>
      </w:r>
    </w:p>
    <w:p w14:paraId="3E304E1F"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Davis Tax Committee</w:t>
      </w:r>
      <w:r>
        <w:rPr>
          <w:rFonts w:ascii="Calibri" w:eastAsia="Calibri" w:hAnsi="Calibri" w:cs="Times New Roman"/>
          <w:szCs w:val="24"/>
        </w:rPr>
        <w:t xml:space="preserve">.  </w:t>
      </w:r>
      <w:r w:rsidRPr="005E3A3C">
        <w:rPr>
          <w:rFonts w:ascii="Calibri" w:eastAsia="Calibri" w:hAnsi="Calibri" w:cs="Times New Roman"/>
          <w:szCs w:val="24"/>
        </w:rPr>
        <w:t>2016</w:t>
      </w:r>
      <w:r>
        <w:rPr>
          <w:rFonts w:ascii="Calibri" w:eastAsia="Calibri" w:hAnsi="Calibri" w:cs="Times New Roman"/>
          <w:szCs w:val="24"/>
        </w:rPr>
        <w:t xml:space="preserve">. </w:t>
      </w:r>
      <w:r w:rsidRPr="008F6320">
        <w:rPr>
          <w:rFonts w:ascii="Calibri" w:eastAsia="Calibri" w:hAnsi="Calibri" w:cs="Times New Roman"/>
          <w:i/>
          <w:szCs w:val="24"/>
        </w:rPr>
        <w:t>Small and Medium Enterprise Taxation Considerations, Second and Final Report, April 2016</w:t>
      </w:r>
      <w:r w:rsidRPr="005E3A3C">
        <w:rPr>
          <w:rFonts w:ascii="Calibri" w:eastAsia="Calibri" w:hAnsi="Calibri" w:cs="Times New Roman"/>
          <w:szCs w:val="24"/>
        </w:rPr>
        <w:t>.</w:t>
      </w:r>
      <w:r>
        <w:rPr>
          <w:rFonts w:ascii="Calibri" w:eastAsia="Calibri" w:hAnsi="Calibri" w:cs="Times New Roman"/>
          <w:szCs w:val="24"/>
        </w:rPr>
        <w:t xml:space="preserve"> Pretoria. </w:t>
      </w:r>
    </w:p>
    <w:p w14:paraId="5E31DAF2"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Department of Trade and Industry</w:t>
      </w:r>
      <w:r>
        <w:rPr>
          <w:rFonts w:ascii="Calibri" w:eastAsia="Calibri" w:hAnsi="Calibri" w:cs="Times New Roman"/>
          <w:szCs w:val="24"/>
        </w:rPr>
        <w:t xml:space="preserve">.  </w:t>
      </w:r>
      <w:r w:rsidRPr="005E3A3C">
        <w:rPr>
          <w:rFonts w:ascii="Calibri" w:eastAsia="Calibri" w:hAnsi="Calibri" w:cs="Times New Roman"/>
          <w:szCs w:val="24"/>
        </w:rPr>
        <w:t>2003</w:t>
      </w:r>
      <w:r w:rsidRPr="008F6320">
        <w:rPr>
          <w:rFonts w:ascii="Calibri" w:eastAsia="Calibri" w:hAnsi="Calibri" w:cs="Times New Roman"/>
          <w:i/>
          <w:szCs w:val="24"/>
        </w:rPr>
        <w:t>. Annual Review of Small Business in South Africa – 2003</w:t>
      </w:r>
      <w:r>
        <w:rPr>
          <w:rFonts w:ascii="Calibri" w:eastAsia="Calibri" w:hAnsi="Calibri" w:cs="Times New Roman"/>
          <w:szCs w:val="24"/>
        </w:rPr>
        <w:t xml:space="preserve">. Pretoria. </w:t>
      </w:r>
    </w:p>
    <w:p w14:paraId="39A94E08"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Department of Trade and Industry</w:t>
      </w:r>
      <w:r>
        <w:rPr>
          <w:rFonts w:ascii="Calibri" w:eastAsia="Calibri" w:hAnsi="Calibri" w:cs="Times New Roman"/>
          <w:szCs w:val="24"/>
        </w:rPr>
        <w:t xml:space="preserve">.  </w:t>
      </w:r>
      <w:r w:rsidRPr="005E3A3C">
        <w:rPr>
          <w:rFonts w:ascii="Calibri" w:eastAsia="Calibri" w:hAnsi="Calibri" w:cs="Times New Roman"/>
          <w:szCs w:val="24"/>
        </w:rPr>
        <w:t>2005</w:t>
      </w:r>
      <w:r>
        <w:rPr>
          <w:rFonts w:ascii="Calibri" w:eastAsia="Calibri" w:hAnsi="Calibri" w:cs="Times New Roman"/>
          <w:szCs w:val="24"/>
        </w:rPr>
        <w:t xml:space="preserve">. </w:t>
      </w:r>
      <w:r w:rsidRPr="008F6320">
        <w:rPr>
          <w:rFonts w:ascii="Calibri" w:eastAsia="Calibri" w:hAnsi="Calibri" w:cs="Times New Roman"/>
          <w:i/>
          <w:szCs w:val="24"/>
        </w:rPr>
        <w:t>Integrated Strategy on the Promotion of Entrepreneurship and Small Enterprises</w:t>
      </w:r>
      <w:r w:rsidRPr="005E3A3C">
        <w:rPr>
          <w:rFonts w:ascii="Calibri" w:eastAsia="Calibri" w:hAnsi="Calibri" w:cs="Times New Roman"/>
          <w:szCs w:val="24"/>
        </w:rPr>
        <w:t>. Pretoria.</w:t>
      </w:r>
    </w:p>
    <w:p w14:paraId="2F2353C3"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Department of Trade and Industry</w:t>
      </w:r>
      <w:r>
        <w:rPr>
          <w:rFonts w:ascii="Calibri" w:eastAsia="Calibri" w:hAnsi="Calibri" w:cs="Times New Roman"/>
          <w:szCs w:val="24"/>
        </w:rPr>
        <w:t xml:space="preserve">.  </w:t>
      </w:r>
      <w:r w:rsidRPr="005E3A3C">
        <w:rPr>
          <w:rFonts w:ascii="Calibri" w:eastAsia="Calibri" w:hAnsi="Calibri" w:cs="Times New Roman"/>
          <w:szCs w:val="24"/>
        </w:rPr>
        <w:t>2005</w:t>
      </w:r>
      <w:r>
        <w:rPr>
          <w:rFonts w:ascii="Calibri" w:eastAsia="Calibri" w:hAnsi="Calibri" w:cs="Times New Roman"/>
          <w:szCs w:val="24"/>
        </w:rPr>
        <w:t xml:space="preserve">. </w:t>
      </w:r>
      <w:r w:rsidRPr="008F6320">
        <w:rPr>
          <w:rFonts w:ascii="Calibri" w:eastAsia="Calibri" w:hAnsi="Calibri" w:cs="Times New Roman"/>
          <w:i/>
          <w:szCs w:val="24"/>
        </w:rPr>
        <w:t>Review of Ten Years of Small Business Support in South Africa 1994 – 2004</w:t>
      </w:r>
      <w:r>
        <w:rPr>
          <w:rFonts w:ascii="Calibri" w:eastAsia="Calibri" w:hAnsi="Calibri" w:cs="Times New Roman"/>
          <w:szCs w:val="24"/>
        </w:rPr>
        <w:t xml:space="preserve">. Pretoria. </w:t>
      </w:r>
    </w:p>
    <w:p w14:paraId="795124EC"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Department of Trade and Industry</w:t>
      </w:r>
      <w:r>
        <w:rPr>
          <w:rFonts w:ascii="Calibri" w:eastAsia="Calibri" w:hAnsi="Calibri" w:cs="Times New Roman"/>
          <w:szCs w:val="24"/>
        </w:rPr>
        <w:t xml:space="preserve">.  </w:t>
      </w:r>
      <w:r w:rsidRPr="008F6320">
        <w:rPr>
          <w:rFonts w:ascii="Calibri" w:eastAsia="Calibri" w:hAnsi="Calibri" w:cs="Times New Roman"/>
          <w:i/>
          <w:szCs w:val="24"/>
        </w:rPr>
        <w:t xml:space="preserve">2008. Annual review of </w:t>
      </w:r>
      <w:r>
        <w:rPr>
          <w:rFonts w:ascii="Calibri" w:eastAsia="Calibri" w:hAnsi="Calibri" w:cs="Times New Roman"/>
          <w:i/>
          <w:szCs w:val="24"/>
        </w:rPr>
        <w:t>Small Business</w:t>
      </w:r>
      <w:r w:rsidRPr="008F6320">
        <w:rPr>
          <w:rFonts w:ascii="Calibri" w:eastAsia="Calibri" w:hAnsi="Calibri" w:cs="Times New Roman"/>
          <w:i/>
          <w:szCs w:val="24"/>
        </w:rPr>
        <w:t xml:space="preserve"> in South Africa 2005-2007.</w:t>
      </w:r>
      <w:r w:rsidRPr="005E3A3C">
        <w:rPr>
          <w:rFonts w:ascii="Calibri" w:eastAsia="Calibri" w:hAnsi="Calibri" w:cs="Times New Roman"/>
          <w:szCs w:val="24"/>
        </w:rPr>
        <w:t xml:space="preserve"> Pretoria</w:t>
      </w:r>
      <w:r>
        <w:rPr>
          <w:rFonts w:ascii="Calibri" w:eastAsia="Calibri" w:hAnsi="Calibri" w:cs="Times New Roman"/>
          <w:szCs w:val="24"/>
        </w:rPr>
        <w:t>.</w:t>
      </w:r>
      <w:r w:rsidRPr="005E3A3C">
        <w:rPr>
          <w:rFonts w:ascii="Calibri" w:eastAsia="Calibri" w:hAnsi="Calibri" w:cs="Times New Roman"/>
          <w:szCs w:val="24"/>
        </w:rPr>
        <w:t xml:space="preserve"> </w:t>
      </w:r>
    </w:p>
    <w:p w14:paraId="39025DB5" w14:textId="30BC91B0" w:rsidR="008F6320" w:rsidRPr="00C06E86" w:rsidRDefault="008F6320" w:rsidP="00D66738">
      <w:pPr>
        <w:jc w:val="both"/>
        <w:rPr>
          <w:i/>
        </w:rPr>
      </w:pPr>
      <w:r w:rsidRPr="00C06E86">
        <w:t>DPME. 2016.</w:t>
      </w:r>
      <w:r w:rsidRPr="00C06E86">
        <w:rPr>
          <w:i/>
        </w:rPr>
        <w:t xml:space="preserve"> Report on t</w:t>
      </w:r>
      <w:r>
        <w:rPr>
          <w:i/>
        </w:rPr>
        <w:t>he pay</w:t>
      </w:r>
      <w:r w:rsidRPr="00C06E86">
        <w:rPr>
          <w:i/>
        </w:rPr>
        <w:t>ment of suppliers</w:t>
      </w:r>
      <w:r>
        <w:rPr>
          <w:i/>
        </w:rPr>
        <w:t xml:space="preserve"> (</w:t>
      </w:r>
      <w:r w:rsidRPr="00C06E86">
        <w:rPr>
          <w:i/>
        </w:rPr>
        <w:t>service providers</w:t>
      </w:r>
      <w:r>
        <w:rPr>
          <w:i/>
        </w:rPr>
        <w:t xml:space="preserve">) </w:t>
      </w:r>
      <w:r w:rsidRPr="00C06E86">
        <w:rPr>
          <w:i/>
        </w:rPr>
        <w:t>within 30-days and the role of the Special Unit within the Department of Planning, Monitoring and Evaluation</w:t>
      </w:r>
      <w:r>
        <w:rPr>
          <w:i/>
        </w:rPr>
        <w:t xml:space="preserve">.  </w:t>
      </w:r>
      <w:r w:rsidRPr="00C06E86">
        <w:rPr>
          <w:i/>
        </w:rPr>
        <w:t>DPME</w:t>
      </w:r>
      <w:r>
        <w:rPr>
          <w:i/>
        </w:rPr>
        <w:t xml:space="preserve">. </w:t>
      </w:r>
      <w:r>
        <w:t xml:space="preserve">Input to Parliamentary Portfolio Committee. September. Downloaded from </w:t>
      </w:r>
      <w:r w:rsidRPr="0065619D">
        <w:t>www.pmg.org.za</w:t>
      </w:r>
      <w:r>
        <w:t xml:space="preserve"> in March 2017. </w:t>
      </w:r>
    </w:p>
    <w:p w14:paraId="2AD1B8DB" w14:textId="77777777" w:rsidR="008F6320" w:rsidRPr="008F6320" w:rsidRDefault="008F6320" w:rsidP="00D66738">
      <w:pPr>
        <w:spacing w:after="160" w:line="259" w:lineRule="auto"/>
        <w:jc w:val="both"/>
      </w:pPr>
      <w:r>
        <w:t xml:space="preserve">dti, 2009. </w:t>
      </w:r>
      <w:r w:rsidRPr="008F6320">
        <w:rPr>
          <w:i/>
        </w:rPr>
        <w:t>The dti baseline study of co-operatives in South Africa</w:t>
      </w:r>
      <w:r>
        <w:rPr>
          <w:i/>
        </w:rPr>
        <w:t xml:space="preserve">. </w:t>
      </w:r>
      <w:r>
        <w:t xml:space="preserve">Department of Trade and Industry. Pretoria. </w:t>
      </w:r>
    </w:p>
    <w:p w14:paraId="4AAD63B4" w14:textId="5CA9DC61"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Economic Development Department</w:t>
      </w:r>
      <w:r>
        <w:rPr>
          <w:rFonts w:ascii="Calibri" w:eastAsia="Calibri" w:hAnsi="Calibri" w:cs="Times New Roman"/>
          <w:szCs w:val="24"/>
        </w:rPr>
        <w:t xml:space="preserve">.  </w:t>
      </w:r>
      <w:r w:rsidRPr="005E3A3C">
        <w:rPr>
          <w:rFonts w:ascii="Calibri" w:eastAsia="Calibri" w:hAnsi="Calibri" w:cs="Times New Roman"/>
          <w:szCs w:val="24"/>
        </w:rPr>
        <w:t>2012</w:t>
      </w:r>
      <w:r>
        <w:rPr>
          <w:rFonts w:ascii="Calibri" w:eastAsia="Calibri" w:hAnsi="Calibri" w:cs="Times New Roman"/>
          <w:szCs w:val="24"/>
        </w:rPr>
        <w:t xml:space="preserve">. </w:t>
      </w:r>
      <w:r w:rsidRPr="008F6320">
        <w:rPr>
          <w:rFonts w:ascii="Calibri" w:eastAsia="Calibri" w:hAnsi="Calibri" w:cs="Times New Roman"/>
          <w:i/>
          <w:szCs w:val="24"/>
        </w:rPr>
        <w:t>SME Regulatory Impediment Index</w:t>
      </w:r>
      <w:r w:rsidRPr="005E3A3C">
        <w:rPr>
          <w:rFonts w:ascii="Calibri" w:eastAsia="Calibri" w:hAnsi="Calibri" w:cs="Times New Roman"/>
          <w:szCs w:val="24"/>
        </w:rPr>
        <w:t>. Prepared for Economic Development Department by Africa Growth Institute /</w:t>
      </w:r>
      <w:proofErr w:type="spellStart"/>
      <w:r w:rsidR="008A44A6" w:rsidRPr="005E3A3C">
        <w:rPr>
          <w:rFonts w:ascii="Calibri" w:eastAsia="Calibri" w:hAnsi="Calibri" w:cs="Times New Roman"/>
          <w:szCs w:val="24"/>
        </w:rPr>
        <w:t>Afric</w:t>
      </w:r>
      <w:r w:rsidR="008A44A6">
        <w:rPr>
          <w:rFonts w:ascii="Calibri" w:eastAsia="Calibri" w:hAnsi="Calibri" w:cs="Times New Roman"/>
          <w:szCs w:val="24"/>
        </w:rPr>
        <w:t>a</w:t>
      </w:r>
      <w:r w:rsidR="008A44A6" w:rsidRPr="005E3A3C">
        <w:rPr>
          <w:rFonts w:ascii="Calibri" w:eastAsia="Calibri" w:hAnsi="Calibri" w:cs="Times New Roman"/>
          <w:szCs w:val="24"/>
        </w:rPr>
        <w:t>re</w:t>
      </w:r>
      <w:proofErr w:type="spellEnd"/>
      <w:r w:rsidRPr="005E3A3C">
        <w:rPr>
          <w:rFonts w:ascii="Calibri" w:eastAsia="Calibri" w:hAnsi="Calibri" w:cs="Times New Roman"/>
          <w:szCs w:val="24"/>
        </w:rPr>
        <w:t>. September 2012</w:t>
      </w:r>
    </w:p>
    <w:p w14:paraId="78D6C86E" w14:textId="77777777" w:rsidR="008F6320" w:rsidRDefault="008F6320" w:rsidP="00D66738">
      <w:pPr>
        <w:jc w:val="both"/>
        <w:rPr>
          <w:rFonts w:ascii="Calibri" w:eastAsia="Calibri" w:hAnsi="Calibri" w:cs="Times New Roman"/>
          <w:szCs w:val="24"/>
        </w:rPr>
      </w:pPr>
      <w:proofErr w:type="spellStart"/>
      <w:r>
        <w:rPr>
          <w:rFonts w:ascii="Calibri" w:eastAsia="Calibri" w:hAnsi="Calibri" w:cs="Times New Roman"/>
          <w:szCs w:val="24"/>
        </w:rPr>
        <w:t>Fetola</w:t>
      </w:r>
      <w:proofErr w:type="spellEnd"/>
      <w:r>
        <w:rPr>
          <w:rFonts w:ascii="Calibri" w:eastAsia="Calibri" w:hAnsi="Calibri" w:cs="Times New Roman"/>
          <w:szCs w:val="24"/>
        </w:rPr>
        <w:t>.  2013. “Small business</w:t>
      </w:r>
      <w:r w:rsidRPr="00DB0722">
        <w:rPr>
          <w:rFonts w:ascii="Calibri" w:eastAsia="Calibri" w:hAnsi="Calibri" w:cs="Times New Roman"/>
          <w:szCs w:val="24"/>
        </w:rPr>
        <w:t xml:space="preserve"> finds SETAS wanting</w:t>
      </w:r>
      <w:r>
        <w:rPr>
          <w:rFonts w:ascii="Calibri" w:eastAsia="Calibri" w:hAnsi="Calibri" w:cs="Times New Roman"/>
          <w:szCs w:val="24"/>
        </w:rPr>
        <w:t xml:space="preserve">.” </w:t>
      </w:r>
      <w:r w:rsidRPr="00DB0722">
        <w:rPr>
          <w:rFonts w:ascii="Calibri" w:eastAsia="Calibri" w:hAnsi="Calibri" w:cs="Times New Roman"/>
          <w:szCs w:val="24"/>
        </w:rPr>
        <w:t xml:space="preserve">Catherine </w:t>
      </w:r>
      <w:proofErr w:type="spellStart"/>
      <w:r w:rsidRPr="00DB0722">
        <w:rPr>
          <w:rFonts w:ascii="Calibri" w:eastAsia="Calibri" w:hAnsi="Calibri" w:cs="Times New Roman"/>
          <w:szCs w:val="24"/>
        </w:rPr>
        <w:t>Wijnberg</w:t>
      </w:r>
      <w:proofErr w:type="spellEnd"/>
      <w:r>
        <w:rPr>
          <w:rFonts w:ascii="Calibri" w:eastAsia="Calibri" w:hAnsi="Calibri" w:cs="Times New Roman"/>
          <w:szCs w:val="24"/>
        </w:rPr>
        <w:t>.</w:t>
      </w:r>
      <w:r w:rsidRPr="00DB0722">
        <w:rPr>
          <w:rFonts w:ascii="Calibri" w:eastAsia="Calibri" w:hAnsi="Calibri" w:cs="Times New Roman"/>
          <w:szCs w:val="24"/>
        </w:rPr>
        <w:t xml:space="preserve"> 10 May 2013</w:t>
      </w:r>
    </w:p>
    <w:p w14:paraId="62D40E35"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Financial Services Regulatory Task Group</w:t>
      </w:r>
      <w:r>
        <w:rPr>
          <w:rFonts w:ascii="Calibri" w:eastAsia="Calibri" w:hAnsi="Calibri" w:cs="Times New Roman"/>
          <w:szCs w:val="24"/>
        </w:rPr>
        <w:t xml:space="preserve">.  </w:t>
      </w:r>
      <w:r w:rsidRPr="005E3A3C">
        <w:rPr>
          <w:rFonts w:ascii="Calibri" w:eastAsia="Calibri" w:hAnsi="Calibri" w:cs="Times New Roman"/>
          <w:szCs w:val="24"/>
        </w:rPr>
        <w:t>2007</w:t>
      </w:r>
      <w:r>
        <w:rPr>
          <w:rFonts w:ascii="Calibri" w:eastAsia="Calibri" w:hAnsi="Calibri" w:cs="Times New Roman"/>
          <w:szCs w:val="24"/>
        </w:rPr>
        <w:t xml:space="preserve">. SMEs’ </w:t>
      </w:r>
      <w:r w:rsidRPr="005E3A3C">
        <w:rPr>
          <w:rFonts w:ascii="Calibri" w:eastAsia="Calibri" w:hAnsi="Calibri" w:cs="Times New Roman"/>
          <w:szCs w:val="24"/>
        </w:rPr>
        <w:t>Access to Finance in South Africa: A Supply-Side Regulatory Review.</w:t>
      </w:r>
    </w:p>
    <w:p w14:paraId="7C31F6D2"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Finmark Trust</w:t>
      </w:r>
      <w:r>
        <w:rPr>
          <w:rFonts w:ascii="Calibri" w:eastAsia="Calibri" w:hAnsi="Calibri" w:cs="Times New Roman"/>
          <w:szCs w:val="24"/>
        </w:rPr>
        <w:t xml:space="preserve">.  </w:t>
      </w:r>
      <w:r w:rsidRPr="005E3A3C">
        <w:rPr>
          <w:rFonts w:ascii="Calibri" w:eastAsia="Calibri" w:hAnsi="Calibri" w:cs="Times New Roman"/>
          <w:szCs w:val="24"/>
        </w:rPr>
        <w:t>2010</w:t>
      </w:r>
      <w:r>
        <w:rPr>
          <w:rFonts w:ascii="Calibri" w:eastAsia="Calibri" w:hAnsi="Calibri" w:cs="Times New Roman"/>
          <w:szCs w:val="24"/>
        </w:rPr>
        <w:t xml:space="preserve">. </w:t>
      </w:r>
      <w:proofErr w:type="spellStart"/>
      <w:r w:rsidRPr="005E3A3C">
        <w:rPr>
          <w:rFonts w:ascii="Calibri" w:eastAsia="Calibri" w:hAnsi="Calibri" w:cs="Times New Roman"/>
          <w:szCs w:val="24"/>
        </w:rPr>
        <w:t>Finscope</w:t>
      </w:r>
      <w:proofErr w:type="spellEnd"/>
      <w:r w:rsidRPr="005E3A3C">
        <w:rPr>
          <w:rFonts w:ascii="Calibri" w:eastAsia="Calibri" w:hAnsi="Calibri" w:cs="Times New Roman"/>
          <w:szCs w:val="24"/>
        </w:rPr>
        <w:t xml:space="preserve"> Small Business Survey. Johannesburg.</w:t>
      </w:r>
    </w:p>
    <w:p w14:paraId="23D6C1E3"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International Labour Organisation</w:t>
      </w:r>
      <w:r>
        <w:rPr>
          <w:rFonts w:ascii="Calibri" w:eastAsia="Calibri" w:hAnsi="Calibri" w:cs="Times New Roman"/>
          <w:szCs w:val="24"/>
        </w:rPr>
        <w:t xml:space="preserve">.  </w:t>
      </w:r>
      <w:r w:rsidRPr="005E3A3C">
        <w:rPr>
          <w:rFonts w:ascii="Calibri" w:eastAsia="Calibri" w:hAnsi="Calibri" w:cs="Times New Roman"/>
          <w:szCs w:val="24"/>
        </w:rPr>
        <w:t>2016</w:t>
      </w:r>
      <w:r>
        <w:rPr>
          <w:rFonts w:ascii="Calibri" w:eastAsia="Calibri" w:hAnsi="Calibri" w:cs="Times New Roman"/>
          <w:szCs w:val="24"/>
        </w:rPr>
        <w:t xml:space="preserve">. </w:t>
      </w:r>
      <w:r w:rsidRPr="005E3A3C">
        <w:rPr>
          <w:rFonts w:ascii="Calibri" w:eastAsia="Calibri" w:hAnsi="Calibri" w:cs="Times New Roman"/>
          <w:szCs w:val="24"/>
        </w:rPr>
        <w:t>Enabling Environment for Sustainable Enterprises South Africa. February 2016</w:t>
      </w:r>
    </w:p>
    <w:p w14:paraId="00D8F504" w14:textId="77777777" w:rsidR="008F6320" w:rsidRDefault="008F6320" w:rsidP="00D66738">
      <w:pPr>
        <w:jc w:val="both"/>
        <w:rPr>
          <w:rFonts w:cs="Calibri"/>
          <w:b/>
          <w:bCs/>
          <w:color w:val="000000"/>
          <w:sz w:val="40"/>
          <w:szCs w:val="40"/>
        </w:rPr>
      </w:pPr>
      <w:r>
        <w:lastRenderedPageBreak/>
        <w:t xml:space="preserve">Makgetla, N. 2016. </w:t>
      </w:r>
      <w:r w:rsidRPr="00E14235">
        <w:rPr>
          <w:i/>
        </w:rPr>
        <w:t>Using the UIF surplus as part of a stimulus package</w:t>
      </w:r>
      <w:r>
        <w:rPr>
          <w:i/>
        </w:rPr>
        <w:t xml:space="preserve">. </w:t>
      </w:r>
      <w:r>
        <w:t xml:space="preserve">TIPS Policy Brief 1/2016. Pretoria. </w:t>
      </w:r>
    </w:p>
    <w:p w14:paraId="1E3C3BE0"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National Planning Commission</w:t>
      </w:r>
      <w:r>
        <w:rPr>
          <w:rFonts w:ascii="Calibri" w:eastAsia="Calibri" w:hAnsi="Calibri" w:cs="Times New Roman"/>
          <w:szCs w:val="24"/>
        </w:rPr>
        <w:t xml:space="preserve">.  </w:t>
      </w:r>
      <w:r w:rsidRPr="005E3A3C">
        <w:rPr>
          <w:rFonts w:ascii="Calibri" w:eastAsia="Calibri" w:hAnsi="Calibri" w:cs="Times New Roman"/>
          <w:szCs w:val="24"/>
        </w:rPr>
        <w:t>2011</w:t>
      </w:r>
      <w:r>
        <w:rPr>
          <w:rFonts w:ascii="Calibri" w:eastAsia="Calibri" w:hAnsi="Calibri" w:cs="Times New Roman"/>
          <w:szCs w:val="24"/>
        </w:rPr>
        <w:t xml:space="preserve">. </w:t>
      </w:r>
      <w:r w:rsidRPr="005E3A3C">
        <w:rPr>
          <w:rFonts w:ascii="Calibri" w:eastAsia="Calibri" w:hAnsi="Calibri" w:cs="Times New Roman"/>
          <w:i/>
          <w:iCs/>
          <w:szCs w:val="24"/>
        </w:rPr>
        <w:t xml:space="preserve">National Development Plan 2030. </w:t>
      </w:r>
      <w:r w:rsidRPr="005E3A3C">
        <w:rPr>
          <w:rFonts w:ascii="Calibri" w:eastAsia="Calibri" w:hAnsi="Calibri" w:cs="Times New Roman"/>
          <w:szCs w:val="24"/>
        </w:rPr>
        <w:t>Pretoria.</w:t>
      </w:r>
    </w:p>
    <w:p w14:paraId="07D1B44E" w14:textId="77777777" w:rsidR="008F6320" w:rsidRPr="005E3A3C" w:rsidRDefault="008F6320" w:rsidP="00D66738">
      <w:pPr>
        <w:spacing w:after="160" w:line="259" w:lineRule="auto"/>
        <w:jc w:val="both"/>
        <w:rPr>
          <w:rFonts w:ascii="Calibri" w:eastAsia="Calibri" w:hAnsi="Calibri" w:cs="Times New Roman"/>
          <w:szCs w:val="24"/>
        </w:rPr>
      </w:pPr>
      <w:proofErr w:type="spellStart"/>
      <w:r w:rsidRPr="005E3A3C">
        <w:rPr>
          <w:rFonts w:ascii="Calibri" w:eastAsia="Calibri" w:hAnsi="Calibri" w:cs="Times New Roman"/>
          <w:szCs w:val="24"/>
        </w:rPr>
        <w:t>Osiba</w:t>
      </w:r>
      <w:proofErr w:type="spellEnd"/>
      <w:r w:rsidRPr="005E3A3C">
        <w:rPr>
          <w:rFonts w:ascii="Calibri" w:eastAsia="Calibri" w:hAnsi="Calibri" w:cs="Times New Roman"/>
          <w:szCs w:val="24"/>
        </w:rPr>
        <w:t xml:space="preserve"> Research CC</w:t>
      </w:r>
      <w:r>
        <w:rPr>
          <w:rFonts w:ascii="Calibri" w:eastAsia="Calibri" w:hAnsi="Calibri" w:cs="Times New Roman"/>
          <w:szCs w:val="24"/>
        </w:rPr>
        <w:t xml:space="preserve">.  </w:t>
      </w:r>
      <w:r w:rsidRPr="005E3A3C">
        <w:rPr>
          <w:rFonts w:ascii="Calibri" w:eastAsia="Calibri" w:hAnsi="Calibri" w:cs="Times New Roman"/>
          <w:szCs w:val="24"/>
        </w:rPr>
        <w:t>2011</w:t>
      </w:r>
      <w:r>
        <w:rPr>
          <w:rFonts w:ascii="Calibri" w:eastAsia="Calibri" w:hAnsi="Calibri" w:cs="Times New Roman"/>
          <w:szCs w:val="24"/>
        </w:rPr>
        <w:t xml:space="preserve">. </w:t>
      </w:r>
      <w:r w:rsidRPr="008F6320">
        <w:rPr>
          <w:rFonts w:ascii="Calibri" w:eastAsia="Calibri" w:hAnsi="Calibri" w:cs="Times New Roman"/>
          <w:i/>
          <w:szCs w:val="24"/>
        </w:rPr>
        <w:t>Rethinking Small Business Support in South Africa: Report on the Review of Government Support for Small Business</w:t>
      </w:r>
      <w:r w:rsidRPr="005E3A3C">
        <w:rPr>
          <w:rFonts w:ascii="Calibri" w:eastAsia="Calibri" w:hAnsi="Calibri" w:cs="Times New Roman"/>
          <w:szCs w:val="24"/>
        </w:rPr>
        <w:t>. Submitted to Department of Trade and Industry</w:t>
      </w:r>
      <w:r>
        <w:rPr>
          <w:rFonts w:ascii="Calibri" w:eastAsia="Calibri" w:hAnsi="Calibri" w:cs="Times New Roman"/>
          <w:szCs w:val="24"/>
        </w:rPr>
        <w:t>. August. Pretoria.</w:t>
      </w:r>
    </w:p>
    <w:p w14:paraId="12FECE99"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Parliament of the Republic of South Africa</w:t>
      </w:r>
      <w:r>
        <w:rPr>
          <w:rFonts w:ascii="Calibri" w:eastAsia="Calibri" w:hAnsi="Calibri" w:cs="Times New Roman"/>
          <w:szCs w:val="24"/>
        </w:rPr>
        <w:t xml:space="preserve">.  </w:t>
      </w:r>
      <w:r w:rsidRPr="005E3A3C">
        <w:rPr>
          <w:rFonts w:ascii="Calibri" w:eastAsia="Calibri" w:hAnsi="Calibri" w:cs="Times New Roman"/>
          <w:szCs w:val="24"/>
        </w:rPr>
        <w:t>1995</w:t>
      </w:r>
      <w:r>
        <w:rPr>
          <w:rFonts w:ascii="Calibri" w:eastAsia="Calibri" w:hAnsi="Calibri" w:cs="Times New Roman"/>
          <w:szCs w:val="24"/>
        </w:rPr>
        <w:t xml:space="preserve">. </w:t>
      </w:r>
      <w:r w:rsidRPr="008F6320">
        <w:rPr>
          <w:rFonts w:ascii="Calibri" w:eastAsia="Calibri" w:hAnsi="Calibri" w:cs="Times New Roman"/>
          <w:i/>
          <w:szCs w:val="24"/>
        </w:rPr>
        <w:t>White Paper on National Strategy for the development and promotion of small businesses in South Africa</w:t>
      </w:r>
      <w:r w:rsidRPr="005E3A3C">
        <w:rPr>
          <w:rFonts w:ascii="Calibri" w:eastAsia="Calibri" w:hAnsi="Calibri" w:cs="Times New Roman"/>
          <w:szCs w:val="24"/>
        </w:rPr>
        <w:t>. Pretoria: Government Printer.</w:t>
      </w:r>
    </w:p>
    <w:p w14:paraId="54486C88" w14:textId="77777777" w:rsidR="008F6320" w:rsidRPr="008F6320"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SBP</w:t>
      </w:r>
      <w:r>
        <w:rPr>
          <w:rFonts w:ascii="Calibri" w:eastAsia="Calibri" w:hAnsi="Calibri" w:cs="Times New Roman"/>
          <w:szCs w:val="24"/>
        </w:rPr>
        <w:t xml:space="preserve">.  </w:t>
      </w:r>
      <w:r w:rsidRPr="005E3A3C">
        <w:rPr>
          <w:rFonts w:ascii="Calibri" w:eastAsia="Calibri" w:hAnsi="Calibri" w:cs="Times New Roman"/>
          <w:szCs w:val="24"/>
        </w:rPr>
        <w:t>2005</w:t>
      </w:r>
      <w:r>
        <w:rPr>
          <w:rFonts w:ascii="Calibri" w:eastAsia="Calibri" w:hAnsi="Calibri" w:cs="Times New Roman"/>
          <w:szCs w:val="24"/>
        </w:rPr>
        <w:t xml:space="preserve">. </w:t>
      </w:r>
      <w:r w:rsidRPr="008F6320">
        <w:rPr>
          <w:rFonts w:ascii="Calibri" w:eastAsia="Calibri" w:hAnsi="Calibri" w:cs="Times New Roman"/>
          <w:i/>
          <w:szCs w:val="24"/>
        </w:rPr>
        <w:t>Counting the Cost of Red Tape for Business in South Africa</w:t>
      </w:r>
      <w:r>
        <w:rPr>
          <w:rFonts w:ascii="Calibri" w:eastAsia="Calibri" w:hAnsi="Calibri" w:cs="Times New Roman"/>
          <w:i/>
          <w:szCs w:val="24"/>
        </w:rPr>
        <w:t xml:space="preserve">. </w:t>
      </w:r>
      <w:r>
        <w:rPr>
          <w:rFonts w:ascii="Calibri" w:eastAsia="Calibri" w:hAnsi="Calibri" w:cs="Times New Roman"/>
          <w:szCs w:val="24"/>
        </w:rPr>
        <w:t xml:space="preserve">Johannesburg. </w:t>
      </w:r>
    </w:p>
    <w:p w14:paraId="79786E4A"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SBP</w:t>
      </w:r>
      <w:r>
        <w:rPr>
          <w:rFonts w:ascii="Calibri" w:eastAsia="Calibri" w:hAnsi="Calibri" w:cs="Times New Roman"/>
          <w:szCs w:val="24"/>
        </w:rPr>
        <w:t xml:space="preserve">.  </w:t>
      </w:r>
      <w:r w:rsidRPr="005E3A3C">
        <w:rPr>
          <w:rFonts w:ascii="Calibri" w:eastAsia="Calibri" w:hAnsi="Calibri" w:cs="Times New Roman"/>
          <w:szCs w:val="24"/>
        </w:rPr>
        <w:t>2014</w:t>
      </w:r>
      <w:r>
        <w:rPr>
          <w:rFonts w:ascii="Calibri" w:eastAsia="Calibri" w:hAnsi="Calibri" w:cs="Times New Roman"/>
          <w:szCs w:val="24"/>
        </w:rPr>
        <w:t xml:space="preserve">. </w:t>
      </w:r>
      <w:r w:rsidRPr="008F6320">
        <w:rPr>
          <w:rFonts w:ascii="Calibri" w:eastAsia="Calibri" w:hAnsi="Calibri" w:cs="Times New Roman"/>
          <w:i/>
          <w:szCs w:val="24"/>
        </w:rPr>
        <w:t>Headline Report of SBP’s SME Growth Index: Growth &amp; Competitiveness for Small Business in South Africa February 2014</w:t>
      </w:r>
      <w:r>
        <w:rPr>
          <w:rFonts w:ascii="Calibri" w:eastAsia="Calibri" w:hAnsi="Calibri" w:cs="Times New Roman"/>
          <w:szCs w:val="24"/>
        </w:rPr>
        <w:t xml:space="preserve">. Johannesburg. </w:t>
      </w:r>
    </w:p>
    <w:p w14:paraId="1C2BFD0E" w14:textId="77777777" w:rsidR="008F6320"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South African Institute of Chartered Accountants</w:t>
      </w:r>
      <w:r>
        <w:rPr>
          <w:rFonts w:ascii="Calibri" w:eastAsia="Calibri" w:hAnsi="Calibri" w:cs="Times New Roman"/>
          <w:szCs w:val="24"/>
        </w:rPr>
        <w:t xml:space="preserve">.  </w:t>
      </w:r>
      <w:r w:rsidRPr="005E3A3C">
        <w:rPr>
          <w:rFonts w:ascii="Calibri" w:eastAsia="Calibri" w:hAnsi="Calibri" w:cs="Times New Roman"/>
          <w:szCs w:val="24"/>
        </w:rPr>
        <w:t>2015</w:t>
      </w:r>
      <w:r>
        <w:rPr>
          <w:rFonts w:ascii="Calibri" w:eastAsia="Calibri" w:hAnsi="Calibri" w:cs="Times New Roman"/>
          <w:szCs w:val="24"/>
        </w:rPr>
        <w:t xml:space="preserve">. </w:t>
      </w:r>
      <w:r w:rsidRPr="008F6320">
        <w:rPr>
          <w:rFonts w:ascii="Calibri" w:eastAsia="Calibri" w:hAnsi="Calibri" w:cs="Times New Roman"/>
          <w:i/>
          <w:szCs w:val="24"/>
        </w:rPr>
        <w:t>2015 SME Insights Report</w:t>
      </w:r>
      <w:r>
        <w:rPr>
          <w:rFonts w:ascii="Calibri" w:eastAsia="Calibri" w:hAnsi="Calibri" w:cs="Times New Roman"/>
          <w:i/>
          <w:szCs w:val="24"/>
        </w:rPr>
        <w:t xml:space="preserve">. </w:t>
      </w:r>
      <w:r>
        <w:rPr>
          <w:rFonts w:ascii="Calibri" w:eastAsia="Calibri" w:hAnsi="Calibri" w:cs="Times New Roman"/>
          <w:szCs w:val="24"/>
        </w:rPr>
        <w:t xml:space="preserve">Johannesburg. </w:t>
      </w:r>
    </w:p>
    <w:p w14:paraId="5E97B26A" w14:textId="77777777" w:rsidR="008F6320" w:rsidRPr="005E3A3C" w:rsidRDefault="008F6320" w:rsidP="00D66738">
      <w:pPr>
        <w:spacing w:after="160" w:line="259" w:lineRule="auto"/>
        <w:jc w:val="both"/>
        <w:rPr>
          <w:rFonts w:ascii="Calibri" w:eastAsia="Calibri" w:hAnsi="Calibri" w:cs="Times New Roman"/>
          <w:szCs w:val="24"/>
        </w:rPr>
      </w:pPr>
      <w:r w:rsidRPr="005E3A3C">
        <w:rPr>
          <w:rFonts w:ascii="Calibri" w:eastAsia="Calibri" w:hAnsi="Calibri" w:cs="Times New Roman"/>
          <w:szCs w:val="24"/>
        </w:rPr>
        <w:t>The Presidency</w:t>
      </w:r>
      <w:r>
        <w:rPr>
          <w:rFonts w:ascii="Calibri" w:eastAsia="Calibri" w:hAnsi="Calibri" w:cs="Times New Roman"/>
          <w:szCs w:val="24"/>
        </w:rPr>
        <w:t xml:space="preserve">.  </w:t>
      </w:r>
      <w:r w:rsidRPr="005E3A3C">
        <w:rPr>
          <w:rFonts w:ascii="Calibri" w:eastAsia="Calibri" w:hAnsi="Calibri" w:cs="Times New Roman"/>
          <w:szCs w:val="24"/>
        </w:rPr>
        <w:t>2005</w:t>
      </w:r>
      <w:r>
        <w:rPr>
          <w:rFonts w:ascii="Calibri" w:eastAsia="Calibri" w:hAnsi="Calibri" w:cs="Times New Roman"/>
          <w:szCs w:val="24"/>
        </w:rPr>
        <w:t xml:space="preserve">. </w:t>
      </w:r>
      <w:r w:rsidRPr="008F6320">
        <w:rPr>
          <w:rFonts w:ascii="Calibri" w:eastAsia="Calibri" w:hAnsi="Calibri" w:cs="Times New Roman"/>
          <w:i/>
          <w:szCs w:val="24"/>
        </w:rPr>
        <w:t>Small Business Regulatory Project: Final Research Papers</w:t>
      </w:r>
      <w:r w:rsidRPr="005E3A3C">
        <w:rPr>
          <w:rFonts w:ascii="Calibri" w:eastAsia="Calibri" w:hAnsi="Calibri" w:cs="Times New Roman"/>
          <w:szCs w:val="24"/>
        </w:rPr>
        <w:t xml:space="preserve">. </w:t>
      </w:r>
      <w:r>
        <w:rPr>
          <w:rFonts w:ascii="Calibri" w:eastAsia="Calibri" w:hAnsi="Calibri" w:cs="Times New Roman"/>
          <w:szCs w:val="24"/>
        </w:rPr>
        <w:t xml:space="preserve">Pretoria. </w:t>
      </w:r>
      <w:r w:rsidRPr="005E3A3C">
        <w:rPr>
          <w:rFonts w:ascii="Calibri" w:eastAsia="Calibri" w:hAnsi="Calibri" w:cs="Times New Roman"/>
          <w:szCs w:val="24"/>
        </w:rPr>
        <w:t xml:space="preserve">November </w:t>
      </w:r>
    </w:p>
    <w:p w14:paraId="7CA46C6A" w14:textId="77777777" w:rsidR="008F6320" w:rsidRPr="008F6320" w:rsidRDefault="008F6320" w:rsidP="00D66738">
      <w:pPr>
        <w:spacing w:after="160" w:line="259" w:lineRule="auto"/>
        <w:jc w:val="both"/>
        <w:rPr>
          <w:rFonts w:ascii="Calibri" w:eastAsia="Calibri" w:hAnsi="Calibri" w:cs="Times New Roman"/>
          <w:i/>
          <w:szCs w:val="24"/>
        </w:rPr>
      </w:pPr>
      <w:r w:rsidRPr="005E3A3C">
        <w:rPr>
          <w:rFonts w:ascii="Calibri" w:eastAsia="Calibri" w:hAnsi="Calibri" w:cs="Times New Roman"/>
          <w:szCs w:val="24"/>
        </w:rPr>
        <w:t>The Task Group of the Policy Board for Financial Services and Regulation</w:t>
      </w:r>
      <w:r>
        <w:rPr>
          <w:rFonts w:ascii="Calibri" w:eastAsia="Calibri" w:hAnsi="Calibri" w:cs="Times New Roman"/>
          <w:szCs w:val="24"/>
        </w:rPr>
        <w:t xml:space="preserve">.  </w:t>
      </w:r>
      <w:r w:rsidRPr="005E3A3C">
        <w:rPr>
          <w:rFonts w:ascii="Calibri" w:eastAsia="Calibri" w:hAnsi="Calibri" w:cs="Times New Roman"/>
          <w:szCs w:val="24"/>
        </w:rPr>
        <w:t>2000</w:t>
      </w:r>
      <w:r>
        <w:rPr>
          <w:rFonts w:ascii="Calibri" w:eastAsia="Calibri" w:hAnsi="Calibri" w:cs="Times New Roman"/>
          <w:szCs w:val="24"/>
        </w:rPr>
        <w:t xml:space="preserve">. </w:t>
      </w:r>
      <w:r w:rsidRPr="008F6320">
        <w:rPr>
          <w:rFonts w:ascii="Calibri" w:eastAsia="Calibri" w:hAnsi="Calibri" w:cs="Times New Roman"/>
          <w:i/>
          <w:szCs w:val="24"/>
        </w:rPr>
        <w:t>SMEs’ Access to Finance in South Africa – A Supply-Side Regulatory Review</w:t>
      </w:r>
    </w:p>
    <w:p w14:paraId="4AE00B87" w14:textId="77777777" w:rsidR="008F6320" w:rsidRPr="008F6320" w:rsidRDefault="008F6320" w:rsidP="00D66738">
      <w:pPr>
        <w:tabs>
          <w:tab w:val="left" w:pos="5280"/>
        </w:tabs>
        <w:jc w:val="both"/>
      </w:pPr>
      <w:r>
        <w:t xml:space="preserve">University of Pretoria.  2015. </w:t>
      </w:r>
      <w:r w:rsidRPr="008F6320">
        <w:rPr>
          <w:i/>
        </w:rPr>
        <w:t xml:space="preserve">Survey to Assess the Perceptions of Small Businesses on the Annual Returns, the Processes and Costs.  Impact of Filing Annual Returns for Small Businesses. </w:t>
      </w:r>
      <w:r>
        <w:t xml:space="preserve">Pretoria. </w:t>
      </w:r>
    </w:p>
    <w:p w14:paraId="10271EFA" w14:textId="77777777" w:rsidR="008F6320" w:rsidRDefault="008F6320" w:rsidP="00D66738">
      <w:pPr>
        <w:tabs>
          <w:tab w:val="left" w:pos="5280"/>
        </w:tabs>
        <w:jc w:val="both"/>
      </w:pPr>
      <w:r w:rsidRPr="00E127BA">
        <w:t>Wessels</w:t>
      </w:r>
      <w:r>
        <w:t xml:space="preserve">, J. . </w:t>
      </w:r>
      <w:r w:rsidRPr="00E127BA">
        <w:t>2016</w:t>
      </w:r>
      <w:r>
        <w:t>. “</w:t>
      </w:r>
      <w:r w:rsidRPr="00E127BA">
        <w:t>Cooperatives: has the dream become a nightmare?</w:t>
      </w:r>
      <w:r>
        <w:t>” Econ3X3</w:t>
      </w:r>
      <w:r w:rsidRPr="00E127BA">
        <w:t xml:space="preserve"> 6/27/2016</w:t>
      </w:r>
    </w:p>
    <w:p w14:paraId="7BAF4CD5" w14:textId="77777777" w:rsidR="005E3A3C" w:rsidRPr="005E3A3C" w:rsidRDefault="005E3A3C" w:rsidP="00D66738">
      <w:pPr>
        <w:spacing w:after="160" w:line="259" w:lineRule="auto"/>
        <w:jc w:val="both"/>
        <w:rPr>
          <w:rFonts w:ascii="Calibri" w:eastAsia="Calibri" w:hAnsi="Calibri" w:cs="Times New Roman"/>
          <w:b/>
          <w:szCs w:val="24"/>
        </w:rPr>
      </w:pPr>
    </w:p>
    <w:p w14:paraId="7D4AD205" w14:textId="77777777" w:rsidR="005E3A3C" w:rsidRDefault="005E3A3C" w:rsidP="00D66738">
      <w:pPr>
        <w:spacing w:before="0" w:after="200" w:line="276" w:lineRule="auto"/>
        <w:jc w:val="both"/>
        <w:rPr>
          <w:rFonts w:asciiTheme="majorHAnsi" w:eastAsiaTheme="majorEastAsia" w:hAnsiTheme="majorHAnsi" w:cstheme="majorBidi"/>
          <w:b/>
          <w:bCs/>
          <w:color w:val="365F91" w:themeColor="accent1" w:themeShade="BF"/>
          <w:sz w:val="28"/>
          <w:szCs w:val="28"/>
        </w:rPr>
      </w:pPr>
      <w:r>
        <w:br w:type="page"/>
      </w:r>
    </w:p>
    <w:p w14:paraId="5AD43A2D" w14:textId="1976CAB2" w:rsidR="00526175" w:rsidRPr="00D66738" w:rsidRDefault="00E7462B" w:rsidP="00D66738">
      <w:pPr>
        <w:pStyle w:val="Heading1"/>
        <w:jc w:val="both"/>
        <w:rPr>
          <w:color w:val="1B5068"/>
        </w:rPr>
      </w:pPr>
      <w:bookmarkStart w:id="1067" w:name="_Toc479843972"/>
      <w:bookmarkStart w:id="1068" w:name="_Toc479844596"/>
      <w:bookmarkStart w:id="1069" w:name="_Toc479940938"/>
      <w:r w:rsidRPr="00D66738">
        <w:rPr>
          <w:color w:val="1B5068"/>
        </w:rPr>
        <w:lastRenderedPageBreak/>
        <w:t>Appendices</w:t>
      </w:r>
      <w:bookmarkEnd w:id="1067"/>
      <w:bookmarkEnd w:id="1068"/>
      <w:bookmarkEnd w:id="1069"/>
    </w:p>
    <w:p w14:paraId="626C7D6E" w14:textId="4C9840F6" w:rsidR="001B6C69" w:rsidRPr="00D66738" w:rsidRDefault="008F7E89" w:rsidP="00D66738">
      <w:pPr>
        <w:pStyle w:val="Heading1"/>
        <w:jc w:val="both"/>
        <w:rPr>
          <w:color w:val="1B5068"/>
        </w:rPr>
      </w:pPr>
      <w:bookmarkStart w:id="1070" w:name="_Toc479843973"/>
      <w:bookmarkStart w:id="1071" w:name="_Toc479844597"/>
      <w:bookmarkStart w:id="1072" w:name="_Toc479940939"/>
      <w:r w:rsidRPr="00D66738">
        <w:rPr>
          <w:color w:val="1B5068"/>
        </w:rPr>
        <w:t>Appendix 1</w:t>
      </w:r>
      <w:r w:rsidR="001B6C69" w:rsidRPr="00D66738">
        <w:rPr>
          <w:color w:val="1B5068"/>
        </w:rPr>
        <w:t>: TIPS profile</w:t>
      </w:r>
      <w:bookmarkEnd w:id="1070"/>
      <w:bookmarkEnd w:id="1071"/>
      <w:bookmarkEnd w:id="1072"/>
    </w:p>
    <w:p w14:paraId="4C3A8970" w14:textId="77777777" w:rsidR="001B6C69" w:rsidRPr="008F4A60" w:rsidRDefault="001B6C69" w:rsidP="00D66738">
      <w:pPr>
        <w:spacing w:after="120"/>
        <w:jc w:val="both"/>
      </w:pPr>
      <w:r w:rsidRPr="008F4A60">
        <w:t xml:space="preserve">Trade &amp; Industrial Policies Strategies (TIPS) is an independent, non-profit, economic research institution based in Pretoria, South Africa. It was established in 1996 to support economic policy development, with an emphasis on industrial policy, in South Africa and the region. Currently TIPS has three main areas of work: trade and industrial policy; inequality and economic inclusion; and sustainable growth. </w:t>
      </w:r>
    </w:p>
    <w:p w14:paraId="7CB77144" w14:textId="77777777" w:rsidR="001B6C69" w:rsidRPr="008F4A60" w:rsidRDefault="001B6C69" w:rsidP="00D66738">
      <w:pPr>
        <w:spacing w:after="120"/>
        <w:jc w:val="both"/>
      </w:pPr>
      <w:r w:rsidRPr="008F4A60">
        <w:t xml:space="preserve">TIPS’s main objectives are to undertake in-depth economic analyses, especially at the industrial level; to provide quality research as the basis for improving industrial policy as well as broader economic development strategies; and to support an increasingly dynamic and evidence-based discourse on industrial policy and inclusive growth with academics, other researchers and stakeholders. </w:t>
      </w:r>
    </w:p>
    <w:p w14:paraId="248126E8" w14:textId="77777777" w:rsidR="001B6C69" w:rsidRPr="008F4A60" w:rsidRDefault="001B6C69" w:rsidP="00D66738">
      <w:pPr>
        <w:spacing w:after="120"/>
        <w:jc w:val="both"/>
      </w:pPr>
      <w:r w:rsidRPr="008F4A60">
        <w:t>TIPS offers high quality quantitative and qualitative research, project management, dialogue facilitation, capacity building and knowledge sharing. TIPS undertakes commissioned research, as well as policy papers and think pieces around industrial policy and economic development.</w:t>
      </w:r>
    </w:p>
    <w:p w14:paraId="09BE46A9" w14:textId="77777777" w:rsidR="001B6C69" w:rsidRPr="008F4A60" w:rsidRDefault="001B6C69" w:rsidP="00D66738">
      <w:pPr>
        <w:spacing w:after="120"/>
        <w:jc w:val="both"/>
      </w:pPr>
      <w:r w:rsidRPr="008F4A60">
        <w:t xml:space="preserve">TIPS has over 23 full-time staff and works with a network of expert researchers and institutional partners across South Africa and the world. </w:t>
      </w:r>
      <w:proofErr w:type="gramStart"/>
      <w:r w:rsidRPr="008F4A60">
        <w:t>Its activities are overseen by a Board of Directors</w:t>
      </w:r>
      <w:proofErr w:type="gramEnd"/>
      <w:r w:rsidRPr="008F4A60">
        <w:t xml:space="preserve"> comprising individuals involved in high-level policy formulation in South Africa.  </w:t>
      </w:r>
    </w:p>
    <w:p w14:paraId="63A97398" w14:textId="4F8EB45B" w:rsidR="00D5705E" w:rsidRDefault="001B6C69" w:rsidP="00D66738">
      <w:pPr>
        <w:spacing w:after="120"/>
        <w:jc w:val="both"/>
      </w:pPr>
      <w:r w:rsidRPr="008F4A60">
        <w:t xml:space="preserve">TIPS is committed to the growth and development of future economic researchers and operates a substantial intern and young economist development programme. </w:t>
      </w:r>
    </w:p>
    <w:p w14:paraId="30A9E3AC" w14:textId="77777777" w:rsidR="00D5705E" w:rsidRDefault="00D5705E" w:rsidP="00D66738">
      <w:pPr>
        <w:spacing w:before="0" w:after="200" w:line="276" w:lineRule="auto"/>
        <w:jc w:val="both"/>
      </w:pPr>
      <w:r>
        <w:br w:type="page"/>
      </w:r>
    </w:p>
    <w:p w14:paraId="50A9BB28" w14:textId="62000798" w:rsidR="00533F17" w:rsidRPr="00D66738" w:rsidRDefault="008F7E89" w:rsidP="00D66738">
      <w:pPr>
        <w:pStyle w:val="Heading1"/>
        <w:spacing w:after="240"/>
        <w:jc w:val="both"/>
        <w:rPr>
          <w:color w:val="1B5068"/>
        </w:rPr>
      </w:pPr>
      <w:bookmarkStart w:id="1073" w:name="_Toc479843974"/>
      <w:bookmarkStart w:id="1074" w:name="_Toc479844598"/>
      <w:bookmarkStart w:id="1075" w:name="_Toc479940940"/>
      <w:r w:rsidRPr="00D66738">
        <w:rPr>
          <w:color w:val="1B5068"/>
        </w:rPr>
        <w:lastRenderedPageBreak/>
        <w:t>Appendix 2</w:t>
      </w:r>
      <w:r w:rsidR="00D5705E" w:rsidRPr="00D66738">
        <w:rPr>
          <w:color w:val="1B5068"/>
        </w:rPr>
        <w:t xml:space="preserve">: </w:t>
      </w:r>
      <w:bookmarkEnd w:id="1038"/>
      <w:r w:rsidR="007C20B0" w:rsidRPr="00D66738">
        <w:rPr>
          <w:color w:val="1B5068"/>
        </w:rPr>
        <w:t>Consultation summary</w:t>
      </w:r>
      <w:bookmarkEnd w:id="1073"/>
      <w:bookmarkEnd w:id="1074"/>
      <w:bookmarkEnd w:id="1075"/>
    </w:p>
    <w:tbl>
      <w:tblPr>
        <w:tblStyle w:val="TableGrid"/>
        <w:tblW w:w="9209" w:type="dxa"/>
        <w:tblLook w:val="0420" w:firstRow="1" w:lastRow="0" w:firstColumn="0" w:lastColumn="0" w:noHBand="0" w:noVBand="1"/>
      </w:tblPr>
      <w:tblGrid>
        <w:gridCol w:w="2062"/>
        <w:gridCol w:w="1938"/>
        <w:gridCol w:w="2941"/>
        <w:gridCol w:w="2268"/>
      </w:tblGrid>
      <w:tr w:rsidR="00533F17" w:rsidRPr="00533F17" w14:paraId="4AB1A597" w14:textId="727313D4" w:rsidTr="00873169">
        <w:trPr>
          <w:trHeight w:val="265"/>
          <w:tblHeader/>
        </w:trPr>
        <w:tc>
          <w:tcPr>
            <w:tcW w:w="2062" w:type="dxa"/>
            <w:hideMark/>
          </w:tcPr>
          <w:p w14:paraId="29D08F41" w14:textId="77777777" w:rsidR="00533F17" w:rsidRPr="00533F17" w:rsidRDefault="00533F17" w:rsidP="00D66738">
            <w:pPr>
              <w:spacing w:before="0" w:after="160"/>
              <w:jc w:val="both"/>
              <w:rPr>
                <w:rFonts w:ascii="Calibri" w:eastAsia="Calibri" w:hAnsi="Calibri" w:cs="Times New Roman"/>
                <w:b/>
                <w:szCs w:val="24"/>
              </w:rPr>
            </w:pPr>
            <w:r w:rsidRPr="00533F17">
              <w:rPr>
                <w:rFonts w:ascii="Calibri" w:eastAsia="Calibri" w:hAnsi="Calibri" w:cs="Times New Roman"/>
                <w:b/>
                <w:szCs w:val="24"/>
              </w:rPr>
              <w:t>Stakeholder Group</w:t>
            </w:r>
          </w:p>
        </w:tc>
        <w:tc>
          <w:tcPr>
            <w:tcW w:w="1938" w:type="dxa"/>
            <w:hideMark/>
          </w:tcPr>
          <w:p w14:paraId="41148150" w14:textId="3160C3D8" w:rsidR="00533F17" w:rsidRPr="00533F17" w:rsidRDefault="00533F17" w:rsidP="00D66738">
            <w:pPr>
              <w:spacing w:before="0" w:after="160"/>
              <w:jc w:val="both"/>
              <w:rPr>
                <w:rFonts w:ascii="Calibri" w:eastAsia="Calibri" w:hAnsi="Calibri" w:cs="Times New Roman"/>
                <w:b/>
                <w:szCs w:val="24"/>
              </w:rPr>
            </w:pPr>
            <w:r>
              <w:rPr>
                <w:rFonts w:ascii="Calibri" w:eastAsia="Calibri" w:hAnsi="Calibri" w:cs="Times New Roman"/>
                <w:b/>
                <w:szCs w:val="24"/>
              </w:rPr>
              <w:t>Official(s)</w:t>
            </w:r>
          </w:p>
        </w:tc>
        <w:tc>
          <w:tcPr>
            <w:tcW w:w="2941" w:type="dxa"/>
          </w:tcPr>
          <w:p w14:paraId="3C80B366" w14:textId="6FAF9E83" w:rsidR="00533F17" w:rsidRPr="00533F17" w:rsidRDefault="00533F17" w:rsidP="00D66738">
            <w:pPr>
              <w:spacing w:before="0" w:after="160"/>
              <w:jc w:val="both"/>
              <w:rPr>
                <w:rFonts w:ascii="Calibri" w:eastAsia="Calibri" w:hAnsi="Calibri" w:cs="Times New Roman"/>
                <w:b/>
                <w:szCs w:val="24"/>
              </w:rPr>
            </w:pPr>
            <w:r>
              <w:rPr>
                <w:rFonts w:ascii="Calibri" w:eastAsia="Calibri" w:hAnsi="Calibri" w:cs="Times New Roman"/>
                <w:b/>
                <w:szCs w:val="24"/>
              </w:rPr>
              <w:t>Department/ organisation</w:t>
            </w:r>
          </w:p>
        </w:tc>
        <w:tc>
          <w:tcPr>
            <w:tcW w:w="2268" w:type="dxa"/>
          </w:tcPr>
          <w:p w14:paraId="43CCAAB8" w14:textId="5043DF45" w:rsidR="00533F17" w:rsidRPr="00533F17" w:rsidRDefault="00533F17" w:rsidP="00D66738">
            <w:pPr>
              <w:spacing w:before="0" w:after="160"/>
              <w:jc w:val="both"/>
              <w:rPr>
                <w:rFonts w:ascii="Calibri" w:eastAsia="Calibri" w:hAnsi="Calibri" w:cs="Times New Roman"/>
                <w:b/>
                <w:szCs w:val="24"/>
              </w:rPr>
            </w:pPr>
            <w:r>
              <w:rPr>
                <w:rFonts w:ascii="Calibri" w:eastAsia="Calibri" w:hAnsi="Calibri" w:cs="Times New Roman"/>
                <w:b/>
                <w:szCs w:val="24"/>
              </w:rPr>
              <w:t>Date of consultation</w:t>
            </w:r>
          </w:p>
        </w:tc>
      </w:tr>
      <w:tr w:rsidR="006B3D26" w:rsidRPr="00533F17" w14:paraId="42D63431" w14:textId="1DBE34AE" w:rsidTr="0079760E">
        <w:trPr>
          <w:trHeight w:val="377"/>
        </w:trPr>
        <w:tc>
          <w:tcPr>
            <w:tcW w:w="2062" w:type="dxa"/>
            <w:vMerge w:val="restart"/>
            <w:hideMark/>
          </w:tcPr>
          <w:p w14:paraId="1C2A6F4B" w14:textId="77777777" w:rsidR="006B3D26" w:rsidRPr="00533F17" w:rsidRDefault="006B3D26" w:rsidP="00D66738">
            <w:pPr>
              <w:spacing w:before="0"/>
              <w:ind w:left="57"/>
              <w:rPr>
                <w:b/>
                <w:sz w:val="20"/>
                <w:szCs w:val="20"/>
              </w:rPr>
            </w:pPr>
            <w:r w:rsidRPr="00533F17">
              <w:rPr>
                <w:b/>
                <w:sz w:val="20"/>
                <w:szCs w:val="20"/>
              </w:rPr>
              <w:t xml:space="preserve">Regulators/ </w:t>
            </w:r>
          </w:p>
          <w:p w14:paraId="22FC5721" w14:textId="77777777" w:rsidR="006B3D26" w:rsidRPr="00533F17" w:rsidRDefault="006B3D26" w:rsidP="00D66738">
            <w:pPr>
              <w:spacing w:before="0"/>
              <w:ind w:left="57"/>
              <w:rPr>
                <w:sz w:val="20"/>
                <w:szCs w:val="20"/>
              </w:rPr>
            </w:pPr>
            <w:r w:rsidRPr="00533F17">
              <w:rPr>
                <w:b/>
                <w:sz w:val="20"/>
                <w:szCs w:val="20"/>
              </w:rPr>
              <w:t>Government institutions</w:t>
            </w:r>
          </w:p>
        </w:tc>
        <w:tc>
          <w:tcPr>
            <w:tcW w:w="1938" w:type="dxa"/>
            <w:hideMark/>
          </w:tcPr>
          <w:p w14:paraId="0FE0EC4E" w14:textId="5C429A9D" w:rsidR="006B3D26" w:rsidRPr="00533F17" w:rsidRDefault="006B3D26" w:rsidP="00D66738">
            <w:pPr>
              <w:spacing w:before="0"/>
              <w:ind w:left="57"/>
              <w:jc w:val="both"/>
              <w:rPr>
                <w:sz w:val="20"/>
                <w:szCs w:val="20"/>
              </w:rPr>
            </w:pPr>
            <w:r w:rsidRPr="006B3D26">
              <w:rPr>
                <w:sz w:val="20"/>
                <w:szCs w:val="20"/>
              </w:rPr>
              <w:t xml:space="preserve">Christa </w:t>
            </w:r>
            <w:proofErr w:type="spellStart"/>
            <w:r w:rsidRPr="006B3D26">
              <w:rPr>
                <w:sz w:val="20"/>
                <w:szCs w:val="20"/>
              </w:rPr>
              <w:t>Klokow</w:t>
            </w:r>
            <w:proofErr w:type="spellEnd"/>
          </w:p>
        </w:tc>
        <w:tc>
          <w:tcPr>
            <w:tcW w:w="2941" w:type="dxa"/>
          </w:tcPr>
          <w:p w14:paraId="34987D00" w14:textId="5D4DF233" w:rsidR="006B3D26" w:rsidRPr="00533F17" w:rsidRDefault="006B3D26" w:rsidP="00D66738">
            <w:pPr>
              <w:spacing w:before="0"/>
              <w:ind w:left="57"/>
              <w:rPr>
                <w:sz w:val="20"/>
                <w:szCs w:val="20"/>
              </w:rPr>
            </w:pPr>
            <w:r w:rsidRPr="00533F17">
              <w:rPr>
                <w:sz w:val="20"/>
                <w:szCs w:val="20"/>
              </w:rPr>
              <w:t>Companies Intellectual Properties Commission</w:t>
            </w:r>
            <w:r w:rsidR="00B67D2C">
              <w:rPr>
                <w:sz w:val="20"/>
                <w:szCs w:val="20"/>
              </w:rPr>
              <w:t xml:space="preserve"> (CIPC)</w:t>
            </w:r>
          </w:p>
        </w:tc>
        <w:tc>
          <w:tcPr>
            <w:tcW w:w="2268" w:type="dxa"/>
          </w:tcPr>
          <w:p w14:paraId="24F7B6E7" w14:textId="2DB2DE5A" w:rsidR="006B3D26" w:rsidRPr="00533F17" w:rsidRDefault="006B3D26" w:rsidP="00D66738">
            <w:pPr>
              <w:spacing w:before="0"/>
              <w:ind w:left="57"/>
              <w:jc w:val="both"/>
              <w:rPr>
                <w:sz w:val="20"/>
                <w:szCs w:val="20"/>
              </w:rPr>
            </w:pPr>
            <w:r w:rsidRPr="006B3D26">
              <w:rPr>
                <w:sz w:val="20"/>
                <w:szCs w:val="20"/>
              </w:rPr>
              <w:t>14 November 2016</w:t>
            </w:r>
          </w:p>
        </w:tc>
      </w:tr>
      <w:tr w:rsidR="006B3D26" w:rsidRPr="00533F17" w14:paraId="028137D4" w14:textId="4E307E87" w:rsidTr="0079760E">
        <w:trPr>
          <w:trHeight w:val="143"/>
        </w:trPr>
        <w:tc>
          <w:tcPr>
            <w:tcW w:w="2062" w:type="dxa"/>
            <w:vMerge/>
          </w:tcPr>
          <w:p w14:paraId="4CB9A866" w14:textId="77777777" w:rsidR="006B3D26" w:rsidRPr="006B3D26" w:rsidRDefault="006B3D26" w:rsidP="00D66738">
            <w:pPr>
              <w:spacing w:before="0"/>
              <w:ind w:left="57"/>
              <w:rPr>
                <w:sz w:val="20"/>
                <w:szCs w:val="20"/>
              </w:rPr>
            </w:pPr>
          </w:p>
        </w:tc>
        <w:tc>
          <w:tcPr>
            <w:tcW w:w="1938" w:type="dxa"/>
          </w:tcPr>
          <w:p w14:paraId="097E3F5A" w14:textId="1DB502F4" w:rsidR="006B3D26" w:rsidRPr="00533F17" w:rsidRDefault="006B3D26" w:rsidP="00D66738">
            <w:pPr>
              <w:spacing w:before="0"/>
              <w:ind w:left="57"/>
              <w:jc w:val="both"/>
              <w:rPr>
                <w:sz w:val="20"/>
                <w:szCs w:val="20"/>
              </w:rPr>
            </w:pPr>
            <w:proofErr w:type="spellStart"/>
            <w:r w:rsidRPr="006B3D26">
              <w:rPr>
                <w:sz w:val="20"/>
                <w:szCs w:val="20"/>
              </w:rPr>
              <w:t>Narcizio</w:t>
            </w:r>
            <w:proofErr w:type="spellEnd"/>
            <w:r w:rsidRPr="006B3D26">
              <w:rPr>
                <w:sz w:val="20"/>
                <w:szCs w:val="20"/>
              </w:rPr>
              <w:t xml:space="preserve"> </w:t>
            </w:r>
            <w:proofErr w:type="spellStart"/>
            <w:r w:rsidRPr="006B3D26">
              <w:rPr>
                <w:sz w:val="20"/>
                <w:szCs w:val="20"/>
              </w:rPr>
              <w:t>Makwakwa</w:t>
            </w:r>
            <w:proofErr w:type="spellEnd"/>
          </w:p>
        </w:tc>
        <w:tc>
          <w:tcPr>
            <w:tcW w:w="2941" w:type="dxa"/>
          </w:tcPr>
          <w:p w14:paraId="4B51218F" w14:textId="48AD2855" w:rsidR="006B3D26" w:rsidRPr="00533F17" w:rsidRDefault="00B67D2C" w:rsidP="00D66738">
            <w:pPr>
              <w:spacing w:before="0"/>
              <w:ind w:left="57"/>
              <w:rPr>
                <w:sz w:val="20"/>
                <w:szCs w:val="20"/>
              </w:rPr>
            </w:pPr>
            <w:r>
              <w:rPr>
                <w:sz w:val="20"/>
                <w:szCs w:val="20"/>
              </w:rPr>
              <w:t>South African Revenue Services (SARS)</w:t>
            </w:r>
          </w:p>
        </w:tc>
        <w:tc>
          <w:tcPr>
            <w:tcW w:w="2268" w:type="dxa"/>
          </w:tcPr>
          <w:p w14:paraId="3572ED3E" w14:textId="7A002FA4" w:rsidR="006B3D26" w:rsidRPr="00533F17" w:rsidRDefault="006B3D26" w:rsidP="00D66738">
            <w:pPr>
              <w:spacing w:before="0"/>
              <w:ind w:left="57"/>
              <w:jc w:val="both"/>
              <w:rPr>
                <w:sz w:val="20"/>
                <w:szCs w:val="20"/>
              </w:rPr>
            </w:pPr>
            <w:r w:rsidRPr="006B3D26">
              <w:rPr>
                <w:sz w:val="20"/>
                <w:szCs w:val="20"/>
              </w:rPr>
              <w:t>30 November 2016</w:t>
            </w:r>
          </w:p>
        </w:tc>
      </w:tr>
      <w:tr w:rsidR="007C20B0" w:rsidRPr="00533F17" w14:paraId="74B68F91" w14:textId="77777777" w:rsidTr="0079760E">
        <w:trPr>
          <w:trHeight w:val="317"/>
        </w:trPr>
        <w:tc>
          <w:tcPr>
            <w:tcW w:w="2062" w:type="dxa"/>
            <w:vMerge/>
          </w:tcPr>
          <w:p w14:paraId="659D06A9" w14:textId="77777777" w:rsidR="007C20B0" w:rsidRPr="006B3D26" w:rsidRDefault="007C20B0" w:rsidP="00D66738">
            <w:pPr>
              <w:spacing w:before="0"/>
              <w:ind w:left="57"/>
              <w:rPr>
                <w:sz w:val="20"/>
                <w:szCs w:val="20"/>
              </w:rPr>
            </w:pPr>
          </w:p>
        </w:tc>
        <w:tc>
          <w:tcPr>
            <w:tcW w:w="1938" w:type="dxa"/>
          </w:tcPr>
          <w:p w14:paraId="54156B6B" w14:textId="783E585E" w:rsidR="007C20B0" w:rsidRPr="006B3D26" w:rsidRDefault="007C20B0" w:rsidP="00D66738">
            <w:pPr>
              <w:spacing w:before="0"/>
              <w:ind w:left="57"/>
              <w:jc w:val="both"/>
              <w:rPr>
                <w:sz w:val="20"/>
                <w:szCs w:val="20"/>
              </w:rPr>
            </w:pPr>
            <w:r w:rsidRPr="006B3D26">
              <w:rPr>
                <w:sz w:val="20"/>
                <w:szCs w:val="20"/>
              </w:rPr>
              <w:t>David De Jong</w:t>
            </w:r>
          </w:p>
        </w:tc>
        <w:tc>
          <w:tcPr>
            <w:tcW w:w="2941" w:type="dxa"/>
          </w:tcPr>
          <w:p w14:paraId="54C6C289" w14:textId="0AD0FDF2" w:rsidR="007C20B0" w:rsidRPr="00533F17" w:rsidRDefault="007C20B0" w:rsidP="00D66738">
            <w:pPr>
              <w:spacing w:before="0"/>
              <w:ind w:left="57"/>
              <w:rPr>
                <w:sz w:val="20"/>
                <w:szCs w:val="20"/>
              </w:rPr>
            </w:pPr>
            <w:r w:rsidRPr="00533F17">
              <w:rPr>
                <w:sz w:val="20"/>
                <w:szCs w:val="20"/>
              </w:rPr>
              <w:t>Co-operative Bank</w:t>
            </w:r>
            <w:r>
              <w:rPr>
                <w:sz w:val="20"/>
                <w:szCs w:val="20"/>
              </w:rPr>
              <w:t>s Development Agency -</w:t>
            </w:r>
            <w:r w:rsidRPr="00533F17">
              <w:rPr>
                <w:sz w:val="20"/>
                <w:szCs w:val="20"/>
              </w:rPr>
              <w:t xml:space="preserve"> National Treasury</w:t>
            </w:r>
          </w:p>
        </w:tc>
        <w:tc>
          <w:tcPr>
            <w:tcW w:w="2268" w:type="dxa"/>
          </w:tcPr>
          <w:p w14:paraId="6821D35D" w14:textId="0EAAE0B1" w:rsidR="007C20B0" w:rsidRPr="006B3D26" w:rsidRDefault="007C20B0" w:rsidP="00D66738">
            <w:pPr>
              <w:spacing w:before="0"/>
              <w:ind w:left="57"/>
              <w:jc w:val="both"/>
              <w:rPr>
                <w:sz w:val="20"/>
                <w:szCs w:val="20"/>
              </w:rPr>
            </w:pPr>
            <w:r w:rsidRPr="006B3D26">
              <w:rPr>
                <w:sz w:val="20"/>
                <w:szCs w:val="20"/>
              </w:rPr>
              <w:t>7 December 2016</w:t>
            </w:r>
          </w:p>
        </w:tc>
      </w:tr>
      <w:tr w:rsidR="007C20B0" w:rsidRPr="00533F17" w14:paraId="0F17525A" w14:textId="77777777" w:rsidTr="0079760E">
        <w:trPr>
          <w:trHeight w:val="317"/>
        </w:trPr>
        <w:tc>
          <w:tcPr>
            <w:tcW w:w="2062" w:type="dxa"/>
            <w:vMerge/>
          </w:tcPr>
          <w:p w14:paraId="53D6F019" w14:textId="77777777" w:rsidR="007C20B0" w:rsidRPr="006B3D26" w:rsidRDefault="007C20B0" w:rsidP="00D66738">
            <w:pPr>
              <w:spacing w:before="0"/>
              <w:ind w:left="57"/>
              <w:rPr>
                <w:sz w:val="20"/>
                <w:szCs w:val="20"/>
              </w:rPr>
            </w:pPr>
          </w:p>
        </w:tc>
        <w:tc>
          <w:tcPr>
            <w:tcW w:w="1938" w:type="dxa"/>
          </w:tcPr>
          <w:p w14:paraId="77C5DE6C" w14:textId="6C73EF0B" w:rsidR="007C20B0" w:rsidRPr="00533F17" w:rsidRDefault="007C20B0" w:rsidP="00D66738">
            <w:pPr>
              <w:spacing w:before="0"/>
              <w:ind w:left="57"/>
              <w:jc w:val="both"/>
              <w:rPr>
                <w:sz w:val="20"/>
                <w:szCs w:val="20"/>
              </w:rPr>
            </w:pPr>
            <w:proofErr w:type="spellStart"/>
            <w:r w:rsidRPr="006B3D26">
              <w:rPr>
                <w:sz w:val="20"/>
                <w:szCs w:val="20"/>
              </w:rPr>
              <w:t>Mmathapelo</w:t>
            </w:r>
            <w:proofErr w:type="spellEnd"/>
            <w:r w:rsidRPr="006B3D26">
              <w:rPr>
                <w:sz w:val="20"/>
                <w:szCs w:val="20"/>
              </w:rPr>
              <w:t xml:space="preserve"> </w:t>
            </w:r>
            <w:proofErr w:type="spellStart"/>
            <w:r w:rsidRPr="006B3D26">
              <w:rPr>
                <w:sz w:val="20"/>
                <w:szCs w:val="20"/>
              </w:rPr>
              <w:t>Lechaba</w:t>
            </w:r>
            <w:proofErr w:type="spellEnd"/>
          </w:p>
        </w:tc>
        <w:tc>
          <w:tcPr>
            <w:tcW w:w="2941" w:type="dxa"/>
          </w:tcPr>
          <w:p w14:paraId="7CF2D249" w14:textId="39080AF4" w:rsidR="007C20B0" w:rsidRPr="00533F17" w:rsidRDefault="007C20B0" w:rsidP="00D66738">
            <w:pPr>
              <w:spacing w:before="0"/>
              <w:ind w:left="57"/>
              <w:rPr>
                <w:sz w:val="20"/>
                <w:szCs w:val="20"/>
              </w:rPr>
            </w:pPr>
            <w:r w:rsidRPr="00533F17">
              <w:rPr>
                <w:sz w:val="20"/>
                <w:szCs w:val="20"/>
              </w:rPr>
              <w:t xml:space="preserve">Department of Labour </w:t>
            </w:r>
            <w:r>
              <w:rPr>
                <w:sz w:val="20"/>
                <w:szCs w:val="20"/>
              </w:rPr>
              <w:t>–</w:t>
            </w:r>
            <w:r w:rsidRPr="00533F17">
              <w:rPr>
                <w:sz w:val="20"/>
                <w:szCs w:val="20"/>
              </w:rPr>
              <w:t xml:space="preserve"> U</w:t>
            </w:r>
            <w:r>
              <w:rPr>
                <w:sz w:val="20"/>
                <w:szCs w:val="20"/>
              </w:rPr>
              <w:t xml:space="preserve">nemployment </w:t>
            </w:r>
            <w:r w:rsidRPr="00533F17">
              <w:rPr>
                <w:sz w:val="20"/>
                <w:szCs w:val="20"/>
              </w:rPr>
              <w:t>I</w:t>
            </w:r>
            <w:r>
              <w:rPr>
                <w:sz w:val="20"/>
                <w:szCs w:val="20"/>
              </w:rPr>
              <w:t xml:space="preserve">nsurance </w:t>
            </w:r>
            <w:r w:rsidRPr="00533F17">
              <w:rPr>
                <w:sz w:val="20"/>
                <w:szCs w:val="20"/>
              </w:rPr>
              <w:t>F</w:t>
            </w:r>
            <w:r>
              <w:rPr>
                <w:sz w:val="20"/>
                <w:szCs w:val="20"/>
              </w:rPr>
              <w:t>und (UIF)</w:t>
            </w:r>
          </w:p>
        </w:tc>
        <w:tc>
          <w:tcPr>
            <w:tcW w:w="2268" w:type="dxa"/>
          </w:tcPr>
          <w:p w14:paraId="0A7A40DF" w14:textId="0984A598" w:rsidR="007C20B0" w:rsidRPr="00533F17" w:rsidRDefault="007C20B0" w:rsidP="00D66738">
            <w:pPr>
              <w:spacing w:before="0"/>
              <w:ind w:left="57"/>
              <w:jc w:val="both"/>
              <w:rPr>
                <w:sz w:val="20"/>
                <w:szCs w:val="20"/>
              </w:rPr>
            </w:pPr>
            <w:r w:rsidRPr="006B3D26">
              <w:rPr>
                <w:sz w:val="20"/>
                <w:szCs w:val="20"/>
              </w:rPr>
              <w:t>30 January 2017</w:t>
            </w:r>
          </w:p>
        </w:tc>
      </w:tr>
      <w:tr w:rsidR="007C20B0" w:rsidRPr="00533F17" w14:paraId="7AA84958" w14:textId="77777777" w:rsidTr="0079760E">
        <w:trPr>
          <w:trHeight w:val="247"/>
        </w:trPr>
        <w:tc>
          <w:tcPr>
            <w:tcW w:w="2062" w:type="dxa"/>
            <w:vMerge/>
          </w:tcPr>
          <w:p w14:paraId="1CC1C5BA" w14:textId="77777777" w:rsidR="007C20B0" w:rsidRPr="006B3D26" w:rsidRDefault="007C20B0" w:rsidP="00D66738">
            <w:pPr>
              <w:spacing w:before="0"/>
              <w:ind w:left="57"/>
              <w:rPr>
                <w:sz w:val="20"/>
                <w:szCs w:val="20"/>
              </w:rPr>
            </w:pPr>
          </w:p>
        </w:tc>
        <w:tc>
          <w:tcPr>
            <w:tcW w:w="1938" w:type="dxa"/>
          </w:tcPr>
          <w:p w14:paraId="50CB21A6" w14:textId="0C9FFEA2" w:rsidR="007C20B0" w:rsidRPr="00533F17" w:rsidRDefault="007C20B0" w:rsidP="00D66738">
            <w:pPr>
              <w:spacing w:before="0"/>
              <w:ind w:left="57"/>
              <w:jc w:val="both"/>
              <w:rPr>
                <w:sz w:val="20"/>
                <w:szCs w:val="20"/>
              </w:rPr>
            </w:pPr>
            <w:proofErr w:type="spellStart"/>
            <w:r w:rsidRPr="006B3D26">
              <w:rPr>
                <w:sz w:val="20"/>
                <w:szCs w:val="20"/>
              </w:rPr>
              <w:t>Salphy</w:t>
            </w:r>
            <w:proofErr w:type="spellEnd"/>
            <w:r w:rsidRPr="006B3D26">
              <w:rPr>
                <w:sz w:val="20"/>
                <w:szCs w:val="20"/>
              </w:rPr>
              <w:t xml:space="preserve"> </w:t>
            </w:r>
            <w:proofErr w:type="spellStart"/>
            <w:r w:rsidRPr="006B3D26">
              <w:rPr>
                <w:sz w:val="20"/>
                <w:szCs w:val="20"/>
              </w:rPr>
              <w:t>Komane</w:t>
            </w:r>
            <w:proofErr w:type="spellEnd"/>
          </w:p>
        </w:tc>
        <w:tc>
          <w:tcPr>
            <w:tcW w:w="2941" w:type="dxa"/>
          </w:tcPr>
          <w:p w14:paraId="1BD6B62C" w14:textId="21721273" w:rsidR="007C20B0" w:rsidRPr="00533F17" w:rsidRDefault="007C20B0" w:rsidP="00D66738">
            <w:pPr>
              <w:spacing w:before="0"/>
              <w:ind w:left="57"/>
              <w:rPr>
                <w:sz w:val="20"/>
                <w:szCs w:val="20"/>
              </w:rPr>
            </w:pPr>
            <w:r>
              <w:rPr>
                <w:sz w:val="20"/>
                <w:szCs w:val="20"/>
              </w:rPr>
              <w:t xml:space="preserve">Office of the Chief Procurement Officer - </w:t>
            </w:r>
            <w:r w:rsidRPr="00533F17">
              <w:rPr>
                <w:sz w:val="20"/>
                <w:szCs w:val="20"/>
              </w:rPr>
              <w:t>National Treasury</w:t>
            </w:r>
          </w:p>
        </w:tc>
        <w:tc>
          <w:tcPr>
            <w:tcW w:w="2268" w:type="dxa"/>
          </w:tcPr>
          <w:p w14:paraId="171779CC" w14:textId="5F108584" w:rsidR="007C20B0" w:rsidRPr="00533F17" w:rsidRDefault="007C20B0" w:rsidP="00D66738">
            <w:pPr>
              <w:spacing w:before="0"/>
              <w:ind w:left="57"/>
              <w:jc w:val="both"/>
              <w:rPr>
                <w:sz w:val="20"/>
                <w:szCs w:val="20"/>
              </w:rPr>
            </w:pPr>
            <w:r w:rsidRPr="006B3D26">
              <w:rPr>
                <w:sz w:val="20"/>
                <w:szCs w:val="20"/>
              </w:rPr>
              <w:t>19 January 2016</w:t>
            </w:r>
          </w:p>
        </w:tc>
      </w:tr>
      <w:tr w:rsidR="007C20B0" w:rsidRPr="00533F17" w14:paraId="26044184" w14:textId="77777777" w:rsidTr="0079760E">
        <w:trPr>
          <w:trHeight w:val="247"/>
        </w:trPr>
        <w:tc>
          <w:tcPr>
            <w:tcW w:w="2062" w:type="dxa"/>
            <w:vMerge/>
          </w:tcPr>
          <w:p w14:paraId="31D2C18A" w14:textId="77777777" w:rsidR="007C20B0" w:rsidRPr="006B3D26" w:rsidRDefault="007C20B0" w:rsidP="00D66738">
            <w:pPr>
              <w:spacing w:before="0"/>
              <w:ind w:left="57"/>
              <w:rPr>
                <w:sz w:val="20"/>
                <w:szCs w:val="20"/>
              </w:rPr>
            </w:pPr>
          </w:p>
        </w:tc>
        <w:tc>
          <w:tcPr>
            <w:tcW w:w="1938" w:type="dxa"/>
          </w:tcPr>
          <w:p w14:paraId="7D578952" w14:textId="639AEF52" w:rsidR="007C20B0" w:rsidRPr="006B3D26" w:rsidRDefault="007C20B0" w:rsidP="00D66738">
            <w:pPr>
              <w:spacing w:before="0"/>
              <w:ind w:left="57"/>
              <w:jc w:val="both"/>
              <w:rPr>
                <w:sz w:val="20"/>
                <w:szCs w:val="20"/>
              </w:rPr>
            </w:pPr>
            <w:r w:rsidRPr="006B3D26">
              <w:rPr>
                <w:sz w:val="20"/>
                <w:szCs w:val="20"/>
              </w:rPr>
              <w:t>Johan Lamprecht</w:t>
            </w:r>
          </w:p>
        </w:tc>
        <w:tc>
          <w:tcPr>
            <w:tcW w:w="2941" w:type="dxa"/>
          </w:tcPr>
          <w:p w14:paraId="223C05DA" w14:textId="0782E1DB" w:rsidR="007C20B0" w:rsidRDefault="007C20B0" w:rsidP="00D66738">
            <w:pPr>
              <w:spacing w:before="0"/>
              <w:ind w:left="57"/>
              <w:rPr>
                <w:sz w:val="20"/>
                <w:szCs w:val="20"/>
              </w:rPr>
            </w:pPr>
            <w:r>
              <w:rPr>
                <w:sz w:val="20"/>
                <w:szCs w:val="20"/>
              </w:rPr>
              <w:t>National Treasury</w:t>
            </w:r>
          </w:p>
        </w:tc>
        <w:tc>
          <w:tcPr>
            <w:tcW w:w="2268" w:type="dxa"/>
          </w:tcPr>
          <w:p w14:paraId="73B947CC" w14:textId="722C34BF" w:rsidR="007C20B0" w:rsidRPr="00533F17" w:rsidRDefault="007C20B0" w:rsidP="00D66738">
            <w:pPr>
              <w:spacing w:before="0"/>
              <w:ind w:left="57"/>
              <w:jc w:val="both"/>
              <w:rPr>
                <w:sz w:val="20"/>
                <w:szCs w:val="20"/>
              </w:rPr>
            </w:pPr>
            <w:r>
              <w:rPr>
                <w:sz w:val="20"/>
                <w:szCs w:val="20"/>
              </w:rPr>
              <w:t>09 February 2017</w:t>
            </w:r>
          </w:p>
        </w:tc>
      </w:tr>
      <w:tr w:rsidR="007C20B0" w:rsidRPr="00533F17" w14:paraId="1691E160" w14:textId="77777777" w:rsidTr="0079760E">
        <w:trPr>
          <w:trHeight w:val="247"/>
        </w:trPr>
        <w:tc>
          <w:tcPr>
            <w:tcW w:w="2062" w:type="dxa"/>
            <w:vMerge/>
          </w:tcPr>
          <w:p w14:paraId="5D7245F3" w14:textId="77777777" w:rsidR="007C20B0" w:rsidRPr="006B3D26" w:rsidRDefault="007C20B0" w:rsidP="00D66738">
            <w:pPr>
              <w:spacing w:before="0"/>
              <w:ind w:left="57"/>
              <w:rPr>
                <w:sz w:val="20"/>
                <w:szCs w:val="20"/>
              </w:rPr>
            </w:pPr>
          </w:p>
        </w:tc>
        <w:tc>
          <w:tcPr>
            <w:tcW w:w="1938" w:type="dxa"/>
          </w:tcPr>
          <w:p w14:paraId="03F25F89" w14:textId="0E7B3428" w:rsidR="007C20B0" w:rsidRPr="006B3D26" w:rsidRDefault="007C20B0" w:rsidP="00D66738">
            <w:pPr>
              <w:spacing w:before="0"/>
              <w:ind w:left="57"/>
              <w:jc w:val="both"/>
              <w:rPr>
                <w:sz w:val="20"/>
                <w:szCs w:val="20"/>
              </w:rPr>
            </w:pPr>
            <w:proofErr w:type="spellStart"/>
            <w:r w:rsidRPr="006B3D26">
              <w:rPr>
                <w:sz w:val="20"/>
                <w:szCs w:val="20"/>
              </w:rPr>
              <w:t>Zodwa</w:t>
            </w:r>
            <w:proofErr w:type="spellEnd"/>
            <w:r w:rsidRPr="006B3D26">
              <w:rPr>
                <w:sz w:val="20"/>
                <w:szCs w:val="20"/>
              </w:rPr>
              <w:t xml:space="preserve"> </w:t>
            </w:r>
            <w:proofErr w:type="spellStart"/>
            <w:r w:rsidRPr="006B3D26">
              <w:rPr>
                <w:sz w:val="20"/>
                <w:szCs w:val="20"/>
              </w:rPr>
              <w:t>Ntuli</w:t>
            </w:r>
            <w:proofErr w:type="spellEnd"/>
            <w:r w:rsidRPr="006B3D26">
              <w:rPr>
                <w:sz w:val="20"/>
                <w:szCs w:val="20"/>
              </w:rPr>
              <w:t xml:space="preserve"> </w:t>
            </w:r>
          </w:p>
        </w:tc>
        <w:tc>
          <w:tcPr>
            <w:tcW w:w="2941" w:type="dxa"/>
          </w:tcPr>
          <w:p w14:paraId="0447BF99" w14:textId="0C963C19" w:rsidR="007C20B0" w:rsidRDefault="007C20B0" w:rsidP="00D66738">
            <w:pPr>
              <w:spacing w:before="0"/>
              <w:ind w:left="57"/>
              <w:rPr>
                <w:sz w:val="20"/>
                <w:szCs w:val="20"/>
              </w:rPr>
            </w:pPr>
            <w:r w:rsidRPr="006B3D26">
              <w:rPr>
                <w:sz w:val="20"/>
                <w:szCs w:val="20"/>
              </w:rPr>
              <w:t>B</w:t>
            </w:r>
            <w:r>
              <w:rPr>
                <w:sz w:val="20"/>
                <w:szCs w:val="20"/>
              </w:rPr>
              <w:t>road</w:t>
            </w:r>
            <w:r w:rsidRPr="006B3D26">
              <w:rPr>
                <w:sz w:val="20"/>
                <w:szCs w:val="20"/>
              </w:rPr>
              <w:t>-B</w:t>
            </w:r>
            <w:r>
              <w:rPr>
                <w:sz w:val="20"/>
                <w:szCs w:val="20"/>
              </w:rPr>
              <w:t xml:space="preserve">ased </w:t>
            </w:r>
            <w:r w:rsidRPr="006B3D26">
              <w:rPr>
                <w:sz w:val="20"/>
                <w:szCs w:val="20"/>
              </w:rPr>
              <w:t>B</w:t>
            </w:r>
            <w:r w:rsidR="00876660">
              <w:rPr>
                <w:sz w:val="20"/>
                <w:szCs w:val="20"/>
              </w:rPr>
              <w:t>lack Economic Empowerment (B</w:t>
            </w:r>
            <w:r>
              <w:rPr>
                <w:sz w:val="20"/>
                <w:szCs w:val="20"/>
              </w:rPr>
              <w:t>BBEE) Commission</w:t>
            </w:r>
          </w:p>
        </w:tc>
        <w:tc>
          <w:tcPr>
            <w:tcW w:w="2268" w:type="dxa"/>
          </w:tcPr>
          <w:p w14:paraId="4F8E063B" w14:textId="0F83C67B" w:rsidR="007C20B0" w:rsidRPr="00533F17" w:rsidRDefault="007C20B0" w:rsidP="00D66738">
            <w:pPr>
              <w:spacing w:before="0"/>
              <w:ind w:left="57"/>
              <w:jc w:val="both"/>
              <w:rPr>
                <w:sz w:val="20"/>
                <w:szCs w:val="20"/>
              </w:rPr>
            </w:pPr>
            <w:r>
              <w:rPr>
                <w:sz w:val="20"/>
                <w:szCs w:val="20"/>
              </w:rPr>
              <w:t>07 March 2017</w:t>
            </w:r>
          </w:p>
        </w:tc>
      </w:tr>
      <w:tr w:rsidR="007C20B0" w:rsidRPr="00533F17" w14:paraId="39B14D92" w14:textId="15042217" w:rsidTr="0079760E">
        <w:trPr>
          <w:trHeight w:val="1140"/>
        </w:trPr>
        <w:tc>
          <w:tcPr>
            <w:tcW w:w="2062" w:type="dxa"/>
            <w:vMerge w:val="restart"/>
            <w:hideMark/>
          </w:tcPr>
          <w:p w14:paraId="2E9D1D0F" w14:textId="66509413" w:rsidR="007C20B0" w:rsidRPr="00533F17" w:rsidRDefault="007C20B0" w:rsidP="00D66738">
            <w:pPr>
              <w:spacing w:before="0" w:after="160"/>
              <w:rPr>
                <w:rFonts w:ascii="Calibri" w:eastAsia="Calibri" w:hAnsi="Calibri" w:cs="Times New Roman"/>
                <w:szCs w:val="24"/>
              </w:rPr>
            </w:pPr>
            <w:r>
              <w:rPr>
                <w:rFonts w:ascii="Calibri" w:eastAsia="Calibri" w:hAnsi="Calibri" w:cs="Times New Roman"/>
                <w:b/>
                <w:bCs/>
                <w:szCs w:val="24"/>
              </w:rPr>
              <w:t>Small business a</w:t>
            </w:r>
            <w:r w:rsidRPr="00533F17">
              <w:rPr>
                <w:rFonts w:ascii="Calibri" w:eastAsia="Calibri" w:hAnsi="Calibri" w:cs="Times New Roman"/>
                <w:b/>
                <w:bCs/>
                <w:szCs w:val="24"/>
              </w:rPr>
              <w:t>ssociations</w:t>
            </w:r>
          </w:p>
        </w:tc>
        <w:tc>
          <w:tcPr>
            <w:tcW w:w="1938" w:type="dxa"/>
            <w:hideMark/>
          </w:tcPr>
          <w:p w14:paraId="58FB3F1E" w14:textId="7A708BBE" w:rsidR="007C20B0" w:rsidRPr="00533F17" w:rsidRDefault="007C20B0" w:rsidP="00D66738">
            <w:pPr>
              <w:spacing w:before="0"/>
              <w:ind w:left="57"/>
              <w:jc w:val="both"/>
              <w:rPr>
                <w:sz w:val="20"/>
                <w:szCs w:val="20"/>
              </w:rPr>
            </w:pPr>
            <w:r>
              <w:rPr>
                <w:sz w:val="20"/>
                <w:szCs w:val="20"/>
              </w:rPr>
              <w:t xml:space="preserve">Workshop with </w:t>
            </w:r>
            <w:r w:rsidRPr="00533F17">
              <w:rPr>
                <w:sz w:val="20"/>
                <w:szCs w:val="20"/>
              </w:rPr>
              <w:t>B</w:t>
            </w:r>
            <w:r>
              <w:rPr>
                <w:sz w:val="20"/>
                <w:szCs w:val="20"/>
              </w:rPr>
              <w:t>usiness Unity South Africa</w:t>
            </w:r>
            <w:r w:rsidR="00EB7BE7">
              <w:rPr>
                <w:sz w:val="20"/>
                <w:szCs w:val="20"/>
              </w:rPr>
              <w:t xml:space="preserve"> (BUSA)</w:t>
            </w:r>
            <w:r>
              <w:rPr>
                <w:sz w:val="20"/>
                <w:szCs w:val="20"/>
              </w:rPr>
              <w:t xml:space="preserve"> members</w:t>
            </w:r>
          </w:p>
        </w:tc>
        <w:tc>
          <w:tcPr>
            <w:tcW w:w="2941" w:type="dxa"/>
          </w:tcPr>
          <w:p w14:paraId="79DD461A" w14:textId="6F221102" w:rsidR="007C20B0" w:rsidRPr="00533F17" w:rsidRDefault="007C20B0" w:rsidP="00D66738">
            <w:pPr>
              <w:spacing w:before="0"/>
              <w:ind w:left="57"/>
              <w:rPr>
                <w:sz w:val="20"/>
                <w:szCs w:val="20"/>
              </w:rPr>
            </w:pPr>
            <w:r w:rsidRPr="00533F17">
              <w:rPr>
                <w:sz w:val="20"/>
                <w:szCs w:val="20"/>
              </w:rPr>
              <w:t xml:space="preserve">Members from </w:t>
            </w:r>
            <w:r>
              <w:rPr>
                <w:sz w:val="20"/>
                <w:szCs w:val="20"/>
              </w:rPr>
              <w:t xml:space="preserve">the </w:t>
            </w:r>
            <w:r w:rsidRPr="00533F17">
              <w:rPr>
                <w:sz w:val="20"/>
                <w:szCs w:val="20"/>
              </w:rPr>
              <w:t>IT Association, APSO</w:t>
            </w:r>
            <w:r w:rsidR="00086240">
              <w:rPr>
                <w:sz w:val="20"/>
                <w:szCs w:val="20"/>
              </w:rPr>
              <w:t xml:space="preserve"> (African Professional Staffing Organisations)</w:t>
            </w:r>
            <w:r w:rsidRPr="00533F17">
              <w:rPr>
                <w:sz w:val="20"/>
                <w:szCs w:val="20"/>
              </w:rPr>
              <w:t>, National Accommodation Association –South Africa</w:t>
            </w:r>
            <w:r w:rsidR="00086240">
              <w:rPr>
                <w:sz w:val="20"/>
                <w:szCs w:val="20"/>
              </w:rPr>
              <w:t xml:space="preserve"> (NAA-SA), </w:t>
            </w:r>
            <w:r w:rsidRPr="00533F17">
              <w:rPr>
                <w:sz w:val="20"/>
                <w:szCs w:val="20"/>
              </w:rPr>
              <w:t>Chamber of Mines, SEIFSA</w:t>
            </w:r>
            <w:r w:rsidR="00086240">
              <w:rPr>
                <w:sz w:val="20"/>
                <w:szCs w:val="20"/>
              </w:rPr>
              <w:t xml:space="preserve"> (</w:t>
            </w:r>
            <w:r w:rsidR="00086240" w:rsidRPr="00086240">
              <w:rPr>
                <w:sz w:val="20"/>
                <w:szCs w:val="20"/>
              </w:rPr>
              <w:t>Steel and Engineering Industries Federation of Southern Africa</w:t>
            </w:r>
            <w:r w:rsidR="00086240">
              <w:rPr>
                <w:sz w:val="20"/>
                <w:szCs w:val="20"/>
              </w:rPr>
              <w:t>)</w:t>
            </w:r>
          </w:p>
        </w:tc>
        <w:tc>
          <w:tcPr>
            <w:tcW w:w="2268" w:type="dxa"/>
          </w:tcPr>
          <w:p w14:paraId="105B5CBA" w14:textId="77777777" w:rsidR="007C20B0" w:rsidRPr="006B3D26" w:rsidRDefault="007C20B0" w:rsidP="00D66738">
            <w:pPr>
              <w:spacing w:before="0"/>
              <w:ind w:left="57"/>
              <w:jc w:val="both"/>
              <w:rPr>
                <w:sz w:val="20"/>
                <w:szCs w:val="20"/>
              </w:rPr>
            </w:pPr>
            <w:r w:rsidRPr="006B3D26">
              <w:rPr>
                <w:sz w:val="20"/>
                <w:szCs w:val="20"/>
              </w:rPr>
              <w:t>20 February 2017</w:t>
            </w:r>
          </w:p>
          <w:p w14:paraId="5A9C9988" w14:textId="1C00F2C3" w:rsidR="007C20B0" w:rsidRPr="00533F17" w:rsidRDefault="007C20B0" w:rsidP="00D66738">
            <w:pPr>
              <w:spacing w:before="0"/>
              <w:ind w:left="57"/>
              <w:jc w:val="both"/>
              <w:rPr>
                <w:sz w:val="20"/>
                <w:szCs w:val="20"/>
              </w:rPr>
            </w:pPr>
            <w:r w:rsidRPr="006B3D26">
              <w:rPr>
                <w:sz w:val="20"/>
                <w:szCs w:val="20"/>
              </w:rPr>
              <w:t>and 21 February 2017</w:t>
            </w:r>
          </w:p>
        </w:tc>
      </w:tr>
      <w:tr w:rsidR="007C20B0" w:rsidRPr="00533F17" w14:paraId="30DFCA07" w14:textId="77777777" w:rsidTr="0079760E">
        <w:trPr>
          <w:trHeight w:val="585"/>
        </w:trPr>
        <w:tc>
          <w:tcPr>
            <w:tcW w:w="2062" w:type="dxa"/>
            <w:vMerge/>
          </w:tcPr>
          <w:p w14:paraId="431853DB" w14:textId="77777777" w:rsidR="007C20B0" w:rsidRPr="00533F17" w:rsidRDefault="007C20B0" w:rsidP="00D66738">
            <w:pPr>
              <w:spacing w:before="0" w:after="160"/>
              <w:rPr>
                <w:rFonts w:ascii="Calibri" w:eastAsia="Calibri" w:hAnsi="Calibri" w:cs="Times New Roman"/>
                <w:b/>
                <w:bCs/>
                <w:szCs w:val="24"/>
              </w:rPr>
            </w:pPr>
          </w:p>
        </w:tc>
        <w:tc>
          <w:tcPr>
            <w:tcW w:w="1938" w:type="dxa"/>
          </w:tcPr>
          <w:p w14:paraId="1A97AE04" w14:textId="2B05B71C" w:rsidR="007C20B0" w:rsidRPr="00533F17" w:rsidRDefault="007C20B0" w:rsidP="00D66738">
            <w:pPr>
              <w:spacing w:before="0"/>
              <w:ind w:left="57"/>
              <w:jc w:val="both"/>
              <w:rPr>
                <w:sz w:val="20"/>
                <w:szCs w:val="20"/>
              </w:rPr>
            </w:pPr>
            <w:r>
              <w:rPr>
                <w:sz w:val="20"/>
                <w:szCs w:val="20"/>
              </w:rPr>
              <w:t xml:space="preserve">Workshop with </w:t>
            </w:r>
          </w:p>
          <w:p w14:paraId="47FB88EC" w14:textId="0FD727C8" w:rsidR="007C20B0" w:rsidRPr="00533F17" w:rsidRDefault="007C20B0" w:rsidP="00D66738">
            <w:pPr>
              <w:spacing w:before="0"/>
              <w:ind w:left="57"/>
              <w:jc w:val="both"/>
              <w:rPr>
                <w:sz w:val="20"/>
                <w:szCs w:val="20"/>
              </w:rPr>
            </w:pPr>
            <w:r w:rsidRPr="00533F17">
              <w:rPr>
                <w:sz w:val="20"/>
                <w:szCs w:val="20"/>
              </w:rPr>
              <w:t>B</w:t>
            </w:r>
            <w:r>
              <w:rPr>
                <w:sz w:val="20"/>
                <w:szCs w:val="20"/>
              </w:rPr>
              <w:t xml:space="preserve">lack </w:t>
            </w:r>
            <w:r w:rsidRPr="00533F17">
              <w:rPr>
                <w:sz w:val="20"/>
                <w:szCs w:val="20"/>
              </w:rPr>
              <w:t>B</w:t>
            </w:r>
            <w:r>
              <w:rPr>
                <w:sz w:val="20"/>
                <w:szCs w:val="20"/>
              </w:rPr>
              <w:t xml:space="preserve">usiness </w:t>
            </w:r>
            <w:r w:rsidRPr="00533F17">
              <w:rPr>
                <w:sz w:val="20"/>
                <w:szCs w:val="20"/>
              </w:rPr>
              <w:t>C</w:t>
            </w:r>
            <w:r>
              <w:rPr>
                <w:sz w:val="20"/>
                <w:szCs w:val="20"/>
              </w:rPr>
              <w:t xml:space="preserve">ouncil </w:t>
            </w:r>
            <w:r w:rsidR="00EB7BE7">
              <w:rPr>
                <w:sz w:val="20"/>
                <w:szCs w:val="20"/>
              </w:rPr>
              <w:t xml:space="preserve">(BBC) </w:t>
            </w:r>
            <w:r>
              <w:rPr>
                <w:sz w:val="20"/>
                <w:szCs w:val="20"/>
              </w:rPr>
              <w:t>members</w:t>
            </w:r>
            <w:r w:rsidR="00EB7BE7">
              <w:rPr>
                <w:sz w:val="20"/>
                <w:szCs w:val="20"/>
              </w:rPr>
              <w:t xml:space="preserve"> </w:t>
            </w:r>
          </w:p>
          <w:p w14:paraId="1755D34D" w14:textId="77777777" w:rsidR="007C20B0" w:rsidRDefault="007C20B0" w:rsidP="00D66738">
            <w:pPr>
              <w:spacing w:before="0"/>
              <w:ind w:left="57"/>
              <w:jc w:val="both"/>
              <w:rPr>
                <w:sz w:val="20"/>
                <w:szCs w:val="20"/>
              </w:rPr>
            </w:pPr>
          </w:p>
        </w:tc>
        <w:tc>
          <w:tcPr>
            <w:tcW w:w="2941" w:type="dxa"/>
          </w:tcPr>
          <w:p w14:paraId="5297E32C" w14:textId="31CFA075" w:rsidR="007C20B0" w:rsidRPr="00533F17" w:rsidRDefault="007C20B0" w:rsidP="00D66738">
            <w:pPr>
              <w:spacing w:before="0"/>
              <w:ind w:left="57"/>
              <w:rPr>
                <w:sz w:val="20"/>
                <w:szCs w:val="20"/>
              </w:rPr>
            </w:pPr>
            <w:r w:rsidRPr="00533F17">
              <w:rPr>
                <w:sz w:val="20"/>
                <w:szCs w:val="20"/>
              </w:rPr>
              <w:t>Members from</w:t>
            </w:r>
            <w:r w:rsidR="00086240">
              <w:t xml:space="preserve"> </w:t>
            </w:r>
            <w:r w:rsidR="00086240" w:rsidRPr="00086240">
              <w:rPr>
                <w:sz w:val="20"/>
                <w:szCs w:val="20"/>
              </w:rPr>
              <w:t>Foundation for African Business and Consumer Services</w:t>
            </w:r>
            <w:r w:rsidR="00086240">
              <w:rPr>
                <w:sz w:val="20"/>
                <w:szCs w:val="20"/>
              </w:rPr>
              <w:t xml:space="preserve"> (</w:t>
            </w:r>
            <w:proofErr w:type="spellStart"/>
            <w:r w:rsidRPr="00533F17">
              <w:rPr>
                <w:sz w:val="20"/>
                <w:szCs w:val="20"/>
              </w:rPr>
              <w:t>Fabcos</w:t>
            </w:r>
            <w:proofErr w:type="spellEnd"/>
            <w:r w:rsidR="00086240">
              <w:rPr>
                <w:sz w:val="20"/>
                <w:szCs w:val="20"/>
              </w:rPr>
              <w:t>)</w:t>
            </w:r>
            <w:r w:rsidRPr="00533F17">
              <w:rPr>
                <w:sz w:val="20"/>
                <w:szCs w:val="20"/>
              </w:rPr>
              <w:t xml:space="preserve">, </w:t>
            </w:r>
            <w:r w:rsidR="00086240">
              <w:rPr>
                <w:sz w:val="20"/>
                <w:szCs w:val="20"/>
              </w:rPr>
              <w:t>Black Management Forum (</w:t>
            </w:r>
            <w:r w:rsidRPr="00533F17">
              <w:rPr>
                <w:sz w:val="20"/>
                <w:szCs w:val="20"/>
              </w:rPr>
              <w:t>BMF</w:t>
            </w:r>
            <w:r w:rsidR="00086240">
              <w:rPr>
                <w:sz w:val="20"/>
                <w:szCs w:val="20"/>
              </w:rPr>
              <w:t>)</w:t>
            </w:r>
            <w:r w:rsidRPr="00533F17">
              <w:rPr>
                <w:sz w:val="20"/>
                <w:szCs w:val="20"/>
              </w:rPr>
              <w:t xml:space="preserve">, </w:t>
            </w:r>
            <w:r w:rsidR="00086240">
              <w:rPr>
                <w:sz w:val="20"/>
                <w:szCs w:val="20"/>
              </w:rPr>
              <w:t xml:space="preserve">National Industrial Council (NIC), </w:t>
            </w:r>
            <w:r w:rsidR="00086240" w:rsidRPr="00086240">
              <w:rPr>
                <w:sz w:val="20"/>
                <w:szCs w:val="20"/>
              </w:rPr>
              <w:t xml:space="preserve">National African Federated Chamber of Commerce and Industry </w:t>
            </w:r>
            <w:r w:rsidR="00086240">
              <w:rPr>
                <w:sz w:val="20"/>
                <w:szCs w:val="20"/>
              </w:rPr>
              <w:t>(</w:t>
            </w:r>
            <w:r w:rsidRPr="00533F17">
              <w:rPr>
                <w:sz w:val="20"/>
                <w:szCs w:val="20"/>
              </w:rPr>
              <w:t>NAFCOC</w:t>
            </w:r>
            <w:r w:rsidR="00086240">
              <w:rPr>
                <w:sz w:val="20"/>
                <w:szCs w:val="20"/>
              </w:rPr>
              <w:t>), Gauteng Industrial Trading</w:t>
            </w:r>
            <w:r w:rsidRPr="00533F17">
              <w:rPr>
                <w:sz w:val="20"/>
                <w:szCs w:val="20"/>
              </w:rPr>
              <w:t xml:space="preserve">, WDB Investment Holdings, PPC, </w:t>
            </w:r>
            <w:r w:rsidR="00086240">
              <w:rPr>
                <w:sz w:val="20"/>
                <w:szCs w:val="20"/>
              </w:rPr>
              <w:t>South African Women in Construction (</w:t>
            </w:r>
            <w:r w:rsidRPr="00533F17">
              <w:rPr>
                <w:sz w:val="20"/>
                <w:szCs w:val="20"/>
              </w:rPr>
              <w:t>SAWIC</w:t>
            </w:r>
            <w:r w:rsidR="00086240">
              <w:rPr>
                <w:sz w:val="20"/>
                <w:szCs w:val="20"/>
              </w:rPr>
              <w:t>)</w:t>
            </w:r>
            <w:r w:rsidRPr="00533F17">
              <w:rPr>
                <w:sz w:val="20"/>
                <w:szCs w:val="20"/>
              </w:rPr>
              <w:t>, SANCOC Provincial Hub and BBC-B</w:t>
            </w:r>
            <w:r w:rsidR="006F523E">
              <w:rPr>
                <w:sz w:val="20"/>
                <w:szCs w:val="20"/>
              </w:rPr>
              <w:t xml:space="preserve">uilt </w:t>
            </w:r>
            <w:r w:rsidRPr="00533F17">
              <w:rPr>
                <w:sz w:val="20"/>
                <w:szCs w:val="20"/>
              </w:rPr>
              <w:t>E</w:t>
            </w:r>
            <w:r w:rsidR="006F523E">
              <w:rPr>
                <w:sz w:val="20"/>
                <w:szCs w:val="20"/>
              </w:rPr>
              <w:t>nvironment</w:t>
            </w:r>
          </w:p>
        </w:tc>
        <w:tc>
          <w:tcPr>
            <w:tcW w:w="2268" w:type="dxa"/>
          </w:tcPr>
          <w:p w14:paraId="27F303A6" w14:textId="16CC0291" w:rsidR="007C20B0" w:rsidRPr="00533F17" w:rsidRDefault="007C20B0" w:rsidP="00D66738">
            <w:pPr>
              <w:spacing w:before="0"/>
              <w:ind w:left="57"/>
              <w:jc w:val="both"/>
              <w:rPr>
                <w:sz w:val="20"/>
                <w:szCs w:val="20"/>
              </w:rPr>
            </w:pPr>
            <w:r w:rsidRPr="006B3D26">
              <w:rPr>
                <w:sz w:val="20"/>
                <w:szCs w:val="20"/>
              </w:rPr>
              <w:t>23 February 2017</w:t>
            </w:r>
          </w:p>
        </w:tc>
      </w:tr>
      <w:tr w:rsidR="007C20B0" w:rsidRPr="00533F17" w14:paraId="61271276" w14:textId="44BAD3B1" w:rsidTr="0079760E">
        <w:trPr>
          <w:trHeight w:val="72"/>
        </w:trPr>
        <w:tc>
          <w:tcPr>
            <w:tcW w:w="2062" w:type="dxa"/>
            <w:vMerge w:val="restart"/>
            <w:hideMark/>
          </w:tcPr>
          <w:p w14:paraId="61F9B48D" w14:textId="6AE496D6" w:rsidR="007C20B0" w:rsidRPr="00533F17" w:rsidRDefault="00873169" w:rsidP="00D66738">
            <w:pPr>
              <w:spacing w:before="0" w:after="160"/>
              <w:rPr>
                <w:rFonts w:ascii="Calibri" w:eastAsia="Calibri" w:hAnsi="Calibri" w:cs="Times New Roman"/>
                <w:szCs w:val="24"/>
              </w:rPr>
            </w:pPr>
            <w:r>
              <w:rPr>
                <w:rFonts w:ascii="Calibri" w:eastAsia="Calibri" w:hAnsi="Calibri" w:cs="Times New Roman"/>
                <w:b/>
                <w:bCs/>
                <w:szCs w:val="24"/>
              </w:rPr>
              <w:t>S</w:t>
            </w:r>
            <w:r w:rsidR="007C59D1">
              <w:rPr>
                <w:rFonts w:ascii="Calibri" w:eastAsia="Calibri" w:hAnsi="Calibri" w:cs="Times New Roman"/>
                <w:b/>
                <w:bCs/>
                <w:szCs w:val="24"/>
              </w:rPr>
              <w:t>mall business</w:t>
            </w:r>
            <w:r>
              <w:rPr>
                <w:rFonts w:ascii="Calibri" w:eastAsia="Calibri" w:hAnsi="Calibri" w:cs="Times New Roman"/>
                <w:b/>
                <w:bCs/>
                <w:szCs w:val="24"/>
              </w:rPr>
              <w:t xml:space="preserve"> i</w:t>
            </w:r>
            <w:r w:rsidR="007C20B0" w:rsidRPr="00533F17">
              <w:rPr>
                <w:rFonts w:ascii="Calibri" w:eastAsia="Calibri" w:hAnsi="Calibri" w:cs="Times New Roman"/>
                <w:b/>
                <w:bCs/>
                <w:szCs w:val="24"/>
              </w:rPr>
              <w:t>ncubators/ Research institutes</w:t>
            </w:r>
          </w:p>
        </w:tc>
        <w:tc>
          <w:tcPr>
            <w:tcW w:w="1938" w:type="dxa"/>
            <w:hideMark/>
          </w:tcPr>
          <w:p w14:paraId="54D742B6" w14:textId="0DF20B13" w:rsidR="007C20B0" w:rsidRPr="00533F17" w:rsidRDefault="007C20B0" w:rsidP="00D66738">
            <w:pPr>
              <w:spacing w:before="0" w:line="276" w:lineRule="auto"/>
              <w:ind w:left="-9"/>
              <w:jc w:val="both"/>
              <w:rPr>
                <w:sz w:val="20"/>
                <w:szCs w:val="20"/>
              </w:rPr>
            </w:pPr>
            <w:r w:rsidRPr="00B67D2C">
              <w:rPr>
                <w:sz w:val="20"/>
                <w:szCs w:val="20"/>
              </w:rPr>
              <w:t xml:space="preserve">Brendon </w:t>
            </w:r>
            <w:proofErr w:type="spellStart"/>
            <w:r w:rsidRPr="00B67D2C">
              <w:rPr>
                <w:sz w:val="20"/>
                <w:szCs w:val="20"/>
              </w:rPr>
              <w:t>Daroll</w:t>
            </w:r>
            <w:proofErr w:type="spellEnd"/>
          </w:p>
        </w:tc>
        <w:tc>
          <w:tcPr>
            <w:tcW w:w="2941" w:type="dxa"/>
          </w:tcPr>
          <w:p w14:paraId="373DDE3A" w14:textId="3A097CF9" w:rsidR="007C20B0" w:rsidRPr="00533F17" w:rsidRDefault="007C20B0" w:rsidP="00D66738">
            <w:pPr>
              <w:spacing w:before="0" w:line="276" w:lineRule="auto"/>
              <w:ind w:left="-9"/>
              <w:rPr>
                <w:sz w:val="20"/>
                <w:szCs w:val="20"/>
              </w:rPr>
            </w:pPr>
            <w:r w:rsidRPr="00533F17">
              <w:rPr>
                <w:sz w:val="20"/>
                <w:szCs w:val="20"/>
              </w:rPr>
              <w:t>S</w:t>
            </w:r>
            <w:r>
              <w:rPr>
                <w:sz w:val="20"/>
                <w:szCs w:val="20"/>
              </w:rPr>
              <w:t xml:space="preserve">mall </w:t>
            </w:r>
            <w:r w:rsidRPr="00533F17">
              <w:rPr>
                <w:sz w:val="20"/>
                <w:szCs w:val="20"/>
              </w:rPr>
              <w:t>B</w:t>
            </w:r>
            <w:r>
              <w:rPr>
                <w:sz w:val="20"/>
                <w:szCs w:val="20"/>
              </w:rPr>
              <w:t xml:space="preserve">usiness </w:t>
            </w:r>
            <w:r w:rsidRPr="00533F17">
              <w:rPr>
                <w:sz w:val="20"/>
                <w:szCs w:val="20"/>
              </w:rPr>
              <w:t>P</w:t>
            </w:r>
            <w:r>
              <w:rPr>
                <w:sz w:val="20"/>
                <w:szCs w:val="20"/>
              </w:rPr>
              <w:t>roject (SBP)</w:t>
            </w:r>
          </w:p>
        </w:tc>
        <w:tc>
          <w:tcPr>
            <w:tcW w:w="2268" w:type="dxa"/>
          </w:tcPr>
          <w:p w14:paraId="4E580C9C" w14:textId="5064848B" w:rsidR="007C20B0" w:rsidRPr="00533F17" w:rsidRDefault="007C20B0" w:rsidP="00D66738">
            <w:pPr>
              <w:spacing w:before="0" w:line="276" w:lineRule="auto"/>
              <w:ind w:left="-9"/>
              <w:jc w:val="both"/>
              <w:rPr>
                <w:sz w:val="20"/>
                <w:szCs w:val="20"/>
              </w:rPr>
            </w:pPr>
            <w:r>
              <w:rPr>
                <w:sz w:val="20"/>
                <w:szCs w:val="20"/>
              </w:rPr>
              <w:t>18 November 2016</w:t>
            </w:r>
          </w:p>
        </w:tc>
      </w:tr>
      <w:tr w:rsidR="007C20B0" w:rsidRPr="00533F17" w14:paraId="0E094EC6" w14:textId="77777777" w:rsidTr="0079760E">
        <w:trPr>
          <w:trHeight w:val="335"/>
        </w:trPr>
        <w:tc>
          <w:tcPr>
            <w:tcW w:w="2062" w:type="dxa"/>
            <w:vMerge/>
          </w:tcPr>
          <w:p w14:paraId="5A5CF0DC" w14:textId="77777777" w:rsidR="007C20B0" w:rsidRPr="00533F17" w:rsidRDefault="007C20B0" w:rsidP="00D66738">
            <w:pPr>
              <w:spacing w:before="0" w:after="160"/>
              <w:rPr>
                <w:rFonts w:ascii="Calibri" w:eastAsia="Calibri" w:hAnsi="Calibri" w:cs="Times New Roman"/>
                <w:b/>
                <w:bCs/>
                <w:szCs w:val="24"/>
              </w:rPr>
            </w:pPr>
          </w:p>
        </w:tc>
        <w:tc>
          <w:tcPr>
            <w:tcW w:w="1938" w:type="dxa"/>
          </w:tcPr>
          <w:p w14:paraId="3A911458" w14:textId="2A7F8335" w:rsidR="007C20B0" w:rsidRPr="00533F17" w:rsidRDefault="007C20B0" w:rsidP="00D66738">
            <w:pPr>
              <w:spacing w:before="0" w:line="276" w:lineRule="auto"/>
              <w:ind w:left="-9"/>
              <w:jc w:val="both"/>
              <w:rPr>
                <w:sz w:val="20"/>
                <w:szCs w:val="20"/>
              </w:rPr>
            </w:pPr>
            <w:r w:rsidRPr="00B67D2C">
              <w:rPr>
                <w:sz w:val="20"/>
                <w:szCs w:val="20"/>
              </w:rPr>
              <w:t xml:space="preserve">Peter </w:t>
            </w:r>
            <w:proofErr w:type="spellStart"/>
            <w:r w:rsidRPr="00B67D2C">
              <w:rPr>
                <w:sz w:val="20"/>
                <w:szCs w:val="20"/>
              </w:rPr>
              <w:t>Kypri</w:t>
            </w:r>
            <w:proofErr w:type="spellEnd"/>
          </w:p>
        </w:tc>
        <w:tc>
          <w:tcPr>
            <w:tcW w:w="2941" w:type="dxa"/>
          </w:tcPr>
          <w:p w14:paraId="6AC64770" w14:textId="2D458214" w:rsidR="007C20B0" w:rsidRPr="00533F17" w:rsidRDefault="007C20B0" w:rsidP="00D66738">
            <w:pPr>
              <w:spacing w:before="0" w:line="276" w:lineRule="auto"/>
              <w:ind w:left="-9"/>
              <w:rPr>
                <w:sz w:val="20"/>
                <w:szCs w:val="20"/>
              </w:rPr>
            </w:pPr>
            <w:proofErr w:type="spellStart"/>
            <w:r w:rsidRPr="00533F17">
              <w:rPr>
                <w:sz w:val="20"/>
                <w:szCs w:val="20"/>
              </w:rPr>
              <w:t>Raizcorp</w:t>
            </w:r>
            <w:proofErr w:type="spellEnd"/>
          </w:p>
        </w:tc>
        <w:tc>
          <w:tcPr>
            <w:tcW w:w="2268" w:type="dxa"/>
          </w:tcPr>
          <w:p w14:paraId="53AF7ADD" w14:textId="7AB84D32" w:rsidR="007C20B0" w:rsidRPr="00533F17" w:rsidRDefault="007C20B0" w:rsidP="00D66738">
            <w:pPr>
              <w:spacing w:before="0" w:line="276" w:lineRule="auto"/>
              <w:ind w:left="-9"/>
              <w:jc w:val="both"/>
              <w:rPr>
                <w:sz w:val="20"/>
                <w:szCs w:val="20"/>
              </w:rPr>
            </w:pPr>
            <w:r>
              <w:rPr>
                <w:sz w:val="20"/>
                <w:szCs w:val="20"/>
              </w:rPr>
              <w:t>29 November 2016</w:t>
            </w:r>
          </w:p>
        </w:tc>
      </w:tr>
      <w:tr w:rsidR="007C20B0" w:rsidRPr="00533F17" w14:paraId="2A169A97" w14:textId="22E89850" w:rsidTr="0079760E">
        <w:trPr>
          <w:trHeight w:val="582"/>
        </w:trPr>
        <w:tc>
          <w:tcPr>
            <w:tcW w:w="2062" w:type="dxa"/>
            <w:vMerge w:val="restart"/>
            <w:hideMark/>
          </w:tcPr>
          <w:p w14:paraId="32FC2A9C" w14:textId="77777777" w:rsidR="007C20B0" w:rsidRPr="00533F17" w:rsidRDefault="007C20B0" w:rsidP="00D66738">
            <w:pPr>
              <w:spacing w:before="0" w:after="160"/>
              <w:rPr>
                <w:rFonts w:ascii="Calibri" w:eastAsia="Calibri" w:hAnsi="Calibri" w:cs="Times New Roman"/>
                <w:szCs w:val="24"/>
              </w:rPr>
            </w:pPr>
            <w:r w:rsidRPr="00533F17">
              <w:rPr>
                <w:rFonts w:ascii="Calibri" w:eastAsia="Calibri" w:hAnsi="Calibri" w:cs="Times New Roman"/>
                <w:b/>
                <w:bCs/>
                <w:szCs w:val="24"/>
              </w:rPr>
              <w:t>Construction Sector</w:t>
            </w:r>
          </w:p>
        </w:tc>
        <w:tc>
          <w:tcPr>
            <w:tcW w:w="1938" w:type="dxa"/>
            <w:hideMark/>
          </w:tcPr>
          <w:p w14:paraId="633CAF1B" w14:textId="32BA1ACE" w:rsidR="007C20B0" w:rsidRPr="00533F17" w:rsidRDefault="005D2366" w:rsidP="00D66738">
            <w:pPr>
              <w:spacing w:before="0" w:line="276" w:lineRule="auto"/>
              <w:ind w:left="-9"/>
              <w:jc w:val="both"/>
              <w:rPr>
                <w:sz w:val="20"/>
                <w:szCs w:val="20"/>
              </w:rPr>
            </w:pPr>
            <w:r w:rsidRPr="005D2366">
              <w:rPr>
                <w:sz w:val="20"/>
                <w:szCs w:val="20"/>
              </w:rPr>
              <w:t xml:space="preserve">Superintendent Bore and Officer </w:t>
            </w:r>
            <w:proofErr w:type="spellStart"/>
            <w:r w:rsidRPr="005D2366">
              <w:rPr>
                <w:sz w:val="20"/>
                <w:szCs w:val="20"/>
              </w:rPr>
              <w:t>Malima</w:t>
            </w:r>
            <w:proofErr w:type="spellEnd"/>
          </w:p>
        </w:tc>
        <w:tc>
          <w:tcPr>
            <w:tcW w:w="2941" w:type="dxa"/>
          </w:tcPr>
          <w:p w14:paraId="4FE76F9F" w14:textId="430875FE" w:rsidR="007C20B0" w:rsidRPr="00533F17" w:rsidRDefault="007C20B0" w:rsidP="00D66738">
            <w:pPr>
              <w:spacing w:before="0" w:line="276" w:lineRule="auto"/>
              <w:ind w:left="-9"/>
              <w:rPr>
                <w:sz w:val="20"/>
                <w:szCs w:val="20"/>
              </w:rPr>
            </w:pPr>
            <w:r w:rsidRPr="00533F17">
              <w:rPr>
                <w:sz w:val="20"/>
                <w:szCs w:val="20"/>
              </w:rPr>
              <w:t>Johannesburg Municipal Police Department</w:t>
            </w:r>
          </w:p>
        </w:tc>
        <w:tc>
          <w:tcPr>
            <w:tcW w:w="2268" w:type="dxa"/>
          </w:tcPr>
          <w:p w14:paraId="5027EE28" w14:textId="2D36CCC5" w:rsidR="007C20B0" w:rsidRPr="00533F17" w:rsidRDefault="00104BB1" w:rsidP="00D66738">
            <w:pPr>
              <w:spacing w:before="0" w:line="276" w:lineRule="auto"/>
              <w:ind w:left="-9"/>
              <w:jc w:val="both"/>
              <w:rPr>
                <w:sz w:val="20"/>
                <w:szCs w:val="20"/>
              </w:rPr>
            </w:pPr>
            <w:r>
              <w:rPr>
                <w:sz w:val="20"/>
                <w:szCs w:val="20"/>
              </w:rPr>
              <w:t>22 October 2016</w:t>
            </w:r>
          </w:p>
        </w:tc>
      </w:tr>
      <w:tr w:rsidR="007C20B0" w:rsidRPr="00533F17" w14:paraId="51E4643F" w14:textId="77777777" w:rsidTr="0079760E">
        <w:trPr>
          <w:trHeight w:val="414"/>
        </w:trPr>
        <w:tc>
          <w:tcPr>
            <w:tcW w:w="2062" w:type="dxa"/>
            <w:vMerge/>
          </w:tcPr>
          <w:p w14:paraId="4E27CF4F" w14:textId="77777777" w:rsidR="007C20B0" w:rsidRPr="00533F17" w:rsidRDefault="007C20B0" w:rsidP="00D66738">
            <w:pPr>
              <w:spacing w:before="0" w:after="160"/>
              <w:jc w:val="both"/>
              <w:rPr>
                <w:rFonts w:ascii="Calibri" w:eastAsia="Calibri" w:hAnsi="Calibri" w:cs="Times New Roman"/>
                <w:b/>
                <w:bCs/>
                <w:szCs w:val="24"/>
              </w:rPr>
            </w:pPr>
          </w:p>
        </w:tc>
        <w:tc>
          <w:tcPr>
            <w:tcW w:w="1938" w:type="dxa"/>
          </w:tcPr>
          <w:p w14:paraId="6848F7D7" w14:textId="7AEC2CA4" w:rsidR="007C20B0" w:rsidRPr="00533F17" w:rsidRDefault="005D2366" w:rsidP="00D66738">
            <w:pPr>
              <w:spacing w:before="0" w:line="276" w:lineRule="auto"/>
              <w:ind w:left="-9"/>
              <w:jc w:val="both"/>
              <w:rPr>
                <w:sz w:val="20"/>
                <w:szCs w:val="20"/>
              </w:rPr>
            </w:pPr>
            <w:r w:rsidRPr="005D2366">
              <w:rPr>
                <w:sz w:val="20"/>
                <w:szCs w:val="20"/>
              </w:rPr>
              <w:t xml:space="preserve">German </w:t>
            </w:r>
            <w:proofErr w:type="spellStart"/>
            <w:r w:rsidRPr="005D2366">
              <w:rPr>
                <w:sz w:val="20"/>
                <w:szCs w:val="20"/>
              </w:rPr>
              <w:t>Mphahlele</w:t>
            </w:r>
            <w:proofErr w:type="spellEnd"/>
          </w:p>
        </w:tc>
        <w:tc>
          <w:tcPr>
            <w:tcW w:w="2941" w:type="dxa"/>
          </w:tcPr>
          <w:p w14:paraId="5258F3C2" w14:textId="6BBCAF73" w:rsidR="007C20B0" w:rsidRPr="00533F17" w:rsidRDefault="007C20B0" w:rsidP="00D66738">
            <w:pPr>
              <w:spacing w:before="0" w:line="276" w:lineRule="auto"/>
              <w:ind w:left="-9"/>
              <w:rPr>
                <w:sz w:val="20"/>
                <w:szCs w:val="20"/>
              </w:rPr>
            </w:pPr>
            <w:r w:rsidRPr="005D2366">
              <w:rPr>
                <w:sz w:val="20"/>
                <w:szCs w:val="20"/>
              </w:rPr>
              <w:t>Construction Industry</w:t>
            </w:r>
            <w:r>
              <w:rPr>
                <w:sz w:val="20"/>
                <w:szCs w:val="20"/>
              </w:rPr>
              <w:t xml:space="preserve"> Development Board (CIBD)</w:t>
            </w:r>
          </w:p>
        </w:tc>
        <w:tc>
          <w:tcPr>
            <w:tcW w:w="2268" w:type="dxa"/>
          </w:tcPr>
          <w:p w14:paraId="398C2E99" w14:textId="0C81E41A" w:rsidR="007C20B0" w:rsidRPr="00533F17" w:rsidRDefault="005D2366" w:rsidP="00D66738">
            <w:pPr>
              <w:spacing w:before="0" w:line="276" w:lineRule="auto"/>
              <w:ind w:left="-9"/>
              <w:jc w:val="both"/>
              <w:rPr>
                <w:sz w:val="20"/>
                <w:szCs w:val="20"/>
              </w:rPr>
            </w:pPr>
            <w:r>
              <w:rPr>
                <w:sz w:val="20"/>
                <w:szCs w:val="20"/>
              </w:rPr>
              <w:t>28 November 2016</w:t>
            </w:r>
          </w:p>
        </w:tc>
      </w:tr>
      <w:tr w:rsidR="007C20B0" w:rsidRPr="00533F17" w14:paraId="4126742A" w14:textId="77777777" w:rsidTr="0079760E">
        <w:trPr>
          <w:trHeight w:val="307"/>
        </w:trPr>
        <w:tc>
          <w:tcPr>
            <w:tcW w:w="2062" w:type="dxa"/>
            <w:vMerge/>
          </w:tcPr>
          <w:p w14:paraId="4BC7D584" w14:textId="77777777" w:rsidR="007C20B0" w:rsidRPr="00533F17" w:rsidRDefault="007C20B0" w:rsidP="00D66738">
            <w:pPr>
              <w:spacing w:before="0" w:after="160"/>
              <w:jc w:val="both"/>
              <w:rPr>
                <w:rFonts w:ascii="Calibri" w:eastAsia="Calibri" w:hAnsi="Calibri" w:cs="Times New Roman"/>
                <w:b/>
                <w:bCs/>
                <w:szCs w:val="24"/>
              </w:rPr>
            </w:pPr>
          </w:p>
        </w:tc>
        <w:tc>
          <w:tcPr>
            <w:tcW w:w="1938" w:type="dxa"/>
          </w:tcPr>
          <w:p w14:paraId="4C56F7ED" w14:textId="7CCB9D65" w:rsidR="007C20B0" w:rsidRPr="00533F17" w:rsidRDefault="005D2366" w:rsidP="00D66738">
            <w:pPr>
              <w:spacing w:before="0" w:line="276" w:lineRule="auto"/>
              <w:ind w:left="-9"/>
              <w:jc w:val="both"/>
              <w:rPr>
                <w:sz w:val="20"/>
                <w:szCs w:val="20"/>
              </w:rPr>
            </w:pPr>
            <w:r>
              <w:rPr>
                <w:sz w:val="20"/>
                <w:szCs w:val="20"/>
              </w:rPr>
              <w:t>Workshops with contractors</w:t>
            </w:r>
          </w:p>
        </w:tc>
        <w:tc>
          <w:tcPr>
            <w:tcW w:w="2941" w:type="dxa"/>
          </w:tcPr>
          <w:p w14:paraId="3F722A2C" w14:textId="15828960" w:rsidR="007C20B0" w:rsidRPr="00533F17" w:rsidRDefault="007C20B0" w:rsidP="00D66738">
            <w:pPr>
              <w:spacing w:before="0" w:line="276" w:lineRule="auto"/>
              <w:ind w:left="-9"/>
              <w:rPr>
                <w:sz w:val="20"/>
                <w:szCs w:val="20"/>
              </w:rPr>
            </w:pPr>
            <w:r>
              <w:rPr>
                <w:sz w:val="20"/>
                <w:szCs w:val="20"/>
              </w:rPr>
              <w:t>N</w:t>
            </w:r>
            <w:r w:rsidR="005D2366">
              <w:rPr>
                <w:sz w:val="20"/>
                <w:szCs w:val="20"/>
              </w:rPr>
              <w:t xml:space="preserve">ational </w:t>
            </w:r>
            <w:r>
              <w:rPr>
                <w:sz w:val="20"/>
                <w:szCs w:val="20"/>
              </w:rPr>
              <w:t>D</w:t>
            </w:r>
            <w:r w:rsidR="005D2366">
              <w:rPr>
                <w:sz w:val="20"/>
                <w:szCs w:val="20"/>
              </w:rPr>
              <w:t xml:space="preserve">epartment of </w:t>
            </w:r>
            <w:r>
              <w:rPr>
                <w:sz w:val="20"/>
                <w:szCs w:val="20"/>
              </w:rPr>
              <w:t>P</w:t>
            </w:r>
            <w:r w:rsidR="005D2366">
              <w:rPr>
                <w:sz w:val="20"/>
                <w:szCs w:val="20"/>
              </w:rPr>
              <w:t xml:space="preserve">ublic </w:t>
            </w:r>
            <w:r>
              <w:rPr>
                <w:sz w:val="20"/>
                <w:szCs w:val="20"/>
              </w:rPr>
              <w:t>W</w:t>
            </w:r>
            <w:r w:rsidR="005D2366">
              <w:rPr>
                <w:sz w:val="20"/>
                <w:szCs w:val="20"/>
              </w:rPr>
              <w:t>orks</w:t>
            </w:r>
            <w:r>
              <w:rPr>
                <w:sz w:val="20"/>
                <w:szCs w:val="20"/>
              </w:rPr>
              <w:t xml:space="preserve"> Incubator Programme</w:t>
            </w:r>
          </w:p>
        </w:tc>
        <w:tc>
          <w:tcPr>
            <w:tcW w:w="2268" w:type="dxa"/>
          </w:tcPr>
          <w:p w14:paraId="154FFD5C" w14:textId="77777777" w:rsidR="005D2366" w:rsidRDefault="005D2366" w:rsidP="00D66738">
            <w:pPr>
              <w:spacing w:before="0" w:line="276" w:lineRule="auto"/>
              <w:ind w:left="-9"/>
              <w:jc w:val="both"/>
              <w:rPr>
                <w:sz w:val="20"/>
                <w:szCs w:val="20"/>
              </w:rPr>
            </w:pPr>
            <w:r>
              <w:rPr>
                <w:sz w:val="20"/>
                <w:szCs w:val="20"/>
              </w:rPr>
              <w:t xml:space="preserve">8 December 2016 and </w:t>
            </w:r>
          </w:p>
          <w:p w14:paraId="19C8A31E" w14:textId="40E466FE" w:rsidR="007C20B0" w:rsidRPr="00533F17" w:rsidRDefault="005D2366" w:rsidP="00D66738">
            <w:pPr>
              <w:spacing w:before="0" w:line="276" w:lineRule="auto"/>
              <w:ind w:left="-9"/>
              <w:jc w:val="both"/>
              <w:rPr>
                <w:sz w:val="20"/>
                <w:szCs w:val="20"/>
              </w:rPr>
            </w:pPr>
            <w:r>
              <w:rPr>
                <w:sz w:val="20"/>
                <w:szCs w:val="20"/>
              </w:rPr>
              <w:t>12 December 2016</w:t>
            </w:r>
          </w:p>
        </w:tc>
      </w:tr>
      <w:tr w:rsidR="007C20B0" w:rsidRPr="00533F17" w14:paraId="0F488BB5" w14:textId="77777777" w:rsidTr="0079760E">
        <w:trPr>
          <w:trHeight w:val="552"/>
        </w:trPr>
        <w:tc>
          <w:tcPr>
            <w:tcW w:w="2062" w:type="dxa"/>
            <w:vMerge/>
          </w:tcPr>
          <w:p w14:paraId="618BB680" w14:textId="77777777" w:rsidR="007C20B0" w:rsidRPr="00533F17" w:rsidRDefault="007C20B0" w:rsidP="00D66738">
            <w:pPr>
              <w:spacing w:before="0" w:after="160"/>
              <w:jc w:val="both"/>
              <w:rPr>
                <w:rFonts w:ascii="Calibri" w:eastAsia="Calibri" w:hAnsi="Calibri" w:cs="Times New Roman"/>
                <w:b/>
                <w:bCs/>
                <w:szCs w:val="24"/>
              </w:rPr>
            </w:pPr>
          </w:p>
        </w:tc>
        <w:tc>
          <w:tcPr>
            <w:tcW w:w="1938" w:type="dxa"/>
          </w:tcPr>
          <w:p w14:paraId="47E54702" w14:textId="1B7D44FF" w:rsidR="007C20B0" w:rsidRPr="00533F17" w:rsidRDefault="005D2366" w:rsidP="00D66738">
            <w:pPr>
              <w:spacing w:before="0" w:line="276" w:lineRule="auto"/>
              <w:rPr>
                <w:sz w:val="20"/>
                <w:szCs w:val="20"/>
              </w:rPr>
            </w:pPr>
            <w:r>
              <w:rPr>
                <w:sz w:val="20"/>
                <w:szCs w:val="20"/>
              </w:rPr>
              <w:t>Workshops with contractors</w:t>
            </w:r>
          </w:p>
        </w:tc>
        <w:tc>
          <w:tcPr>
            <w:tcW w:w="2941" w:type="dxa"/>
          </w:tcPr>
          <w:p w14:paraId="41E1F0E4" w14:textId="5F9EE438" w:rsidR="007C20B0" w:rsidRPr="00533F17" w:rsidRDefault="005D2366" w:rsidP="00D66738">
            <w:pPr>
              <w:spacing w:before="0" w:line="276" w:lineRule="auto"/>
              <w:ind w:left="-9"/>
              <w:rPr>
                <w:sz w:val="20"/>
                <w:szCs w:val="20"/>
              </w:rPr>
            </w:pPr>
            <w:r>
              <w:rPr>
                <w:sz w:val="20"/>
                <w:szCs w:val="20"/>
              </w:rPr>
              <w:t xml:space="preserve">Department of </w:t>
            </w:r>
            <w:r w:rsidR="007C20B0" w:rsidRPr="00533F17">
              <w:rPr>
                <w:sz w:val="20"/>
                <w:szCs w:val="20"/>
              </w:rPr>
              <w:t>P</w:t>
            </w:r>
            <w:r>
              <w:rPr>
                <w:sz w:val="20"/>
                <w:szCs w:val="20"/>
              </w:rPr>
              <w:t xml:space="preserve">ublic </w:t>
            </w:r>
            <w:r w:rsidR="007C20B0" w:rsidRPr="00533F17">
              <w:rPr>
                <w:sz w:val="20"/>
                <w:szCs w:val="20"/>
              </w:rPr>
              <w:t>W</w:t>
            </w:r>
            <w:r>
              <w:rPr>
                <w:sz w:val="20"/>
                <w:szCs w:val="20"/>
              </w:rPr>
              <w:t>orks</w:t>
            </w:r>
            <w:r w:rsidR="007C20B0" w:rsidRPr="00533F17">
              <w:rPr>
                <w:sz w:val="20"/>
                <w:szCs w:val="20"/>
              </w:rPr>
              <w:t>/</w:t>
            </w:r>
            <w:proofErr w:type="spellStart"/>
            <w:r w:rsidR="007C20B0" w:rsidRPr="00533F17">
              <w:rPr>
                <w:sz w:val="20"/>
                <w:szCs w:val="20"/>
              </w:rPr>
              <w:t>Vuk’Uphile</w:t>
            </w:r>
            <w:proofErr w:type="spellEnd"/>
            <w:r w:rsidR="007C20B0" w:rsidRPr="00533F17">
              <w:rPr>
                <w:sz w:val="20"/>
                <w:szCs w:val="20"/>
              </w:rPr>
              <w:t xml:space="preserve"> Learnership Programme</w:t>
            </w:r>
          </w:p>
        </w:tc>
        <w:tc>
          <w:tcPr>
            <w:tcW w:w="2268" w:type="dxa"/>
          </w:tcPr>
          <w:p w14:paraId="6F283500" w14:textId="77777777" w:rsidR="005D2366" w:rsidRDefault="005D2366" w:rsidP="00D66738">
            <w:pPr>
              <w:spacing w:before="0" w:line="276" w:lineRule="auto"/>
              <w:ind w:left="-9"/>
              <w:jc w:val="both"/>
              <w:rPr>
                <w:sz w:val="20"/>
                <w:szCs w:val="20"/>
              </w:rPr>
            </w:pPr>
            <w:r>
              <w:rPr>
                <w:sz w:val="20"/>
                <w:szCs w:val="20"/>
              </w:rPr>
              <w:t xml:space="preserve">21 February 2017 and </w:t>
            </w:r>
          </w:p>
          <w:p w14:paraId="13E33A84" w14:textId="5430CCA8" w:rsidR="007C20B0" w:rsidRPr="00533F17" w:rsidRDefault="005D2366" w:rsidP="00D66738">
            <w:pPr>
              <w:spacing w:before="0" w:line="276" w:lineRule="auto"/>
              <w:ind w:left="-9"/>
              <w:jc w:val="both"/>
              <w:rPr>
                <w:sz w:val="20"/>
                <w:szCs w:val="20"/>
              </w:rPr>
            </w:pPr>
            <w:r>
              <w:rPr>
                <w:sz w:val="20"/>
                <w:szCs w:val="20"/>
              </w:rPr>
              <w:t>22 February 2017</w:t>
            </w:r>
          </w:p>
        </w:tc>
      </w:tr>
      <w:tr w:rsidR="007C20B0" w:rsidRPr="00533F17" w14:paraId="6712F988" w14:textId="77777777" w:rsidTr="0079760E">
        <w:trPr>
          <w:trHeight w:val="70"/>
        </w:trPr>
        <w:tc>
          <w:tcPr>
            <w:tcW w:w="2062" w:type="dxa"/>
            <w:vMerge/>
          </w:tcPr>
          <w:p w14:paraId="5FB03477" w14:textId="77777777" w:rsidR="007C20B0" w:rsidRPr="00533F17" w:rsidRDefault="007C20B0" w:rsidP="00D66738">
            <w:pPr>
              <w:spacing w:before="0" w:after="160"/>
              <w:jc w:val="both"/>
              <w:rPr>
                <w:rFonts w:ascii="Calibri" w:eastAsia="Calibri" w:hAnsi="Calibri" w:cs="Times New Roman"/>
                <w:b/>
                <w:bCs/>
                <w:szCs w:val="24"/>
              </w:rPr>
            </w:pPr>
          </w:p>
        </w:tc>
        <w:tc>
          <w:tcPr>
            <w:tcW w:w="1938" w:type="dxa"/>
          </w:tcPr>
          <w:p w14:paraId="05D9928D" w14:textId="31364589" w:rsidR="007C20B0" w:rsidRPr="00533F17" w:rsidRDefault="005D2366" w:rsidP="00D66738">
            <w:pPr>
              <w:spacing w:before="0" w:line="276" w:lineRule="auto"/>
              <w:ind w:left="-9"/>
              <w:rPr>
                <w:sz w:val="20"/>
                <w:szCs w:val="20"/>
              </w:rPr>
            </w:pPr>
            <w:proofErr w:type="spellStart"/>
            <w:r w:rsidRPr="005D2366">
              <w:rPr>
                <w:sz w:val="20"/>
                <w:szCs w:val="20"/>
              </w:rPr>
              <w:t>Senzo</w:t>
            </w:r>
            <w:proofErr w:type="spellEnd"/>
            <w:r w:rsidRPr="005D2366">
              <w:rPr>
                <w:sz w:val="20"/>
                <w:szCs w:val="20"/>
              </w:rPr>
              <w:t xml:space="preserve"> </w:t>
            </w:r>
            <w:proofErr w:type="spellStart"/>
            <w:r w:rsidRPr="005D2366">
              <w:rPr>
                <w:sz w:val="20"/>
                <w:szCs w:val="20"/>
              </w:rPr>
              <w:t>Xulu</w:t>
            </w:r>
            <w:proofErr w:type="spellEnd"/>
          </w:p>
        </w:tc>
        <w:tc>
          <w:tcPr>
            <w:tcW w:w="2941" w:type="dxa"/>
          </w:tcPr>
          <w:p w14:paraId="06D7CC1F" w14:textId="0664212F" w:rsidR="007C20B0" w:rsidRPr="00533F17" w:rsidRDefault="00520601" w:rsidP="00D66738">
            <w:pPr>
              <w:spacing w:before="0" w:line="276" w:lineRule="auto"/>
              <w:ind w:left="-9"/>
              <w:rPr>
                <w:sz w:val="20"/>
                <w:szCs w:val="20"/>
              </w:rPr>
            </w:pPr>
            <w:proofErr w:type="spellStart"/>
            <w:r>
              <w:rPr>
                <w:sz w:val="20"/>
                <w:szCs w:val="20"/>
              </w:rPr>
              <w:t>seda</w:t>
            </w:r>
            <w:proofErr w:type="spellEnd"/>
            <w:r w:rsidR="007C20B0" w:rsidRPr="00533F17">
              <w:rPr>
                <w:sz w:val="20"/>
                <w:szCs w:val="20"/>
              </w:rPr>
              <w:t xml:space="preserve"> Construction Incubator</w:t>
            </w:r>
          </w:p>
        </w:tc>
        <w:tc>
          <w:tcPr>
            <w:tcW w:w="2268" w:type="dxa"/>
          </w:tcPr>
          <w:p w14:paraId="1FBE6AC6" w14:textId="5EEA100B" w:rsidR="007C20B0" w:rsidRPr="00533F17" w:rsidRDefault="005D2366" w:rsidP="00D66738">
            <w:pPr>
              <w:spacing w:before="0" w:line="276" w:lineRule="auto"/>
              <w:ind w:left="-9"/>
              <w:jc w:val="both"/>
              <w:rPr>
                <w:sz w:val="20"/>
                <w:szCs w:val="20"/>
              </w:rPr>
            </w:pPr>
            <w:r>
              <w:rPr>
                <w:sz w:val="20"/>
                <w:szCs w:val="20"/>
              </w:rPr>
              <w:t>20 February 2017</w:t>
            </w:r>
          </w:p>
        </w:tc>
      </w:tr>
      <w:tr w:rsidR="007C20B0" w:rsidRPr="00533F17" w14:paraId="477864E5" w14:textId="77777777" w:rsidTr="0079760E">
        <w:trPr>
          <w:trHeight w:val="290"/>
        </w:trPr>
        <w:tc>
          <w:tcPr>
            <w:tcW w:w="2062" w:type="dxa"/>
            <w:vMerge/>
          </w:tcPr>
          <w:p w14:paraId="77E0D9D0" w14:textId="77777777" w:rsidR="007C20B0" w:rsidRPr="00533F17" w:rsidRDefault="007C20B0" w:rsidP="00D66738">
            <w:pPr>
              <w:spacing w:before="0" w:after="160"/>
              <w:jc w:val="both"/>
              <w:rPr>
                <w:rFonts w:ascii="Calibri" w:eastAsia="Calibri" w:hAnsi="Calibri" w:cs="Times New Roman"/>
                <w:b/>
                <w:bCs/>
                <w:szCs w:val="24"/>
              </w:rPr>
            </w:pPr>
          </w:p>
        </w:tc>
        <w:tc>
          <w:tcPr>
            <w:tcW w:w="1938" w:type="dxa"/>
          </w:tcPr>
          <w:p w14:paraId="08110AF5" w14:textId="353863D6" w:rsidR="007C20B0" w:rsidRPr="00533F17" w:rsidRDefault="005D2366" w:rsidP="00D66738">
            <w:pPr>
              <w:spacing w:before="0" w:line="276" w:lineRule="auto"/>
              <w:ind w:left="-9"/>
              <w:rPr>
                <w:sz w:val="20"/>
                <w:szCs w:val="20"/>
              </w:rPr>
            </w:pPr>
            <w:r w:rsidRPr="005D2366">
              <w:rPr>
                <w:sz w:val="20"/>
                <w:szCs w:val="20"/>
              </w:rPr>
              <w:t xml:space="preserve">Ms. Nthabiseng </w:t>
            </w:r>
            <w:proofErr w:type="spellStart"/>
            <w:r w:rsidRPr="005D2366">
              <w:rPr>
                <w:sz w:val="20"/>
                <w:szCs w:val="20"/>
              </w:rPr>
              <w:t>Mehale</w:t>
            </w:r>
            <w:proofErr w:type="spellEnd"/>
          </w:p>
        </w:tc>
        <w:tc>
          <w:tcPr>
            <w:tcW w:w="2941" w:type="dxa"/>
          </w:tcPr>
          <w:p w14:paraId="10DE1F5D" w14:textId="5180443B" w:rsidR="007C20B0" w:rsidRPr="00533F17" w:rsidRDefault="007C20B0" w:rsidP="00D66738">
            <w:pPr>
              <w:spacing w:before="0" w:line="276" w:lineRule="auto"/>
              <w:ind w:left="-9"/>
              <w:rPr>
                <w:sz w:val="20"/>
                <w:szCs w:val="20"/>
              </w:rPr>
            </w:pPr>
            <w:r w:rsidRPr="00533F17">
              <w:rPr>
                <w:sz w:val="20"/>
                <w:szCs w:val="20"/>
              </w:rPr>
              <w:t>N</w:t>
            </w:r>
            <w:r w:rsidR="005D2366">
              <w:rPr>
                <w:sz w:val="20"/>
                <w:szCs w:val="20"/>
              </w:rPr>
              <w:t xml:space="preserve">ational </w:t>
            </w:r>
            <w:r w:rsidRPr="00533F17">
              <w:rPr>
                <w:sz w:val="20"/>
                <w:szCs w:val="20"/>
              </w:rPr>
              <w:t>H</w:t>
            </w:r>
            <w:r w:rsidR="005D2366">
              <w:rPr>
                <w:sz w:val="20"/>
                <w:szCs w:val="20"/>
              </w:rPr>
              <w:t xml:space="preserve">ome </w:t>
            </w:r>
            <w:r w:rsidRPr="00533F17">
              <w:rPr>
                <w:sz w:val="20"/>
                <w:szCs w:val="20"/>
              </w:rPr>
              <w:t>B</w:t>
            </w:r>
            <w:r w:rsidR="005D2366">
              <w:rPr>
                <w:sz w:val="20"/>
                <w:szCs w:val="20"/>
              </w:rPr>
              <w:t xml:space="preserve">uilders </w:t>
            </w:r>
            <w:r w:rsidRPr="00533F17">
              <w:rPr>
                <w:sz w:val="20"/>
                <w:szCs w:val="20"/>
              </w:rPr>
              <w:t>R</w:t>
            </w:r>
            <w:r w:rsidR="005D2366">
              <w:rPr>
                <w:sz w:val="20"/>
                <w:szCs w:val="20"/>
              </w:rPr>
              <w:t xml:space="preserve">egistration </w:t>
            </w:r>
            <w:r w:rsidRPr="00533F17">
              <w:rPr>
                <w:sz w:val="20"/>
                <w:szCs w:val="20"/>
              </w:rPr>
              <w:t>C</w:t>
            </w:r>
            <w:r w:rsidR="005D2366">
              <w:rPr>
                <w:sz w:val="20"/>
                <w:szCs w:val="20"/>
              </w:rPr>
              <w:t>ouncil (NHBRC)</w:t>
            </w:r>
          </w:p>
        </w:tc>
        <w:tc>
          <w:tcPr>
            <w:tcW w:w="2268" w:type="dxa"/>
          </w:tcPr>
          <w:p w14:paraId="3465FBC4" w14:textId="1C37BA2A" w:rsidR="007C20B0" w:rsidRPr="00533F17" w:rsidRDefault="005D2366" w:rsidP="00D66738">
            <w:pPr>
              <w:spacing w:before="0" w:line="276" w:lineRule="auto"/>
              <w:ind w:left="-9"/>
              <w:jc w:val="both"/>
              <w:rPr>
                <w:sz w:val="20"/>
                <w:szCs w:val="20"/>
              </w:rPr>
            </w:pPr>
            <w:r>
              <w:rPr>
                <w:sz w:val="20"/>
                <w:szCs w:val="20"/>
              </w:rPr>
              <w:t>20 December 2016</w:t>
            </w:r>
          </w:p>
        </w:tc>
      </w:tr>
    </w:tbl>
    <w:p w14:paraId="52496E68" w14:textId="77777777" w:rsidR="009614DC" w:rsidRDefault="009614DC" w:rsidP="00D66738">
      <w:pPr>
        <w:spacing w:before="0" w:after="200" w:line="276" w:lineRule="auto"/>
        <w:jc w:val="both"/>
        <w:rPr>
          <w:rFonts w:asciiTheme="majorHAnsi" w:eastAsiaTheme="majorEastAsia" w:hAnsiTheme="majorHAnsi" w:cstheme="majorBidi"/>
          <w:b/>
          <w:bCs/>
          <w:color w:val="365F91" w:themeColor="accent1" w:themeShade="BF"/>
          <w:sz w:val="28"/>
          <w:szCs w:val="28"/>
        </w:rPr>
      </w:pPr>
      <w:r>
        <w:br w:type="page"/>
      </w:r>
    </w:p>
    <w:p w14:paraId="2A1CA79D" w14:textId="2B9A1CA3" w:rsidR="00D5705E" w:rsidRPr="00D66738" w:rsidRDefault="00533F17" w:rsidP="00D66738">
      <w:pPr>
        <w:pStyle w:val="Heading1"/>
        <w:spacing w:after="240"/>
        <w:jc w:val="both"/>
        <w:rPr>
          <w:color w:val="1B5068"/>
        </w:rPr>
      </w:pPr>
      <w:bookmarkStart w:id="1076" w:name="_Toc479843975"/>
      <w:bookmarkStart w:id="1077" w:name="_Toc479844599"/>
      <w:bookmarkStart w:id="1078" w:name="_Toc479940941"/>
      <w:r w:rsidRPr="00D66738">
        <w:rPr>
          <w:color w:val="1B5068"/>
        </w:rPr>
        <w:lastRenderedPageBreak/>
        <w:t xml:space="preserve">Appendix </w:t>
      </w:r>
      <w:r w:rsidR="008F7E89" w:rsidRPr="00D66738">
        <w:rPr>
          <w:color w:val="1B5068"/>
        </w:rPr>
        <w:t>3</w:t>
      </w:r>
      <w:r w:rsidRPr="00D66738">
        <w:rPr>
          <w:color w:val="1B5068"/>
        </w:rPr>
        <w:t>: Calculation of the Public Interest Score</w:t>
      </w:r>
      <w:bookmarkEnd w:id="1076"/>
      <w:bookmarkEnd w:id="1077"/>
      <w:bookmarkEnd w:id="1078"/>
    </w:p>
    <w:p w14:paraId="602542DB" w14:textId="77777777" w:rsidR="00533F17" w:rsidRPr="00533F17" w:rsidRDefault="00533F17" w:rsidP="00D66738">
      <w:pPr>
        <w:numPr>
          <w:ilvl w:val="0"/>
          <w:numId w:val="61"/>
        </w:numPr>
        <w:spacing w:before="0" w:after="240" w:line="259" w:lineRule="auto"/>
        <w:jc w:val="both"/>
        <w:rPr>
          <w:b/>
          <w:bCs/>
        </w:rPr>
      </w:pPr>
      <w:r w:rsidRPr="00533F17">
        <w:t>A number of points equal to the average number of employees of the company during the financial year;</w:t>
      </w:r>
    </w:p>
    <w:p w14:paraId="1082ABEB" w14:textId="77777777" w:rsidR="00533F17" w:rsidRPr="00533F17" w:rsidRDefault="00533F17" w:rsidP="00D66738">
      <w:pPr>
        <w:numPr>
          <w:ilvl w:val="0"/>
          <w:numId w:val="61"/>
        </w:numPr>
        <w:spacing w:before="0" w:after="240" w:line="259" w:lineRule="auto"/>
        <w:jc w:val="both"/>
      </w:pPr>
      <w:r w:rsidRPr="00533F17">
        <w:t>one point for every R1 million (or portion thereof) in third party liability of the company, at the financial year end;</w:t>
      </w:r>
    </w:p>
    <w:p w14:paraId="000A207B" w14:textId="77777777" w:rsidR="00533F17" w:rsidRPr="00533F17" w:rsidRDefault="00533F17" w:rsidP="00D66738">
      <w:pPr>
        <w:numPr>
          <w:ilvl w:val="0"/>
          <w:numId w:val="61"/>
        </w:numPr>
        <w:spacing w:before="0" w:after="240" w:line="259" w:lineRule="auto"/>
        <w:jc w:val="both"/>
      </w:pPr>
      <w:r w:rsidRPr="00533F17">
        <w:t>one point for every R1 million (or portion thereof) in turnover during the financial year; and</w:t>
      </w:r>
    </w:p>
    <w:p w14:paraId="1F8CB473" w14:textId="77777777" w:rsidR="00533F17" w:rsidRPr="00533F17" w:rsidRDefault="00533F17" w:rsidP="00D66738">
      <w:pPr>
        <w:numPr>
          <w:ilvl w:val="0"/>
          <w:numId w:val="61"/>
        </w:numPr>
        <w:spacing w:before="0" w:after="240" w:line="259" w:lineRule="auto"/>
        <w:jc w:val="both"/>
      </w:pPr>
      <w:r w:rsidRPr="00533F17">
        <w:t>one point for every individual who, at the end of the financial year, is known by the company-</w:t>
      </w:r>
    </w:p>
    <w:p w14:paraId="73F3683B" w14:textId="77777777" w:rsidR="00533F17" w:rsidRPr="00533F17" w:rsidRDefault="00533F17" w:rsidP="00D66738">
      <w:pPr>
        <w:numPr>
          <w:ilvl w:val="0"/>
          <w:numId w:val="61"/>
        </w:numPr>
        <w:spacing w:before="0" w:after="240" w:line="259" w:lineRule="auto"/>
        <w:jc w:val="both"/>
      </w:pPr>
      <w:r w:rsidRPr="00533F17">
        <w:t xml:space="preserve">in the case of a profit company, to </w:t>
      </w:r>
      <w:proofErr w:type="gramStart"/>
      <w:r w:rsidRPr="00533F17">
        <w:t>directly or indirectly have a beneficial interest</w:t>
      </w:r>
      <w:proofErr w:type="gramEnd"/>
      <w:r w:rsidRPr="00533F17">
        <w:t xml:space="preserve"> in any of the company's issued securities; or</w:t>
      </w:r>
    </w:p>
    <w:p w14:paraId="5BF29FB6" w14:textId="63153610" w:rsidR="00533F17" w:rsidRDefault="00533F17" w:rsidP="00D66738">
      <w:pPr>
        <w:numPr>
          <w:ilvl w:val="0"/>
          <w:numId w:val="61"/>
        </w:numPr>
        <w:spacing w:before="0" w:after="240" w:line="259" w:lineRule="auto"/>
        <w:jc w:val="both"/>
      </w:pPr>
      <w:r w:rsidRPr="00533F17">
        <w:t>in the case of a non-profit company, to be a member of the company, or a member of an association that is a member of the company.</w:t>
      </w:r>
    </w:p>
    <w:p w14:paraId="4DF26D8C" w14:textId="77777777" w:rsidR="00873169" w:rsidRDefault="00873169" w:rsidP="00D66738">
      <w:pPr>
        <w:spacing w:before="0" w:after="200" w:line="276" w:lineRule="auto"/>
        <w:jc w:val="both"/>
        <w:rPr>
          <w:rFonts w:asciiTheme="majorHAnsi" w:eastAsiaTheme="majorEastAsia" w:hAnsiTheme="majorHAnsi" w:cstheme="majorBidi"/>
          <w:b/>
          <w:bCs/>
          <w:color w:val="365F91" w:themeColor="accent1" w:themeShade="BF"/>
          <w:sz w:val="28"/>
          <w:szCs w:val="28"/>
        </w:rPr>
      </w:pPr>
      <w:bookmarkStart w:id="1079" w:name="_Toc468902827"/>
      <w:r>
        <w:br w:type="page"/>
      </w:r>
    </w:p>
    <w:p w14:paraId="50084738" w14:textId="3A1B8CB9" w:rsidR="005202FC" w:rsidRPr="00D66738" w:rsidRDefault="005202FC" w:rsidP="00D66738">
      <w:pPr>
        <w:pStyle w:val="Heading1"/>
        <w:spacing w:after="240"/>
        <w:jc w:val="both"/>
        <w:rPr>
          <w:color w:val="1B5068"/>
        </w:rPr>
      </w:pPr>
      <w:bookmarkStart w:id="1080" w:name="_Toc479843976"/>
      <w:bookmarkStart w:id="1081" w:name="_Toc479844600"/>
      <w:bookmarkStart w:id="1082" w:name="_Toc479940942"/>
      <w:r w:rsidRPr="00D66738">
        <w:rPr>
          <w:color w:val="1B5068"/>
        </w:rPr>
        <w:lastRenderedPageBreak/>
        <w:t>Appendix 4: Schedule of the small business definition</w:t>
      </w:r>
      <w:bookmarkEnd w:id="1080"/>
      <w:bookmarkEnd w:id="1081"/>
      <w:bookmarkEnd w:id="1082"/>
    </w:p>
    <w:tbl>
      <w:tblPr>
        <w:tblStyle w:val="TableGrid"/>
        <w:tblW w:w="9000" w:type="dxa"/>
        <w:tblLook w:val="04A0" w:firstRow="1" w:lastRow="0" w:firstColumn="1" w:lastColumn="0" w:noHBand="0" w:noVBand="1"/>
      </w:tblPr>
      <w:tblGrid>
        <w:gridCol w:w="2345"/>
        <w:gridCol w:w="1653"/>
        <w:gridCol w:w="1672"/>
        <w:gridCol w:w="1607"/>
        <w:gridCol w:w="1723"/>
      </w:tblGrid>
      <w:tr w:rsidR="005202FC" w:rsidRPr="006F7466" w14:paraId="2C64A157" w14:textId="77777777" w:rsidTr="0065619D">
        <w:trPr>
          <w:trHeight w:val="988"/>
          <w:tblHeader/>
        </w:trPr>
        <w:tc>
          <w:tcPr>
            <w:tcW w:w="2345" w:type="dxa"/>
          </w:tcPr>
          <w:bookmarkEnd w:id="1079"/>
          <w:p w14:paraId="0474470D" w14:textId="77777777" w:rsidR="005202FC" w:rsidRPr="00453E8C" w:rsidRDefault="005202FC" w:rsidP="00D66738">
            <w:pPr>
              <w:jc w:val="both"/>
              <w:rPr>
                <w:rFonts w:cs="Arial"/>
                <w:b/>
                <w:sz w:val="20"/>
                <w:szCs w:val="20"/>
              </w:rPr>
            </w:pPr>
            <w:r w:rsidRPr="00453E8C">
              <w:rPr>
                <w:rFonts w:cs="Arial"/>
                <w:b/>
                <w:sz w:val="20"/>
                <w:szCs w:val="20"/>
              </w:rPr>
              <w:t xml:space="preserve">Sectors or sub-sectors in accordance with the Standard Industrial Classification </w:t>
            </w:r>
          </w:p>
        </w:tc>
        <w:tc>
          <w:tcPr>
            <w:tcW w:w="1653" w:type="dxa"/>
          </w:tcPr>
          <w:p w14:paraId="7BD68041" w14:textId="77777777" w:rsidR="005202FC" w:rsidRPr="00453E8C" w:rsidRDefault="005202FC" w:rsidP="00D66738">
            <w:pPr>
              <w:jc w:val="both"/>
              <w:rPr>
                <w:rFonts w:cs="Arial"/>
                <w:b/>
                <w:sz w:val="20"/>
                <w:szCs w:val="20"/>
              </w:rPr>
            </w:pPr>
            <w:r w:rsidRPr="00453E8C">
              <w:rPr>
                <w:rFonts w:cs="Arial"/>
                <w:b/>
                <w:sz w:val="20"/>
                <w:szCs w:val="20"/>
              </w:rPr>
              <w:t>Size or class of enterprise</w:t>
            </w:r>
          </w:p>
        </w:tc>
        <w:tc>
          <w:tcPr>
            <w:tcW w:w="1672" w:type="dxa"/>
          </w:tcPr>
          <w:p w14:paraId="6F034934" w14:textId="77777777" w:rsidR="005202FC" w:rsidRPr="00453E8C" w:rsidRDefault="005202FC" w:rsidP="00D66738">
            <w:pPr>
              <w:jc w:val="both"/>
              <w:rPr>
                <w:rFonts w:cs="Arial"/>
                <w:b/>
                <w:i/>
                <w:sz w:val="20"/>
                <w:szCs w:val="20"/>
              </w:rPr>
            </w:pPr>
            <w:r w:rsidRPr="00453E8C">
              <w:rPr>
                <w:rFonts w:cs="Arial"/>
                <w:b/>
                <w:sz w:val="20"/>
                <w:szCs w:val="20"/>
              </w:rPr>
              <w:t>Total full-time equivalent of paid employees</w:t>
            </w:r>
          </w:p>
        </w:tc>
        <w:tc>
          <w:tcPr>
            <w:tcW w:w="1607" w:type="dxa"/>
          </w:tcPr>
          <w:p w14:paraId="6C1C3903" w14:textId="77777777" w:rsidR="005202FC" w:rsidRPr="00453E8C" w:rsidRDefault="005202FC" w:rsidP="00D66738">
            <w:pPr>
              <w:jc w:val="both"/>
              <w:rPr>
                <w:rFonts w:cs="Arial"/>
                <w:b/>
                <w:i/>
                <w:sz w:val="20"/>
                <w:szCs w:val="20"/>
              </w:rPr>
            </w:pPr>
            <w:r w:rsidRPr="00453E8C">
              <w:rPr>
                <w:rFonts w:cs="Arial"/>
                <w:b/>
                <w:sz w:val="20"/>
                <w:szCs w:val="20"/>
              </w:rPr>
              <w:t xml:space="preserve">Total annual turnover </w:t>
            </w:r>
          </w:p>
        </w:tc>
        <w:tc>
          <w:tcPr>
            <w:tcW w:w="1723" w:type="dxa"/>
          </w:tcPr>
          <w:p w14:paraId="11C4224D" w14:textId="77777777" w:rsidR="005202FC" w:rsidRPr="00453E8C" w:rsidRDefault="005202FC" w:rsidP="00D66738">
            <w:pPr>
              <w:jc w:val="both"/>
              <w:rPr>
                <w:rFonts w:cs="Arial"/>
                <w:b/>
                <w:i/>
                <w:sz w:val="20"/>
                <w:szCs w:val="20"/>
              </w:rPr>
            </w:pPr>
            <w:r w:rsidRPr="00453E8C">
              <w:rPr>
                <w:rFonts w:cs="Arial"/>
                <w:b/>
                <w:sz w:val="20"/>
                <w:szCs w:val="20"/>
              </w:rPr>
              <w:t>Total gross asset value (fixed property excluded)</w:t>
            </w:r>
          </w:p>
        </w:tc>
      </w:tr>
      <w:tr w:rsidR="005202FC" w:rsidRPr="006F7466" w14:paraId="26380FB6" w14:textId="77777777" w:rsidTr="00453E8C">
        <w:trPr>
          <w:trHeight w:val="988"/>
        </w:trPr>
        <w:tc>
          <w:tcPr>
            <w:tcW w:w="2345" w:type="dxa"/>
          </w:tcPr>
          <w:p w14:paraId="2B8E5761" w14:textId="77777777" w:rsidR="005202FC" w:rsidRPr="006F7466" w:rsidRDefault="005202FC" w:rsidP="00D66738">
            <w:pPr>
              <w:jc w:val="both"/>
              <w:rPr>
                <w:rFonts w:cs="Arial"/>
                <w:sz w:val="20"/>
                <w:szCs w:val="20"/>
              </w:rPr>
            </w:pPr>
            <w:r w:rsidRPr="006F7466">
              <w:rPr>
                <w:rFonts w:cs="Arial"/>
                <w:sz w:val="20"/>
                <w:szCs w:val="20"/>
              </w:rPr>
              <w:t>Agriculture</w:t>
            </w:r>
          </w:p>
        </w:tc>
        <w:tc>
          <w:tcPr>
            <w:tcW w:w="1653" w:type="dxa"/>
          </w:tcPr>
          <w:p w14:paraId="0EBAF6BD" w14:textId="77777777" w:rsidR="005202FC" w:rsidRPr="006F7466" w:rsidRDefault="005202FC" w:rsidP="00D66738">
            <w:pPr>
              <w:jc w:val="both"/>
              <w:rPr>
                <w:rFonts w:cs="Arial"/>
                <w:sz w:val="20"/>
                <w:szCs w:val="20"/>
              </w:rPr>
            </w:pPr>
            <w:r w:rsidRPr="006F7466">
              <w:rPr>
                <w:rFonts w:cs="Arial"/>
                <w:sz w:val="20"/>
                <w:szCs w:val="20"/>
              </w:rPr>
              <w:t>Medium</w:t>
            </w:r>
          </w:p>
          <w:p w14:paraId="3598639D" w14:textId="77777777" w:rsidR="005202FC" w:rsidRPr="006F7466" w:rsidRDefault="005202FC" w:rsidP="00D66738">
            <w:pPr>
              <w:jc w:val="both"/>
              <w:rPr>
                <w:rFonts w:cs="Arial"/>
                <w:sz w:val="20"/>
                <w:szCs w:val="20"/>
              </w:rPr>
            </w:pPr>
            <w:r w:rsidRPr="006F7466">
              <w:rPr>
                <w:rFonts w:cs="Arial"/>
                <w:sz w:val="20"/>
                <w:szCs w:val="20"/>
              </w:rPr>
              <w:t>Small</w:t>
            </w:r>
          </w:p>
          <w:p w14:paraId="3232454B" w14:textId="77777777" w:rsidR="005202FC" w:rsidRPr="006F7466" w:rsidRDefault="005202FC" w:rsidP="00D66738">
            <w:pPr>
              <w:jc w:val="both"/>
              <w:rPr>
                <w:rFonts w:cs="Arial"/>
                <w:sz w:val="20"/>
                <w:szCs w:val="20"/>
              </w:rPr>
            </w:pPr>
            <w:r w:rsidRPr="006F7466">
              <w:rPr>
                <w:rFonts w:cs="Arial"/>
                <w:sz w:val="20"/>
                <w:szCs w:val="20"/>
              </w:rPr>
              <w:t>Very Small</w:t>
            </w:r>
          </w:p>
          <w:p w14:paraId="4D991E1F"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062556DE" w14:textId="77777777" w:rsidR="005202FC" w:rsidRPr="006F7466" w:rsidRDefault="005202FC" w:rsidP="00D66738">
            <w:pPr>
              <w:jc w:val="both"/>
              <w:rPr>
                <w:rFonts w:cs="Arial"/>
                <w:sz w:val="20"/>
                <w:szCs w:val="20"/>
              </w:rPr>
            </w:pPr>
            <w:r w:rsidRPr="006F7466">
              <w:rPr>
                <w:rFonts w:cs="Arial"/>
                <w:sz w:val="20"/>
                <w:szCs w:val="20"/>
              </w:rPr>
              <w:t>100</w:t>
            </w:r>
          </w:p>
          <w:p w14:paraId="618240B0" w14:textId="77777777" w:rsidR="005202FC" w:rsidRPr="006F7466" w:rsidRDefault="005202FC" w:rsidP="00D66738">
            <w:pPr>
              <w:jc w:val="both"/>
              <w:rPr>
                <w:rFonts w:cs="Arial"/>
                <w:sz w:val="20"/>
                <w:szCs w:val="20"/>
              </w:rPr>
            </w:pPr>
            <w:r w:rsidRPr="006F7466">
              <w:rPr>
                <w:rFonts w:cs="Arial"/>
                <w:sz w:val="20"/>
                <w:szCs w:val="20"/>
              </w:rPr>
              <w:t>50</w:t>
            </w:r>
          </w:p>
          <w:p w14:paraId="5CF8890F" w14:textId="77777777" w:rsidR="005202FC" w:rsidRPr="006F7466" w:rsidRDefault="005202FC" w:rsidP="00D66738">
            <w:pPr>
              <w:jc w:val="both"/>
              <w:rPr>
                <w:rFonts w:cs="Arial"/>
                <w:sz w:val="20"/>
                <w:szCs w:val="20"/>
              </w:rPr>
            </w:pPr>
            <w:r w:rsidRPr="006F7466">
              <w:rPr>
                <w:rFonts w:cs="Arial"/>
                <w:sz w:val="20"/>
                <w:szCs w:val="20"/>
              </w:rPr>
              <w:t>10</w:t>
            </w:r>
          </w:p>
          <w:p w14:paraId="45AEFE95"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656976D0" w14:textId="77777777" w:rsidR="005202FC" w:rsidRPr="006F7466" w:rsidRDefault="005202FC" w:rsidP="00D66738">
            <w:pPr>
              <w:jc w:val="both"/>
              <w:rPr>
                <w:rFonts w:cs="Arial"/>
                <w:sz w:val="20"/>
                <w:szCs w:val="20"/>
              </w:rPr>
            </w:pPr>
            <w:r w:rsidRPr="006F7466">
              <w:rPr>
                <w:rFonts w:cs="Arial"/>
                <w:sz w:val="20"/>
                <w:szCs w:val="20"/>
              </w:rPr>
              <w:t xml:space="preserve">R 5 m </w:t>
            </w:r>
          </w:p>
          <w:p w14:paraId="19FFFDDB" w14:textId="77777777" w:rsidR="005202FC" w:rsidRPr="006F7466" w:rsidRDefault="005202FC" w:rsidP="00D66738">
            <w:pPr>
              <w:jc w:val="both"/>
              <w:rPr>
                <w:rFonts w:cs="Arial"/>
                <w:sz w:val="20"/>
                <w:szCs w:val="20"/>
              </w:rPr>
            </w:pPr>
            <w:r w:rsidRPr="006F7466">
              <w:rPr>
                <w:rFonts w:cs="Arial"/>
                <w:sz w:val="20"/>
                <w:szCs w:val="20"/>
              </w:rPr>
              <w:t xml:space="preserve">R 3 m </w:t>
            </w:r>
          </w:p>
          <w:p w14:paraId="0CBA6A71" w14:textId="77777777" w:rsidR="005202FC" w:rsidRPr="006F7466" w:rsidRDefault="005202FC" w:rsidP="00D66738">
            <w:pPr>
              <w:jc w:val="both"/>
              <w:rPr>
                <w:rFonts w:cs="Arial"/>
                <w:sz w:val="20"/>
                <w:szCs w:val="20"/>
              </w:rPr>
            </w:pPr>
            <w:r w:rsidRPr="006F7466">
              <w:rPr>
                <w:rFonts w:cs="Arial"/>
                <w:sz w:val="20"/>
                <w:szCs w:val="20"/>
              </w:rPr>
              <w:t xml:space="preserve">R 0.5 m </w:t>
            </w:r>
          </w:p>
          <w:p w14:paraId="66922726" w14:textId="77777777" w:rsidR="005202FC" w:rsidRPr="006F7466" w:rsidRDefault="005202FC" w:rsidP="00D66738">
            <w:pPr>
              <w:jc w:val="both"/>
              <w:rPr>
                <w:rFonts w:cs="Arial"/>
                <w:sz w:val="20"/>
                <w:szCs w:val="20"/>
              </w:rPr>
            </w:pPr>
            <w:r w:rsidRPr="006F7466">
              <w:rPr>
                <w:rFonts w:cs="Arial"/>
                <w:sz w:val="20"/>
                <w:szCs w:val="20"/>
              </w:rPr>
              <w:t xml:space="preserve">R 0.2 m  </w:t>
            </w:r>
          </w:p>
        </w:tc>
        <w:tc>
          <w:tcPr>
            <w:tcW w:w="1723" w:type="dxa"/>
          </w:tcPr>
          <w:p w14:paraId="0FF4BC31" w14:textId="77777777" w:rsidR="005202FC" w:rsidRPr="006F7466" w:rsidRDefault="005202FC" w:rsidP="00D66738">
            <w:pPr>
              <w:jc w:val="both"/>
              <w:rPr>
                <w:rFonts w:cs="Arial"/>
                <w:sz w:val="20"/>
                <w:szCs w:val="20"/>
              </w:rPr>
            </w:pPr>
            <w:r w:rsidRPr="006F7466">
              <w:rPr>
                <w:rFonts w:cs="Arial"/>
                <w:sz w:val="20"/>
                <w:szCs w:val="20"/>
              </w:rPr>
              <w:t xml:space="preserve">R 5 m </w:t>
            </w:r>
          </w:p>
          <w:p w14:paraId="3AE4600B" w14:textId="77777777" w:rsidR="005202FC" w:rsidRPr="006F7466" w:rsidRDefault="005202FC" w:rsidP="00D66738">
            <w:pPr>
              <w:jc w:val="both"/>
              <w:rPr>
                <w:rFonts w:cs="Arial"/>
                <w:sz w:val="20"/>
                <w:szCs w:val="20"/>
              </w:rPr>
            </w:pPr>
            <w:r w:rsidRPr="006F7466">
              <w:rPr>
                <w:rFonts w:cs="Arial"/>
                <w:sz w:val="20"/>
                <w:szCs w:val="20"/>
              </w:rPr>
              <w:t xml:space="preserve">R 3 m </w:t>
            </w:r>
          </w:p>
          <w:p w14:paraId="66456155" w14:textId="77777777" w:rsidR="005202FC" w:rsidRPr="006F7466" w:rsidRDefault="005202FC" w:rsidP="00D66738">
            <w:pPr>
              <w:jc w:val="both"/>
              <w:rPr>
                <w:rFonts w:cs="Arial"/>
                <w:sz w:val="20"/>
                <w:szCs w:val="20"/>
              </w:rPr>
            </w:pPr>
            <w:r w:rsidRPr="006F7466">
              <w:rPr>
                <w:rFonts w:cs="Arial"/>
                <w:sz w:val="20"/>
                <w:szCs w:val="20"/>
              </w:rPr>
              <w:t xml:space="preserve">R 0.5 m </w:t>
            </w:r>
          </w:p>
          <w:p w14:paraId="0EB3E3D5" w14:textId="77777777" w:rsidR="005202FC" w:rsidRPr="006F7466" w:rsidRDefault="005202FC" w:rsidP="00D66738">
            <w:pPr>
              <w:jc w:val="both"/>
              <w:rPr>
                <w:rFonts w:cs="Arial"/>
                <w:sz w:val="20"/>
                <w:szCs w:val="20"/>
              </w:rPr>
            </w:pPr>
            <w:r w:rsidRPr="006F7466">
              <w:rPr>
                <w:rFonts w:cs="Arial"/>
                <w:sz w:val="20"/>
                <w:szCs w:val="20"/>
              </w:rPr>
              <w:t xml:space="preserve">R 0.1 m  </w:t>
            </w:r>
          </w:p>
        </w:tc>
      </w:tr>
      <w:tr w:rsidR="005202FC" w:rsidRPr="006F7466" w14:paraId="1545B9E2" w14:textId="77777777" w:rsidTr="00453E8C">
        <w:trPr>
          <w:trHeight w:val="846"/>
        </w:trPr>
        <w:tc>
          <w:tcPr>
            <w:tcW w:w="2345" w:type="dxa"/>
          </w:tcPr>
          <w:p w14:paraId="4FBF8ED6" w14:textId="77777777" w:rsidR="005202FC" w:rsidRPr="006F7466" w:rsidRDefault="005202FC" w:rsidP="00D66738">
            <w:pPr>
              <w:jc w:val="both"/>
              <w:rPr>
                <w:rFonts w:cs="Arial"/>
                <w:sz w:val="20"/>
                <w:szCs w:val="20"/>
              </w:rPr>
            </w:pPr>
            <w:r w:rsidRPr="006F7466">
              <w:rPr>
                <w:rFonts w:cs="Arial"/>
                <w:sz w:val="20"/>
                <w:szCs w:val="20"/>
              </w:rPr>
              <w:t>Mining and Quarrying</w:t>
            </w:r>
          </w:p>
        </w:tc>
        <w:tc>
          <w:tcPr>
            <w:tcW w:w="1653" w:type="dxa"/>
          </w:tcPr>
          <w:p w14:paraId="02D779CB" w14:textId="77777777" w:rsidR="005202FC" w:rsidRPr="006F7466" w:rsidRDefault="005202FC" w:rsidP="00D66738">
            <w:pPr>
              <w:jc w:val="both"/>
              <w:rPr>
                <w:rFonts w:cs="Arial"/>
                <w:sz w:val="20"/>
                <w:szCs w:val="20"/>
              </w:rPr>
            </w:pPr>
            <w:r w:rsidRPr="006F7466">
              <w:rPr>
                <w:rFonts w:cs="Arial"/>
                <w:sz w:val="20"/>
                <w:szCs w:val="20"/>
              </w:rPr>
              <w:t>Medium</w:t>
            </w:r>
          </w:p>
          <w:p w14:paraId="1F681041" w14:textId="77777777" w:rsidR="005202FC" w:rsidRPr="006F7466" w:rsidRDefault="005202FC" w:rsidP="00D66738">
            <w:pPr>
              <w:jc w:val="both"/>
              <w:rPr>
                <w:rFonts w:cs="Arial"/>
                <w:sz w:val="20"/>
                <w:szCs w:val="20"/>
              </w:rPr>
            </w:pPr>
            <w:r w:rsidRPr="006F7466">
              <w:rPr>
                <w:rFonts w:cs="Arial"/>
                <w:sz w:val="20"/>
                <w:szCs w:val="20"/>
              </w:rPr>
              <w:t>Small</w:t>
            </w:r>
          </w:p>
          <w:p w14:paraId="7644473C" w14:textId="77777777" w:rsidR="005202FC" w:rsidRPr="006F7466" w:rsidRDefault="005202FC" w:rsidP="00D66738">
            <w:pPr>
              <w:jc w:val="both"/>
              <w:rPr>
                <w:rFonts w:cs="Arial"/>
                <w:sz w:val="20"/>
                <w:szCs w:val="20"/>
              </w:rPr>
            </w:pPr>
            <w:r w:rsidRPr="006F7466">
              <w:rPr>
                <w:rFonts w:cs="Arial"/>
                <w:sz w:val="20"/>
                <w:szCs w:val="20"/>
              </w:rPr>
              <w:t>Very Small</w:t>
            </w:r>
          </w:p>
          <w:p w14:paraId="346DAD6D"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6EA30656" w14:textId="77777777" w:rsidR="005202FC" w:rsidRPr="006F7466" w:rsidRDefault="005202FC" w:rsidP="00D66738">
            <w:pPr>
              <w:jc w:val="both"/>
              <w:rPr>
                <w:rFonts w:cs="Arial"/>
                <w:sz w:val="20"/>
                <w:szCs w:val="20"/>
              </w:rPr>
            </w:pPr>
            <w:r w:rsidRPr="006F7466">
              <w:rPr>
                <w:rFonts w:cs="Arial"/>
                <w:sz w:val="20"/>
                <w:szCs w:val="20"/>
              </w:rPr>
              <w:t>200</w:t>
            </w:r>
          </w:p>
          <w:p w14:paraId="7F3705FA" w14:textId="77777777" w:rsidR="005202FC" w:rsidRPr="006F7466" w:rsidRDefault="005202FC" w:rsidP="00D66738">
            <w:pPr>
              <w:jc w:val="both"/>
              <w:rPr>
                <w:rFonts w:cs="Arial"/>
                <w:sz w:val="20"/>
                <w:szCs w:val="20"/>
              </w:rPr>
            </w:pPr>
            <w:r w:rsidRPr="006F7466">
              <w:rPr>
                <w:rFonts w:cs="Arial"/>
                <w:sz w:val="20"/>
                <w:szCs w:val="20"/>
              </w:rPr>
              <w:t>50</w:t>
            </w:r>
          </w:p>
          <w:p w14:paraId="7CED4805" w14:textId="77777777" w:rsidR="005202FC" w:rsidRPr="006F7466" w:rsidRDefault="005202FC" w:rsidP="00D66738">
            <w:pPr>
              <w:jc w:val="both"/>
              <w:rPr>
                <w:rFonts w:cs="Arial"/>
                <w:sz w:val="20"/>
                <w:szCs w:val="20"/>
              </w:rPr>
            </w:pPr>
            <w:r w:rsidRPr="006F7466">
              <w:rPr>
                <w:rFonts w:cs="Arial"/>
                <w:sz w:val="20"/>
                <w:szCs w:val="20"/>
              </w:rPr>
              <w:t>20</w:t>
            </w:r>
          </w:p>
          <w:p w14:paraId="35F0DFED"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74CB6787" w14:textId="77777777" w:rsidR="005202FC" w:rsidRPr="006F7466" w:rsidRDefault="005202FC" w:rsidP="00D66738">
            <w:pPr>
              <w:jc w:val="both"/>
              <w:rPr>
                <w:rFonts w:cs="Arial"/>
                <w:sz w:val="20"/>
                <w:szCs w:val="20"/>
              </w:rPr>
            </w:pPr>
            <w:r w:rsidRPr="006F7466">
              <w:rPr>
                <w:rFonts w:cs="Arial"/>
                <w:sz w:val="20"/>
                <w:szCs w:val="20"/>
              </w:rPr>
              <w:t xml:space="preserve">R39 m </w:t>
            </w:r>
          </w:p>
          <w:p w14:paraId="3A4F9D7B" w14:textId="77777777" w:rsidR="005202FC" w:rsidRPr="006F7466" w:rsidRDefault="005202FC" w:rsidP="00D66738">
            <w:pPr>
              <w:jc w:val="both"/>
              <w:rPr>
                <w:rFonts w:cs="Arial"/>
                <w:sz w:val="20"/>
                <w:szCs w:val="20"/>
              </w:rPr>
            </w:pPr>
            <w:r w:rsidRPr="006F7466">
              <w:rPr>
                <w:rFonts w:cs="Arial"/>
                <w:sz w:val="20"/>
                <w:szCs w:val="20"/>
              </w:rPr>
              <w:t xml:space="preserve">R 10 m </w:t>
            </w:r>
          </w:p>
          <w:p w14:paraId="1B593FD8" w14:textId="77777777" w:rsidR="005202FC" w:rsidRPr="006F7466" w:rsidRDefault="005202FC" w:rsidP="00D66738">
            <w:pPr>
              <w:jc w:val="both"/>
              <w:rPr>
                <w:rFonts w:cs="Arial"/>
                <w:sz w:val="20"/>
                <w:szCs w:val="20"/>
              </w:rPr>
            </w:pPr>
            <w:r w:rsidRPr="006F7466">
              <w:rPr>
                <w:rFonts w:cs="Arial"/>
                <w:sz w:val="20"/>
                <w:szCs w:val="20"/>
              </w:rPr>
              <w:t xml:space="preserve">R 4 m </w:t>
            </w:r>
          </w:p>
          <w:p w14:paraId="49F2F1DF" w14:textId="77777777" w:rsidR="005202FC" w:rsidRPr="006F7466" w:rsidRDefault="005202FC" w:rsidP="00D66738">
            <w:pPr>
              <w:jc w:val="both"/>
              <w:rPr>
                <w:rFonts w:cs="Arial"/>
                <w:sz w:val="20"/>
                <w:szCs w:val="20"/>
              </w:rPr>
            </w:pPr>
            <w:r w:rsidRPr="006F7466">
              <w:rPr>
                <w:rFonts w:cs="Arial"/>
                <w:sz w:val="20"/>
                <w:szCs w:val="20"/>
              </w:rPr>
              <w:t>R 0.2 m</w:t>
            </w:r>
          </w:p>
        </w:tc>
        <w:tc>
          <w:tcPr>
            <w:tcW w:w="1723" w:type="dxa"/>
          </w:tcPr>
          <w:p w14:paraId="0835DEE4" w14:textId="77777777" w:rsidR="005202FC" w:rsidRPr="006F7466" w:rsidRDefault="005202FC" w:rsidP="00D66738">
            <w:pPr>
              <w:jc w:val="both"/>
              <w:rPr>
                <w:rFonts w:cs="Arial"/>
                <w:sz w:val="20"/>
                <w:szCs w:val="20"/>
              </w:rPr>
            </w:pPr>
            <w:r w:rsidRPr="006F7466">
              <w:rPr>
                <w:rFonts w:cs="Arial"/>
                <w:sz w:val="20"/>
                <w:szCs w:val="20"/>
              </w:rPr>
              <w:t>R23 m</w:t>
            </w:r>
          </w:p>
          <w:p w14:paraId="15B4935E" w14:textId="77777777" w:rsidR="005202FC" w:rsidRPr="006F7466" w:rsidRDefault="005202FC" w:rsidP="00D66738">
            <w:pPr>
              <w:jc w:val="both"/>
              <w:rPr>
                <w:rFonts w:cs="Arial"/>
                <w:sz w:val="20"/>
                <w:szCs w:val="20"/>
              </w:rPr>
            </w:pPr>
            <w:r w:rsidRPr="006F7466">
              <w:rPr>
                <w:rFonts w:cs="Arial"/>
                <w:sz w:val="20"/>
                <w:szCs w:val="20"/>
              </w:rPr>
              <w:t>R 6 m</w:t>
            </w:r>
          </w:p>
          <w:p w14:paraId="4B863C03" w14:textId="77777777" w:rsidR="005202FC" w:rsidRPr="006F7466" w:rsidRDefault="005202FC" w:rsidP="00D66738">
            <w:pPr>
              <w:jc w:val="both"/>
              <w:rPr>
                <w:rFonts w:cs="Arial"/>
                <w:sz w:val="20"/>
                <w:szCs w:val="20"/>
              </w:rPr>
            </w:pPr>
            <w:r w:rsidRPr="006F7466">
              <w:rPr>
                <w:rFonts w:cs="Arial"/>
                <w:sz w:val="20"/>
                <w:szCs w:val="20"/>
              </w:rPr>
              <w:t>R 2 m</w:t>
            </w:r>
          </w:p>
          <w:p w14:paraId="77B92823" w14:textId="77777777" w:rsidR="005202FC" w:rsidRPr="006F7466" w:rsidRDefault="005202FC" w:rsidP="00D66738">
            <w:pPr>
              <w:jc w:val="both"/>
              <w:rPr>
                <w:rFonts w:cs="Arial"/>
                <w:sz w:val="20"/>
                <w:szCs w:val="20"/>
              </w:rPr>
            </w:pPr>
            <w:r w:rsidRPr="006F7466">
              <w:rPr>
                <w:rFonts w:cs="Arial"/>
                <w:sz w:val="20"/>
                <w:szCs w:val="20"/>
              </w:rPr>
              <w:t>R 0.1 m</w:t>
            </w:r>
          </w:p>
        </w:tc>
      </w:tr>
      <w:tr w:rsidR="005202FC" w:rsidRPr="006F7466" w14:paraId="691B4432" w14:textId="77777777" w:rsidTr="00453E8C">
        <w:trPr>
          <w:trHeight w:val="916"/>
        </w:trPr>
        <w:tc>
          <w:tcPr>
            <w:tcW w:w="2345" w:type="dxa"/>
          </w:tcPr>
          <w:p w14:paraId="2EF8CD9F" w14:textId="77777777" w:rsidR="005202FC" w:rsidRPr="006F7466" w:rsidRDefault="005202FC" w:rsidP="00D66738">
            <w:pPr>
              <w:jc w:val="both"/>
              <w:rPr>
                <w:rFonts w:cs="Arial"/>
                <w:sz w:val="20"/>
                <w:szCs w:val="20"/>
              </w:rPr>
            </w:pPr>
            <w:r w:rsidRPr="006F7466">
              <w:rPr>
                <w:rFonts w:cs="Arial"/>
                <w:sz w:val="20"/>
                <w:szCs w:val="20"/>
              </w:rPr>
              <w:t>Manufacturing</w:t>
            </w:r>
          </w:p>
        </w:tc>
        <w:tc>
          <w:tcPr>
            <w:tcW w:w="1653" w:type="dxa"/>
          </w:tcPr>
          <w:p w14:paraId="19F52149" w14:textId="77777777" w:rsidR="005202FC" w:rsidRPr="006F7466" w:rsidRDefault="005202FC" w:rsidP="00D66738">
            <w:pPr>
              <w:jc w:val="both"/>
              <w:rPr>
                <w:rFonts w:cs="Arial"/>
                <w:sz w:val="20"/>
                <w:szCs w:val="20"/>
              </w:rPr>
            </w:pPr>
            <w:r w:rsidRPr="006F7466">
              <w:rPr>
                <w:rFonts w:cs="Arial"/>
                <w:sz w:val="20"/>
                <w:szCs w:val="20"/>
              </w:rPr>
              <w:t>Medium</w:t>
            </w:r>
          </w:p>
          <w:p w14:paraId="6C0A9CCC" w14:textId="77777777" w:rsidR="005202FC" w:rsidRPr="006F7466" w:rsidRDefault="005202FC" w:rsidP="00D66738">
            <w:pPr>
              <w:jc w:val="both"/>
              <w:rPr>
                <w:rFonts w:cs="Arial"/>
                <w:sz w:val="20"/>
                <w:szCs w:val="20"/>
              </w:rPr>
            </w:pPr>
            <w:r w:rsidRPr="006F7466">
              <w:rPr>
                <w:rFonts w:cs="Arial"/>
                <w:sz w:val="20"/>
                <w:szCs w:val="20"/>
              </w:rPr>
              <w:t>Small</w:t>
            </w:r>
          </w:p>
          <w:p w14:paraId="6E2E2F8C" w14:textId="77777777" w:rsidR="005202FC" w:rsidRPr="006F7466" w:rsidRDefault="005202FC" w:rsidP="00D66738">
            <w:pPr>
              <w:jc w:val="both"/>
              <w:rPr>
                <w:rFonts w:cs="Arial"/>
                <w:sz w:val="20"/>
                <w:szCs w:val="20"/>
              </w:rPr>
            </w:pPr>
            <w:r w:rsidRPr="006F7466">
              <w:rPr>
                <w:rFonts w:cs="Arial"/>
                <w:sz w:val="20"/>
                <w:szCs w:val="20"/>
              </w:rPr>
              <w:t>Very Small</w:t>
            </w:r>
          </w:p>
          <w:p w14:paraId="7CE30E5C"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2DAACD0B" w14:textId="77777777" w:rsidR="005202FC" w:rsidRPr="006F7466" w:rsidRDefault="005202FC" w:rsidP="00D66738">
            <w:pPr>
              <w:jc w:val="both"/>
              <w:rPr>
                <w:rFonts w:cs="Arial"/>
                <w:sz w:val="20"/>
                <w:szCs w:val="20"/>
              </w:rPr>
            </w:pPr>
            <w:r w:rsidRPr="006F7466">
              <w:rPr>
                <w:rFonts w:cs="Arial"/>
                <w:sz w:val="20"/>
                <w:szCs w:val="20"/>
              </w:rPr>
              <w:t>200</w:t>
            </w:r>
          </w:p>
          <w:p w14:paraId="0C88EEF3" w14:textId="77777777" w:rsidR="005202FC" w:rsidRPr="006F7466" w:rsidRDefault="005202FC" w:rsidP="00D66738">
            <w:pPr>
              <w:jc w:val="both"/>
              <w:rPr>
                <w:rFonts w:cs="Arial"/>
                <w:sz w:val="20"/>
                <w:szCs w:val="20"/>
              </w:rPr>
            </w:pPr>
            <w:r w:rsidRPr="006F7466">
              <w:rPr>
                <w:rFonts w:cs="Arial"/>
                <w:sz w:val="20"/>
                <w:szCs w:val="20"/>
              </w:rPr>
              <w:t>50</w:t>
            </w:r>
          </w:p>
          <w:p w14:paraId="7C438C7B" w14:textId="77777777" w:rsidR="005202FC" w:rsidRPr="006F7466" w:rsidRDefault="005202FC" w:rsidP="00D66738">
            <w:pPr>
              <w:jc w:val="both"/>
              <w:rPr>
                <w:rFonts w:cs="Arial"/>
                <w:sz w:val="20"/>
                <w:szCs w:val="20"/>
              </w:rPr>
            </w:pPr>
            <w:r w:rsidRPr="006F7466">
              <w:rPr>
                <w:rFonts w:cs="Arial"/>
                <w:sz w:val="20"/>
                <w:szCs w:val="20"/>
              </w:rPr>
              <w:t>20</w:t>
            </w:r>
          </w:p>
          <w:p w14:paraId="46715154"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0449ED18" w14:textId="77777777" w:rsidR="005202FC" w:rsidRPr="006F7466" w:rsidRDefault="005202FC" w:rsidP="00D66738">
            <w:pPr>
              <w:jc w:val="both"/>
              <w:rPr>
                <w:rFonts w:cs="Arial"/>
                <w:sz w:val="20"/>
                <w:szCs w:val="20"/>
              </w:rPr>
            </w:pPr>
            <w:r w:rsidRPr="006F7466">
              <w:rPr>
                <w:rFonts w:cs="Arial"/>
                <w:sz w:val="20"/>
                <w:szCs w:val="20"/>
              </w:rPr>
              <w:t xml:space="preserve">R51 m </w:t>
            </w:r>
          </w:p>
          <w:p w14:paraId="23196293" w14:textId="77777777" w:rsidR="005202FC" w:rsidRPr="006F7466" w:rsidRDefault="005202FC" w:rsidP="00D66738">
            <w:pPr>
              <w:jc w:val="both"/>
              <w:rPr>
                <w:rFonts w:cs="Arial"/>
                <w:sz w:val="20"/>
                <w:szCs w:val="20"/>
              </w:rPr>
            </w:pPr>
            <w:r w:rsidRPr="006F7466">
              <w:rPr>
                <w:rFonts w:cs="Arial"/>
                <w:sz w:val="20"/>
                <w:szCs w:val="20"/>
              </w:rPr>
              <w:t xml:space="preserve">R13 m </w:t>
            </w:r>
          </w:p>
          <w:p w14:paraId="1FE7655D" w14:textId="77777777" w:rsidR="005202FC" w:rsidRPr="006F7466" w:rsidRDefault="005202FC" w:rsidP="00D66738">
            <w:pPr>
              <w:jc w:val="both"/>
              <w:rPr>
                <w:rFonts w:cs="Arial"/>
                <w:sz w:val="20"/>
                <w:szCs w:val="20"/>
              </w:rPr>
            </w:pPr>
            <w:r w:rsidRPr="006F7466">
              <w:rPr>
                <w:rFonts w:cs="Arial"/>
                <w:sz w:val="20"/>
                <w:szCs w:val="20"/>
              </w:rPr>
              <w:t xml:space="preserve">R 5 m </w:t>
            </w:r>
          </w:p>
          <w:p w14:paraId="0B2870F6" w14:textId="77777777" w:rsidR="005202FC" w:rsidRPr="006F7466" w:rsidRDefault="005202FC" w:rsidP="00D66738">
            <w:pPr>
              <w:jc w:val="both"/>
              <w:rPr>
                <w:rFonts w:cs="Arial"/>
                <w:sz w:val="20"/>
                <w:szCs w:val="20"/>
              </w:rPr>
            </w:pPr>
            <w:r w:rsidRPr="006F7466">
              <w:rPr>
                <w:rFonts w:cs="Arial"/>
                <w:sz w:val="20"/>
                <w:szCs w:val="20"/>
              </w:rPr>
              <w:t>R 0.2 m</w:t>
            </w:r>
          </w:p>
        </w:tc>
        <w:tc>
          <w:tcPr>
            <w:tcW w:w="1723" w:type="dxa"/>
          </w:tcPr>
          <w:p w14:paraId="29824E7B" w14:textId="77777777" w:rsidR="005202FC" w:rsidRPr="006F7466" w:rsidRDefault="005202FC" w:rsidP="00D66738">
            <w:pPr>
              <w:jc w:val="both"/>
              <w:rPr>
                <w:rFonts w:cs="Arial"/>
                <w:sz w:val="20"/>
                <w:szCs w:val="20"/>
              </w:rPr>
            </w:pPr>
            <w:r w:rsidRPr="006F7466">
              <w:rPr>
                <w:rFonts w:cs="Arial"/>
                <w:sz w:val="20"/>
                <w:szCs w:val="20"/>
              </w:rPr>
              <w:t>R19 m</w:t>
            </w:r>
          </w:p>
          <w:p w14:paraId="0709989B" w14:textId="77777777" w:rsidR="005202FC" w:rsidRPr="006F7466" w:rsidRDefault="005202FC" w:rsidP="00D66738">
            <w:pPr>
              <w:jc w:val="both"/>
              <w:rPr>
                <w:rFonts w:cs="Arial"/>
                <w:sz w:val="20"/>
                <w:szCs w:val="20"/>
              </w:rPr>
            </w:pPr>
            <w:r w:rsidRPr="006F7466">
              <w:rPr>
                <w:rFonts w:cs="Arial"/>
                <w:sz w:val="20"/>
                <w:szCs w:val="20"/>
              </w:rPr>
              <w:t>R 5 m</w:t>
            </w:r>
          </w:p>
          <w:p w14:paraId="16303692" w14:textId="77777777" w:rsidR="005202FC" w:rsidRPr="006F7466" w:rsidRDefault="005202FC" w:rsidP="00D66738">
            <w:pPr>
              <w:jc w:val="both"/>
              <w:rPr>
                <w:rFonts w:cs="Arial"/>
                <w:sz w:val="20"/>
                <w:szCs w:val="20"/>
              </w:rPr>
            </w:pPr>
            <w:r w:rsidRPr="006F7466">
              <w:rPr>
                <w:rFonts w:cs="Arial"/>
                <w:sz w:val="20"/>
                <w:szCs w:val="20"/>
              </w:rPr>
              <w:t>R 2 m</w:t>
            </w:r>
          </w:p>
          <w:p w14:paraId="52AA44B9" w14:textId="77777777" w:rsidR="005202FC" w:rsidRPr="006F7466" w:rsidRDefault="005202FC" w:rsidP="00D66738">
            <w:pPr>
              <w:jc w:val="both"/>
              <w:rPr>
                <w:rFonts w:cs="Arial"/>
                <w:sz w:val="20"/>
                <w:szCs w:val="20"/>
              </w:rPr>
            </w:pPr>
            <w:r w:rsidRPr="006F7466">
              <w:rPr>
                <w:rFonts w:cs="Arial"/>
                <w:sz w:val="20"/>
                <w:szCs w:val="20"/>
              </w:rPr>
              <w:t>R 0.1 m</w:t>
            </w:r>
          </w:p>
        </w:tc>
      </w:tr>
      <w:tr w:rsidR="005202FC" w:rsidRPr="006F7466" w14:paraId="043E8C2F" w14:textId="77777777" w:rsidTr="00453E8C">
        <w:trPr>
          <w:trHeight w:val="972"/>
        </w:trPr>
        <w:tc>
          <w:tcPr>
            <w:tcW w:w="2345" w:type="dxa"/>
          </w:tcPr>
          <w:p w14:paraId="56142DF2" w14:textId="77777777" w:rsidR="005202FC" w:rsidRPr="006F7466" w:rsidRDefault="005202FC" w:rsidP="00D66738">
            <w:pPr>
              <w:jc w:val="both"/>
              <w:rPr>
                <w:rFonts w:cs="Arial"/>
                <w:sz w:val="20"/>
                <w:szCs w:val="20"/>
              </w:rPr>
            </w:pPr>
            <w:r w:rsidRPr="006F7466">
              <w:rPr>
                <w:rFonts w:cs="Arial"/>
                <w:sz w:val="20"/>
                <w:szCs w:val="20"/>
              </w:rPr>
              <w:t>Electricity, Gas and Water</w:t>
            </w:r>
          </w:p>
        </w:tc>
        <w:tc>
          <w:tcPr>
            <w:tcW w:w="1653" w:type="dxa"/>
          </w:tcPr>
          <w:p w14:paraId="5F337973" w14:textId="77777777" w:rsidR="005202FC" w:rsidRPr="006F7466" w:rsidRDefault="005202FC" w:rsidP="00D66738">
            <w:pPr>
              <w:jc w:val="both"/>
              <w:rPr>
                <w:rFonts w:cs="Arial"/>
                <w:sz w:val="20"/>
                <w:szCs w:val="20"/>
              </w:rPr>
            </w:pPr>
            <w:r w:rsidRPr="006F7466">
              <w:rPr>
                <w:rFonts w:cs="Arial"/>
                <w:sz w:val="20"/>
                <w:szCs w:val="20"/>
              </w:rPr>
              <w:t>Medium</w:t>
            </w:r>
          </w:p>
          <w:p w14:paraId="54C71721" w14:textId="77777777" w:rsidR="005202FC" w:rsidRPr="006F7466" w:rsidRDefault="005202FC" w:rsidP="00D66738">
            <w:pPr>
              <w:jc w:val="both"/>
              <w:rPr>
                <w:rFonts w:cs="Arial"/>
                <w:sz w:val="20"/>
                <w:szCs w:val="20"/>
              </w:rPr>
            </w:pPr>
            <w:r w:rsidRPr="006F7466">
              <w:rPr>
                <w:rFonts w:cs="Arial"/>
                <w:sz w:val="20"/>
                <w:szCs w:val="20"/>
              </w:rPr>
              <w:t>Small</w:t>
            </w:r>
          </w:p>
          <w:p w14:paraId="74CF2B78" w14:textId="77777777" w:rsidR="005202FC" w:rsidRPr="006F7466" w:rsidRDefault="005202FC" w:rsidP="00D66738">
            <w:pPr>
              <w:jc w:val="both"/>
              <w:rPr>
                <w:rFonts w:cs="Arial"/>
                <w:sz w:val="20"/>
                <w:szCs w:val="20"/>
              </w:rPr>
            </w:pPr>
            <w:r w:rsidRPr="006F7466">
              <w:rPr>
                <w:rFonts w:cs="Arial"/>
                <w:sz w:val="20"/>
                <w:szCs w:val="20"/>
              </w:rPr>
              <w:t>Very Small</w:t>
            </w:r>
          </w:p>
          <w:p w14:paraId="4AC39CAB"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4D5E328C" w14:textId="77777777" w:rsidR="005202FC" w:rsidRPr="006F7466" w:rsidRDefault="005202FC" w:rsidP="00D66738">
            <w:pPr>
              <w:jc w:val="both"/>
              <w:rPr>
                <w:rFonts w:cs="Arial"/>
                <w:sz w:val="20"/>
                <w:szCs w:val="20"/>
              </w:rPr>
            </w:pPr>
            <w:r w:rsidRPr="006F7466">
              <w:rPr>
                <w:rFonts w:cs="Arial"/>
                <w:sz w:val="20"/>
                <w:szCs w:val="20"/>
              </w:rPr>
              <w:t>200</w:t>
            </w:r>
          </w:p>
          <w:p w14:paraId="31C60A50" w14:textId="77777777" w:rsidR="005202FC" w:rsidRPr="006F7466" w:rsidRDefault="005202FC" w:rsidP="00D66738">
            <w:pPr>
              <w:jc w:val="both"/>
              <w:rPr>
                <w:rFonts w:cs="Arial"/>
                <w:sz w:val="20"/>
                <w:szCs w:val="20"/>
              </w:rPr>
            </w:pPr>
            <w:r w:rsidRPr="006F7466">
              <w:rPr>
                <w:rFonts w:cs="Arial"/>
                <w:sz w:val="20"/>
                <w:szCs w:val="20"/>
              </w:rPr>
              <w:t>50</w:t>
            </w:r>
          </w:p>
          <w:p w14:paraId="158676A8" w14:textId="77777777" w:rsidR="005202FC" w:rsidRPr="006F7466" w:rsidRDefault="005202FC" w:rsidP="00D66738">
            <w:pPr>
              <w:jc w:val="both"/>
              <w:rPr>
                <w:rFonts w:cs="Arial"/>
                <w:sz w:val="20"/>
                <w:szCs w:val="20"/>
              </w:rPr>
            </w:pPr>
            <w:r w:rsidRPr="006F7466">
              <w:rPr>
                <w:rFonts w:cs="Arial"/>
                <w:sz w:val="20"/>
                <w:szCs w:val="20"/>
              </w:rPr>
              <w:t>20</w:t>
            </w:r>
          </w:p>
          <w:p w14:paraId="6282CB78"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4EC49C86" w14:textId="77777777" w:rsidR="005202FC" w:rsidRPr="006F7466" w:rsidRDefault="005202FC" w:rsidP="00D66738">
            <w:pPr>
              <w:jc w:val="both"/>
              <w:rPr>
                <w:rFonts w:cs="Arial"/>
                <w:sz w:val="20"/>
                <w:szCs w:val="20"/>
              </w:rPr>
            </w:pPr>
            <w:r w:rsidRPr="006F7466">
              <w:rPr>
                <w:rFonts w:cs="Arial"/>
                <w:sz w:val="20"/>
                <w:szCs w:val="20"/>
              </w:rPr>
              <w:t xml:space="preserve">R51 m </w:t>
            </w:r>
          </w:p>
          <w:p w14:paraId="67B5AA07" w14:textId="77777777" w:rsidR="005202FC" w:rsidRPr="006F7466" w:rsidRDefault="005202FC" w:rsidP="00D66738">
            <w:pPr>
              <w:jc w:val="both"/>
              <w:rPr>
                <w:rFonts w:cs="Arial"/>
                <w:sz w:val="20"/>
                <w:szCs w:val="20"/>
              </w:rPr>
            </w:pPr>
            <w:r w:rsidRPr="006F7466">
              <w:rPr>
                <w:rFonts w:cs="Arial"/>
                <w:sz w:val="20"/>
                <w:szCs w:val="20"/>
              </w:rPr>
              <w:t xml:space="preserve">R13 m </w:t>
            </w:r>
          </w:p>
          <w:p w14:paraId="3F48B738" w14:textId="77777777" w:rsidR="005202FC" w:rsidRPr="006F7466" w:rsidRDefault="005202FC" w:rsidP="00D66738">
            <w:pPr>
              <w:jc w:val="both"/>
              <w:rPr>
                <w:rFonts w:cs="Arial"/>
                <w:sz w:val="20"/>
                <w:szCs w:val="20"/>
              </w:rPr>
            </w:pPr>
            <w:r w:rsidRPr="006F7466">
              <w:rPr>
                <w:rFonts w:cs="Arial"/>
                <w:sz w:val="20"/>
                <w:szCs w:val="20"/>
              </w:rPr>
              <w:t xml:space="preserve">R 5.1 m </w:t>
            </w:r>
          </w:p>
          <w:p w14:paraId="63A9AFAA" w14:textId="77777777" w:rsidR="005202FC" w:rsidRPr="006F7466" w:rsidRDefault="005202FC" w:rsidP="00D66738">
            <w:pPr>
              <w:jc w:val="both"/>
              <w:rPr>
                <w:rFonts w:cs="Arial"/>
                <w:sz w:val="20"/>
                <w:szCs w:val="20"/>
              </w:rPr>
            </w:pPr>
            <w:r w:rsidRPr="006F7466">
              <w:rPr>
                <w:rFonts w:cs="Arial"/>
                <w:sz w:val="20"/>
                <w:szCs w:val="20"/>
              </w:rPr>
              <w:t>R 0.2 m</w:t>
            </w:r>
          </w:p>
        </w:tc>
        <w:tc>
          <w:tcPr>
            <w:tcW w:w="1723" w:type="dxa"/>
          </w:tcPr>
          <w:p w14:paraId="7FC5022B" w14:textId="77777777" w:rsidR="005202FC" w:rsidRPr="006F7466" w:rsidRDefault="005202FC" w:rsidP="00D66738">
            <w:pPr>
              <w:jc w:val="both"/>
              <w:rPr>
                <w:rFonts w:cs="Arial"/>
                <w:sz w:val="20"/>
                <w:szCs w:val="20"/>
              </w:rPr>
            </w:pPr>
            <w:r w:rsidRPr="006F7466">
              <w:rPr>
                <w:rFonts w:cs="Arial"/>
                <w:sz w:val="20"/>
                <w:szCs w:val="20"/>
              </w:rPr>
              <w:t>R19 m</w:t>
            </w:r>
          </w:p>
          <w:p w14:paraId="43F11DA9" w14:textId="77777777" w:rsidR="005202FC" w:rsidRPr="006F7466" w:rsidRDefault="005202FC" w:rsidP="00D66738">
            <w:pPr>
              <w:jc w:val="both"/>
              <w:rPr>
                <w:rFonts w:cs="Arial"/>
                <w:sz w:val="20"/>
                <w:szCs w:val="20"/>
              </w:rPr>
            </w:pPr>
            <w:r w:rsidRPr="006F7466">
              <w:rPr>
                <w:rFonts w:cs="Arial"/>
                <w:sz w:val="20"/>
                <w:szCs w:val="20"/>
              </w:rPr>
              <w:t>R 5 m</w:t>
            </w:r>
          </w:p>
          <w:p w14:paraId="140BC7EB" w14:textId="77777777" w:rsidR="005202FC" w:rsidRPr="006F7466" w:rsidRDefault="005202FC" w:rsidP="00D66738">
            <w:pPr>
              <w:jc w:val="both"/>
              <w:rPr>
                <w:rFonts w:cs="Arial"/>
                <w:sz w:val="20"/>
                <w:szCs w:val="20"/>
              </w:rPr>
            </w:pPr>
            <w:r w:rsidRPr="006F7466">
              <w:rPr>
                <w:rFonts w:cs="Arial"/>
                <w:sz w:val="20"/>
                <w:szCs w:val="20"/>
              </w:rPr>
              <w:t>R 1.9 m</w:t>
            </w:r>
          </w:p>
          <w:p w14:paraId="23014EF3" w14:textId="77777777" w:rsidR="005202FC" w:rsidRPr="006F7466" w:rsidRDefault="005202FC" w:rsidP="00D66738">
            <w:pPr>
              <w:jc w:val="both"/>
              <w:rPr>
                <w:rFonts w:cs="Arial"/>
                <w:sz w:val="20"/>
                <w:szCs w:val="20"/>
              </w:rPr>
            </w:pPr>
            <w:r w:rsidRPr="006F7466">
              <w:rPr>
                <w:rFonts w:cs="Arial"/>
                <w:sz w:val="20"/>
                <w:szCs w:val="20"/>
              </w:rPr>
              <w:t>R 0.1 m</w:t>
            </w:r>
          </w:p>
        </w:tc>
      </w:tr>
      <w:tr w:rsidR="005202FC" w:rsidRPr="006F7466" w14:paraId="0AB3BA47" w14:textId="77777777" w:rsidTr="00453E8C">
        <w:trPr>
          <w:trHeight w:val="1005"/>
        </w:trPr>
        <w:tc>
          <w:tcPr>
            <w:tcW w:w="2345" w:type="dxa"/>
          </w:tcPr>
          <w:p w14:paraId="6E949A9F" w14:textId="77777777" w:rsidR="005202FC" w:rsidRPr="006F7466" w:rsidRDefault="005202FC" w:rsidP="00D66738">
            <w:pPr>
              <w:jc w:val="both"/>
              <w:rPr>
                <w:rFonts w:cs="Arial"/>
                <w:sz w:val="20"/>
                <w:szCs w:val="20"/>
              </w:rPr>
            </w:pPr>
            <w:r w:rsidRPr="006F7466">
              <w:rPr>
                <w:rFonts w:cs="Arial"/>
                <w:sz w:val="20"/>
                <w:szCs w:val="20"/>
              </w:rPr>
              <w:t>Construction</w:t>
            </w:r>
          </w:p>
        </w:tc>
        <w:tc>
          <w:tcPr>
            <w:tcW w:w="1653" w:type="dxa"/>
          </w:tcPr>
          <w:p w14:paraId="55FCC4C4" w14:textId="77777777" w:rsidR="005202FC" w:rsidRPr="006F7466" w:rsidRDefault="005202FC" w:rsidP="00D66738">
            <w:pPr>
              <w:jc w:val="both"/>
              <w:rPr>
                <w:rFonts w:cs="Arial"/>
                <w:sz w:val="20"/>
                <w:szCs w:val="20"/>
              </w:rPr>
            </w:pPr>
            <w:r w:rsidRPr="006F7466">
              <w:rPr>
                <w:rFonts w:cs="Arial"/>
                <w:sz w:val="20"/>
                <w:szCs w:val="20"/>
              </w:rPr>
              <w:t>Medium</w:t>
            </w:r>
          </w:p>
          <w:p w14:paraId="5D15688C" w14:textId="77777777" w:rsidR="005202FC" w:rsidRPr="006F7466" w:rsidRDefault="005202FC" w:rsidP="00D66738">
            <w:pPr>
              <w:jc w:val="both"/>
              <w:rPr>
                <w:rFonts w:cs="Arial"/>
                <w:sz w:val="20"/>
                <w:szCs w:val="20"/>
              </w:rPr>
            </w:pPr>
            <w:r w:rsidRPr="006F7466">
              <w:rPr>
                <w:rFonts w:cs="Arial"/>
                <w:sz w:val="20"/>
                <w:szCs w:val="20"/>
              </w:rPr>
              <w:t>Small</w:t>
            </w:r>
          </w:p>
          <w:p w14:paraId="1958986E" w14:textId="77777777" w:rsidR="005202FC" w:rsidRPr="006F7466" w:rsidRDefault="005202FC" w:rsidP="00D66738">
            <w:pPr>
              <w:jc w:val="both"/>
              <w:rPr>
                <w:rFonts w:cs="Arial"/>
                <w:sz w:val="20"/>
                <w:szCs w:val="20"/>
              </w:rPr>
            </w:pPr>
            <w:r w:rsidRPr="006F7466">
              <w:rPr>
                <w:rFonts w:cs="Arial"/>
                <w:sz w:val="20"/>
                <w:szCs w:val="20"/>
              </w:rPr>
              <w:t>Very Small</w:t>
            </w:r>
          </w:p>
          <w:p w14:paraId="76DC7811"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02F728A7" w14:textId="77777777" w:rsidR="005202FC" w:rsidRPr="006F7466" w:rsidRDefault="005202FC" w:rsidP="00D66738">
            <w:pPr>
              <w:jc w:val="both"/>
              <w:rPr>
                <w:rFonts w:cs="Arial"/>
                <w:sz w:val="20"/>
                <w:szCs w:val="20"/>
              </w:rPr>
            </w:pPr>
            <w:r w:rsidRPr="006F7466">
              <w:rPr>
                <w:rFonts w:cs="Arial"/>
                <w:sz w:val="20"/>
                <w:szCs w:val="20"/>
              </w:rPr>
              <w:t>200</w:t>
            </w:r>
          </w:p>
          <w:p w14:paraId="5EDF4789" w14:textId="77777777" w:rsidR="005202FC" w:rsidRPr="006F7466" w:rsidRDefault="005202FC" w:rsidP="00D66738">
            <w:pPr>
              <w:jc w:val="both"/>
              <w:rPr>
                <w:rFonts w:cs="Arial"/>
                <w:sz w:val="20"/>
                <w:szCs w:val="20"/>
              </w:rPr>
            </w:pPr>
            <w:r w:rsidRPr="006F7466">
              <w:rPr>
                <w:rFonts w:cs="Arial"/>
                <w:sz w:val="20"/>
                <w:szCs w:val="20"/>
              </w:rPr>
              <w:t>50</w:t>
            </w:r>
          </w:p>
          <w:p w14:paraId="36C84DCE" w14:textId="77777777" w:rsidR="005202FC" w:rsidRPr="006F7466" w:rsidRDefault="005202FC" w:rsidP="00D66738">
            <w:pPr>
              <w:jc w:val="both"/>
              <w:rPr>
                <w:rFonts w:cs="Arial"/>
                <w:sz w:val="20"/>
                <w:szCs w:val="20"/>
              </w:rPr>
            </w:pPr>
            <w:r w:rsidRPr="006F7466">
              <w:rPr>
                <w:rFonts w:cs="Arial"/>
                <w:sz w:val="20"/>
                <w:szCs w:val="20"/>
              </w:rPr>
              <w:t>20</w:t>
            </w:r>
          </w:p>
          <w:p w14:paraId="3D5DAC0E"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4D9E7538" w14:textId="77777777" w:rsidR="005202FC" w:rsidRPr="006F7466" w:rsidRDefault="005202FC" w:rsidP="00D66738">
            <w:pPr>
              <w:jc w:val="both"/>
              <w:rPr>
                <w:rFonts w:cs="Arial"/>
                <w:sz w:val="20"/>
                <w:szCs w:val="20"/>
              </w:rPr>
            </w:pPr>
            <w:r w:rsidRPr="006F7466">
              <w:rPr>
                <w:rFonts w:cs="Arial"/>
                <w:sz w:val="20"/>
                <w:szCs w:val="20"/>
              </w:rPr>
              <w:t xml:space="preserve">R26 m </w:t>
            </w:r>
          </w:p>
          <w:p w14:paraId="5303C0E8" w14:textId="77777777" w:rsidR="005202FC" w:rsidRPr="006F7466" w:rsidRDefault="005202FC" w:rsidP="00D66738">
            <w:pPr>
              <w:jc w:val="both"/>
              <w:rPr>
                <w:rFonts w:cs="Arial"/>
                <w:sz w:val="20"/>
                <w:szCs w:val="20"/>
              </w:rPr>
            </w:pPr>
            <w:r w:rsidRPr="006F7466">
              <w:rPr>
                <w:rFonts w:cs="Arial"/>
                <w:sz w:val="20"/>
                <w:szCs w:val="20"/>
              </w:rPr>
              <w:t xml:space="preserve">R 6 m </w:t>
            </w:r>
          </w:p>
          <w:p w14:paraId="520C5CC5" w14:textId="77777777" w:rsidR="005202FC" w:rsidRPr="006F7466" w:rsidRDefault="005202FC" w:rsidP="00D66738">
            <w:pPr>
              <w:jc w:val="both"/>
              <w:rPr>
                <w:rFonts w:cs="Arial"/>
                <w:sz w:val="20"/>
                <w:szCs w:val="20"/>
              </w:rPr>
            </w:pPr>
            <w:r w:rsidRPr="006F7466">
              <w:rPr>
                <w:rFonts w:cs="Arial"/>
                <w:sz w:val="20"/>
                <w:szCs w:val="20"/>
              </w:rPr>
              <w:t xml:space="preserve">R 3 m </w:t>
            </w:r>
          </w:p>
          <w:p w14:paraId="3F4FDF43" w14:textId="77777777" w:rsidR="005202FC" w:rsidRPr="006F7466" w:rsidRDefault="005202FC" w:rsidP="00D66738">
            <w:pPr>
              <w:jc w:val="both"/>
              <w:rPr>
                <w:rFonts w:cs="Arial"/>
                <w:sz w:val="20"/>
                <w:szCs w:val="20"/>
              </w:rPr>
            </w:pPr>
            <w:r w:rsidRPr="006F7466">
              <w:rPr>
                <w:rFonts w:cs="Arial"/>
                <w:sz w:val="20"/>
                <w:szCs w:val="20"/>
              </w:rPr>
              <w:t xml:space="preserve">R 0.2 m  </w:t>
            </w:r>
          </w:p>
        </w:tc>
        <w:tc>
          <w:tcPr>
            <w:tcW w:w="1723" w:type="dxa"/>
          </w:tcPr>
          <w:p w14:paraId="7634E42E" w14:textId="77777777" w:rsidR="005202FC" w:rsidRPr="006F7466" w:rsidRDefault="005202FC" w:rsidP="00D66738">
            <w:pPr>
              <w:jc w:val="both"/>
              <w:rPr>
                <w:rFonts w:cs="Arial"/>
                <w:sz w:val="20"/>
                <w:szCs w:val="20"/>
              </w:rPr>
            </w:pPr>
            <w:r w:rsidRPr="006F7466">
              <w:rPr>
                <w:rFonts w:cs="Arial"/>
                <w:sz w:val="20"/>
                <w:szCs w:val="20"/>
              </w:rPr>
              <w:t>R 5 m</w:t>
            </w:r>
          </w:p>
          <w:p w14:paraId="6622A68E" w14:textId="77777777" w:rsidR="005202FC" w:rsidRPr="006F7466" w:rsidRDefault="005202FC" w:rsidP="00D66738">
            <w:pPr>
              <w:jc w:val="both"/>
              <w:rPr>
                <w:rFonts w:cs="Arial"/>
                <w:sz w:val="20"/>
                <w:szCs w:val="20"/>
              </w:rPr>
            </w:pPr>
            <w:r w:rsidRPr="006F7466">
              <w:rPr>
                <w:rFonts w:cs="Arial"/>
                <w:sz w:val="20"/>
                <w:szCs w:val="20"/>
              </w:rPr>
              <w:t>R 1 m</w:t>
            </w:r>
          </w:p>
          <w:p w14:paraId="5A5C7A83" w14:textId="77777777" w:rsidR="005202FC" w:rsidRPr="006F7466" w:rsidRDefault="005202FC" w:rsidP="00D66738">
            <w:pPr>
              <w:jc w:val="both"/>
              <w:rPr>
                <w:rFonts w:cs="Arial"/>
                <w:sz w:val="20"/>
                <w:szCs w:val="20"/>
              </w:rPr>
            </w:pPr>
            <w:r w:rsidRPr="006F7466">
              <w:rPr>
                <w:rFonts w:cs="Arial"/>
                <w:sz w:val="20"/>
                <w:szCs w:val="20"/>
              </w:rPr>
              <w:t>R 0.5 m</w:t>
            </w:r>
          </w:p>
          <w:p w14:paraId="28D4E722" w14:textId="77777777" w:rsidR="005202FC" w:rsidRPr="006F7466" w:rsidRDefault="005202FC" w:rsidP="00D66738">
            <w:pPr>
              <w:jc w:val="both"/>
              <w:rPr>
                <w:rFonts w:cs="Arial"/>
                <w:sz w:val="20"/>
                <w:szCs w:val="20"/>
              </w:rPr>
            </w:pPr>
            <w:r w:rsidRPr="006F7466">
              <w:rPr>
                <w:rFonts w:cs="Arial"/>
                <w:sz w:val="20"/>
                <w:szCs w:val="20"/>
              </w:rPr>
              <w:t>R 0.1 m</w:t>
            </w:r>
          </w:p>
        </w:tc>
      </w:tr>
      <w:tr w:rsidR="005202FC" w:rsidRPr="006F7466" w14:paraId="3E2A2086" w14:textId="77777777" w:rsidTr="00453E8C">
        <w:trPr>
          <w:trHeight w:val="830"/>
        </w:trPr>
        <w:tc>
          <w:tcPr>
            <w:tcW w:w="2345" w:type="dxa"/>
          </w:tcPr>
          <w:p w14:paraId="2BFDEEBD" w14:textId="77777777" w:rsidR="005202FC" w:rsidRPr="006F7466" w:rsidRDefault="005202FC" w:rsidP="00D66738">
            <w:pPr>
              <w:jc w:val="both"/>
              <w:rPr>
                <w:rFonts w:cs="Arial"/>
                <w:sz w:val="20"/>
                <w:szCs w:val="20"/>
              </w:rPr>
            </w:pPr>
            <w:r w:rsidRPr="006F7466">
              <w:rPr>
                <w:rFonts w:cs="Arial"/>
                <w:sz w:val="20"/>
                <w:szCs w:val="20"/>
              </w:rPr>
              <w:t>Retail and Motor Trade and Repair Services</w:t>
            </w:r>
          </w:p>
        </w:tc>
        <w:tc>
          <w:tcPr>
            <w:tcW w:w="1653" w:type="dxa"/>
          </w:tcPr>
          <w:p w14:paraId="47BCA44C" w14:textId="77777777" w:rsidR="005202FC" w:rsidRPr="006F7466" w:rsidRDefault="005202FC" w:rsidP="00D66738">
            <w:pPr>
              <w:jc w:val="both"/>
              <w:rPr>
                <w:rFonts w:cs="Arial"/>
                <w:sz w:val="20"/>
                <w:szCs w:val="20"/>
              </w:rPr>
            </w:pPr>
            <w:r w:rsidRPr="006F7466">
              <w:rPr>
                <w:rFonts w:cs="Arial"/>
                <w:sz w:val="20"/>
                <w:szCs w:val="20"/>
              </w:rPr>
              <w:t>Medium</w:t>
            </w:r>
          </w:p>
          <w:p w14:paraId="2AF7D712" w14:textId="77777777" w:rsidR="005202FC" w:rsidRPr="006F7466" w:rsidRDefault="005202FC" w:rsidP="00D66738">
            <w:pPr>
              <w:jc w:val="both"/>
              <w:rPr>
                <w:rFonts w:cs="Arial"/>
                <w:sz w:val="20"/>
                <w:szCs w:val="20"/>
              </w:rPr>
            </w:pPr>
            <w:r w:rsidRPr="006F7466">
              <w:rPr>
                <w:rFonts w:cs="Arial"/>
                <w:sz w:val="20"/>
                <w:szCs w:val="20"/>
              </w:rPr>
              <w:t>Small</w:t>
            </w:r>
          </w:p>
          <w:p w14:paraId="010290C1" w14:textId="77777777" w:rsidR="005202FC" w:rsidRPr="006F7466" w:rsidRDefault="005202FC" w:rsidP="00D66738">
            <w:pPr>
              <w:jc w:val="both"/>
              <w:rPr>
                <w:rFonts w:cs="Arial"/>
                <w:sz w:val="20"/>
                <w:szCs w:val="20"/>
              </w:rPr>
            </w:pPr>
            <w:r w:rsidRPr="006F7466">
              <w:rPr>
                <w:rFonts w:cs="Arial"/>
                <w:sz w:val="20"/>
                <w:szCs w:val="20"/>
              </w:rPr>
              <w:t>Very Small</w:t>
            </w:r>
          </w:p>
          <w:p w14:paraId="5A77ECF7"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45CAAA0E" w14:textId="77777777" w:rsidR="005202FC" w:rsidRPr="006F7466" w:rsidRDefault="005202FC" w:rsidP="00D66738">
            <w:pPr>
              <w:jc w:val="both"/>
              <w:rPr>
                <w:rFonts w:cs="Arial"/>
                <w:sz w:val="20"/>
                <w:szCs w:val="20"/>
              </w:rPr>
            </w:pPr>
            <w:r w:rsidRPr="006F7466">
              <w:rPr>
                <w:rFonts w:cs="Arial"/>
                <w:sz w:val="20"/>
                <w:szCs w:val="20"/>
              </w:rPr>
              <w:t>200</w:t>
            </w:r>
          </w:p>
          <w:p w14:paraId="0AEAB6BA" w14:textId="77777777" w:rsidR="005202FC" w:rsidRPr="006F7466" w:rsidRDefault="005202FC" w:rsidP="00D66738">
            <w:pPr>
              <w:jc w:val="both"/>
              <w:rPr>
                <w:rFonts w:cs="Arial"/>
                <w:sz w:val="20"/>
                <w:szCs w:val="20"/>
              </w:rPr>
            </w:pPr>
            <w:r w:rsidRPr="006F7466">
              <w:rPr>
                <w:rFonts w:cs="Arial"/>
                <w:sz w:val="20"/>
                <w:szCs w:val="20"/>
              </w:rPr>
              <w:t>50</w:t>
            </w:r>
          </w:p>
          <w:p w14:paraId="6970B6AA" w14:textId="77777777" w:rsidR="005202FC" w:rsidRPr="006F7466" w:rsidRDefault="005202FC" w:rsidP="00D66738">
            <w:pPr>
              <w:jc w:val="both"/>
              <w:rPr>
                <w:rFonts w:cs="Arial"/>
                <w:sz w:val="20"/>
                <w:szCs w:val="20"/>
              </w:rPr>
            </w:pPr>
            <w:r w:rsidRPr="006F7466">
              <w:rPr>
                <w:rFonts w:cs="Arial"/>
                <w:sz w:val="20"/>
                <w:szCs w:val="20"/>
              </w:rPr>
              <w:t>20</w:t>
            </w:r>
          </w:p>
          <w:p w14:paraId="241C8155"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749A7118" w14:textId="77777777" w:rsidR="005202FC" w:rsidRPr="006F7466" w:rsidRDefault="005202FC" w:rsidP="00D66738">
            <w:pPr>
              <w:jc w:val="both"/>
              <w:rPr>
                <w:rFonts w:cs="Arial"/>
                <w:sz w:val="20"/>
                <w:szCs w:val="20"/>
              </w:rPr>
            </w:pPr>
            <w:r w:rsidRPr="006F7466">
              <w:rPr>
                <w:rFonts w:cs="Arial"/>
                <w:sz w:val="20"/>
                <w:szCs w:val="20"/>
              </w:rPr>
              <w:t xml:space="preserve">R39 m </w:t>
            </w:r>
          </w:p>
          <w:p w14:paraId="63F1900A" w14:textId="77777777" w:rsidR="005202FC" w:rsidRPr="006F7466" w:rsidRDefault="005202FC" w:rsidP="00D66738">
            <w:pPr>
              <w:jc w:val="both"/>
              <w:rPr>
                <w:rFonts w:cs="Arial"/>
                <w:sz w:val="20"/>
                <w:szCs w:val="20"/>
              </w:rPr>
            </w:pPr>
            <w:r w:rsidRPr="006F7466">
              <w:rPr>
                <w:rFonts w:cs="Arial"/>
                <w:sz w:val="20"/>
                <w:szCs w:val="20"/>
              </w:rPr>
              <w:t xml:space="preserve">R19 m </w:t>
            </w:r>
          </w:p>
          <w:p w14:paraId="452FC63F" w14:textId="77777777" w:rsidR="005202FC" w:rsidRPr="006F7466" w:rsidRDefault="005202FC" w:rsidP="00D66738">
            <w:pPr>
              <w:jc w:val="both"/>
              <w:rPr>
                <w:rFonts w:cs="Arial"/>
                <w:sz w:val="20"/>
                <w:szCs w:val="20"/>
              </w:rPr>
            </w:pPr>
            <w:r w:rsidRPr="006F7466">
              <w:rPr>
                <w:rFonts w:cs="Arial"/>
                <w:sz w:val="20"/>
                <w:szCs w:val="20"/>
              </w:rPr>
              <w:t xml:space="preserve">R 4 m </w:t>
            </w:r>
          </w:p>
          <w:p w14:paraId="54D526F7" w14:textId="77777777" w:rsidR="005202FC" w:rsidRPr="006F7466" w:rsidRDefault="005202FC" w:rsidP="00D66738">
            <w:pPr>
              <w:jc w:val="both"/>
              <w:rPr>
                <w:rFonts w:cs="Arial"/>
                <w:sz w:val="20"/>
                <w:szCs w:val="20"/>
              </w:rPr>
            </w:pPr>
            <w:r w:rsidRPr="006F7466">
              <w:rPr>
                <w:rFonts w:cs="Arial"/>
                <w:sz w:val="20"/>
                <w:szCs w:val="20"/>
              </w:rPr>
              <w:t>R 0.2 m</w:t>
            </w:r>
          </w:p>
        </w:tc>
        <w:tc>
          <w:tcPr>
            <w:tcW w:w="1723" w:type="dxa"/>
          </w:tcPr>
          <w:p w14:paraId="1044C7E5" w14:textId="77777777" w:rsidR="005202FC" w:rsidRPr="006F7466" w:rsidRDefault="005202FC" w:rsidP="00D66738">
            <w:pPr>
              <w:jc w:val="both"/>
              <w:rPr>
                <w:rFonts w:cs="Arial"/>
                <w:sz w:val="20"/>
                <w:szCs w:val="20"/>
              </w:rPr>
            </w:pPr>
            <w:r w:rsidRPr="006F7466">
              <w:rPr>
                <w:rFonts w:cs="Arial"/>
                <w:sz w:val="20"/>
                <w:szCs w:val="20"/>
              </w:rPr>
              <w:t>R 6 m</w:t>
            </w:r>
          </w:p>
          <w:p w14:paraId="39B560D4" w14:textId="77777777" w:rsidR="005202FC" w:rsidRPr="006F7466" w:rsidRDefault="005202FC" w:rsidP="00D66738">
            <w:pPr>
              <w:jc w:val="both"/>
              <w:rPr>
                <w:rFonts w:cs="Arial"/>
                <w:sz w:val="20"/>
                <w:szCs w:val="20"/>
              </w:rPr>
            </w:pPr>
            <w:r w:rsidRPr="006F7466">
              <w:rPr>
                <w:rFonts w:cs="Arial"/>
                <w:sz w:val="20"/>
                <w:szCs w:val="20"/>
              </w:rPr>
              <w:t>R 3 m</w:t>
            </w:r>
          </w:p>
          <w:p w14:paraId="7E50672D" w14:textId="77777777" w:rsidR="005202FC" w:rsidRPr="006F7466" w:rsidRDefault="005202FC" w:rsidP="00D66738">
            <w:pPr>
              <w:jc w:val="both"/>
              <w:rPr>
                <w:rFonts w:cs="Arial"/>
                <w:sz w:val="20"/>
                <w:szCs w:val="20"/>
              </w:rPr>
            </w:pPr>
            <w:r w:rsidRPr="006F7466">
              <w:rPr>
                <w:rFonts w:cs="Arial"/>
                <w:sz w:val="20"/>
                <w:szCs w:val="20"/>
              </w:rPr>
              <w:t>R 0.6 m</w:t>
            </w:r>
          </w:p>
          <w:p w14:paraId="6D931218" w14:textId="77777777" w:rsidR="005202FC" w:rsidRPr="006F7466" w:rsidRDefault="005202FC" w:rsidP="00D66738">
            <w:pPr>
              <w:jc w:val="both"/>
              <w:rPr>
                <w:rFonts w:cs="Arial"/>
                <w:sz w:val="20"/>
                <w:szCs w:val="20"/>
              </w:rPr>
            </w:pPr>
            <w:r w:rsidRPr="006F7466">
              <w:rPr>
                <w:rFonts w:cs="Arial"/>
                <w:sz w:val="20"/>
                <w:szCs w:val="20"/>
              </w:rPr>
              <w:t>R 0.1 m</w:t>
            </w:r>
          </w:p>
        </w:tc>
      </w:tr>
      <w:tr w:rsidR="005202FC" w:rsidRPr="006F7466" w14:paraId="5EF2E02D" w14:textId="77777777" w:rsidTr="00453E8C">
        <w:trPr>
          <w:trHeight w:val="885"/>
        </w:trPr>
        <w:tc>
          <w:tcPr>
            <w:tcW w:w="2345" w:type="dxa"/>
          </w:tcPr>
          <w:p w14:paraId="712E8D9E" w14:textId="77777777" w:rsidR="005202FC" w:rsidRPr="006F7466" w:rsidRDefault="005202FC" w:rsidP="00D66738">
            <w:pPr>
              <w:jc w:val="both"/>
              <w:rPr>
                <w:rFonts w:cs="Arial"/>
                <w:sz w:val="20"/>
                <w:szCs w:val="20"/>
              </w:rPr>
            </w:pPr>
            <w:r w:rsidRPr="006F7466">
              <w:rPr>
                <w:rFonts w:cs="Arial"/>
                <w:sz w:val="20"/>
                <w:szCs w:val="20"/>
              </w:rPr>
              <w:t>Wholesale trade, Commercial Agents and Allied Services</w:t>
            </w:r>
          </w:p>
        </w:tc>
        <w:tc>
          <w:tcPr>
            <w:tcW w:w="1653" w:type="dxa"/>
          </w:tcPr>
          <w:p w14:paraId="21FBD78B" w14:textId="77777777" w:rsidR="005202FC" w:rsidRPr="006F7466" w:rsidRDefault="005202FC" w:rsidP="00D66738">
            <w:pPr>
              <w:jc w:val="both"/>
              <w:rPr>
                <w:rFonts w:cs="Arial"/>
                <w:sz w:val="20"/>
                <w:szCs w:val="20"/>
              </w:rPr>
            </w:pPr>
            <w:r w:rsidRPr="006F7466">
              <w:rPr>
                <w:rFonts w:cs="Arial"/>
                <w:sz w:val="20"/>
                <w:szCs w:val="20"/>
              </w:rPr>
              <w:t>Medium</w:t>
            </w:r>
          </w:p>
          <w:p w14:paraId="5588ADC3" w14:textId="77777777" w:rsidR="005202FC" w:rsidRPr="006F7466" w:rsidRDefault="005202FC" w:rsidP="00D66738">
            <w:pPr>
              <w:jc w:val="both"/>
              <w:rPr>
                <w:rFonts w:cs="Arial"/>
                <w:sz w:val="20"/>
                <w:szCs w:val="20"/>
              </w:rPr>
            </w:pPr>
            <w:r w:rsidRPr="006F7466">
              <w:rPr>
                <w:rFonts w:cs="Arial"/>
                <w:sz w:val="20"/>
                <w:szCs w:val="20"/>
              </w:rPr>
              <w:t>Small</w:t>
            </w:r>
          </w:p>
          <w:p w14:paraId="777EE981" w14:textId="77777777" w:rsidR="005202FC" w:rsidRPr="006F7466" w:rsidRDefault="005202FC" w:rsidP="00D66738">
            <w:pPr>
              <w:jc w:val="both"/>
              <w:rPr>
                <w:rFonts w:cs="Arial"/>
                <w:sz w:val="20"/>
                <w:szCs w:val="20"/>
              </w:rPr>
            </w:pPr>
            <w:r w:rsidRPr="006F7466">
              <w:rPr>
                <w:rFonts w:cs="Arial"/>
                <w:sz w:val="20"/>
                <w:szCs w:val="20"/>
              </w:rPr>
              <w:t>Very Small</w:t>
            </w:r>
          </w:p>
          <w:p w14:paraId="5AD0E7A2"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1B530FBD" w14:textId="77777777" w:rsidR="005202FC" w:rsidRPr="006F7466" w:rsidRDefault="005202FC" w:rsidP="00D66738">
            <w:pPr>
              <w:jc w:val="both"/>
              <w:rPr>
                <w:rFonts w:cs="Arial"/>
                <w:sz w:val="20"/>
                <w:szCs w:val="20"/>
              </w:rPr>
            </w:pPr>
            <w:r w:rsidRPr="006F7466">
              <w:rPr>
                <w:rFonts w:cs="Arial"/>
                <w:sz w:val="20"/>
                <w:szCs w:val="20"/>
              </w:rPr>
              <w:t>200</w:t>
            </w:r>
          </w:p>
          <w:p w14:paraId="5C8F8FFD" w14:textId="77777777" w:rsidR="005202FC" w:rsidRPr="006F7466" w:rsidRDefault="005202FC" w:rsidP="00D66738">
            <w:pPr>
              <w:jc w:val="both"/>
              <w:rPr>
                <w:rFonts w:cs="Arial"/>
                <w:sz w:val="20"/>
                <w:szCs w:val="20"/>
              </w:rPr>
            </w:pPr>
            <w:r w:rsidRPr="006F7466">
              <w:rPr>
                <w:rFonts w:cs="Arial"/>
                <w:sz w:val="20"/>
                <w:szCs w:val="20"/>
              </w:rPr>
              <w:t>50</w:t>
            </w:r>
          </w:p>
          <w:p w14:paraId="0A93BDF2" w14:textId="77777777" w:rsidR="005202FC" w:rsidRPr="006F7466" w:rsidRDefault="005202FC" w:rsidP="00D66738">
            <w:pPr>
              <w:jc w:val="both"/>
              <w:rPr>
                <w:rFonts w:cs="Arial"/>
                <w:sz w:val="20"/>
                <w:szCs w:val="20"/>
              </w:rPr>
            </w:pPr>
            <w:r w:rsidRPr="006F7466">
              <w:rPr>
                <w:rFonts w:cs="Arial"/>
                <w:sz w:val="20"/>
                <w:szCs w:val="20"/>
              </w:rPr>
              <w:t>20</w:t>
            </w:r>
          </w:p>
          <w:p w14:paraId="60EAA901"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25627F21" w14:textId="77777777" w:rsidR="005202FC" w:rsidRPr="006F7466" w:rsidRDefault="005202FC" w:rsidP="00D66738">
            <w:pPr>
              <w:jc w:val="both"/>
              <w:rPr>
                <w:rFonts w:cs="Arial"/>
                <w:sz w:val="20"/>
                <w:szCs w:val="20"/>
              </w:rPr>
            </w:pPr>
            <w:r w:rsidRPr="006F7466">
              <w:rPr>
                <w:rFonts w:cs="Arial"/>
                <w:sz w:val="20"/>
                <w:szCs w:val="20"/>
              </w:rPr>
              <w:t>R64 m</w:t>
            </w:r>
          </w:p>
          <w:p w14:paraId="4EB3E0D1" w14:textId="77777777" w:rsidR="005202FC" w:rsidRPr="006F7466" w:rsidRDefault="005202FC" w:rsidP="00D66738">
            <w:pPr>
              <w:jc w:val="both"/>
              <w:rPr>
                <w:rFonts w:cs="Arial"/>
                <w:sz w:val="20"/>
                <w:szCs w:val="20"/>
              </w:rPr>
            </w:pPr>
            <w:r w:rsidRPr="006F7466">
              <w:rPr>
                <w:rFonts w:cs="Arial"/>
                <w:sz w:val="20"/>
                <w:szCs w:val="20"/>
              </w:rPr>
              <w:t xml:space="preserve">R32 m </w:t>
            </w:r>
          </w:p>
          <w:p w14:paraId="65C484DF" w14:textId="77777777" w:rsidR="005202FC" w:rsidRPr="006F7466" w:rsidRDefault="005202FC" w:rsidP="00D66738">
            <w:pPr>
              <w:jc w:val="both"/>
              <w:rPr>
                <w:rFonts w:cs="Arial"/>
                <w:sz w:val="20"/>
                <w:szCs w:val="20"/>
              </w:rPr>
            </w:pPr>
            <w:r w:rsidRPr="006F7466">
              <w:rPr>
                <w:rFonts w:cs="Arial"/>
                <w:sz w:val="20"/>
                <w:szCs w:val="20"/>
              </w:rPr>
              <w:t xml:space="preserve">R 6 m </w:t>
            </w:r>
          </w:p>
          <w:p w14:paraId="3F2A3BC6" w14:textId="77777777" w:rsidR="005202FC" w:rsidRPr="006F7466" w:rsidRDefault="005202FC" w:rsidP="00D66738">
            <w:pPr>
              <w:jc w:val="both"/>
              <w:rPr>
                <w:rFonts w:cs="Arial"/>
                <w:sz w:val="20"/>
                <w:szCs w:val="20"/>
              </w:rPr>
            </w:pPr>
            <w:r w:rsidRPr="006F7466">
              <w:rPr>
                <w:rFonts w:cs="Arial"/>
                <w:sz w:val="20"/>
                <w:szCs w:val="20"/>
              </w:rPr>
              <w:t>R 2m</w:t>
            </w:r>
          </w:p>
        </w:tc>
        <w:tc>
          <w:tcPr>
            <w:tcW w:w="1723" w:type="dxa"/>
          </w:tcPr>
          <w:p w14:paraId="5243EFD3" w14:textId="77777777" w:rsidR="005202FC" w:rsidRPr="006F7466" w:rsidRDefault="005202FC" w:rsidP="00D66738">
            <w:pPr>
              <w:jc w:val="both"/>
              <w:rPr>
                <w:rFonts w:cs="Arial"/>
                <w:sz w:val="20"/>
                <w:szCs w:val="20"/>
              </w:rPr>
            </w:pPr>
            <w:r w:rsidRPr="006F7466">
              <w:rPr>
                <w:rFonts w:cs="Arial"/>
                <w:sz w:val="20"/>
                <w:szCs w:val="20"/>
              </w:rPr>
              <w:t>R 10 m</w:t>
            </w:r>
          </w:p>
          <w:p w14:paraId="135443C7" w14:textId="77777777" w:rsidR="005202FC" w:rsidRPr="006F7466" w:rsidRDefault="005202FC" w:rsidP="00D66738">
            <w:pPr>
              <w:jc w:val="both"/>
              <w:rPr>
                <w:rFonts w:cs="Arial"/>
                <w:sz w:val="20"/>
                <w:szCs w:val="20"/>
              </w:rPr>
            </w:pPr>
            <w:r w:rsidRPr="006F7466">
              <w:rPr>
                <w:rFonts w:cs="Arial"/>
                <w:sz w:val="20"/>
                <w:szCs w:val="20"/>
              </w:rPr>
              <w:t>R 5 m</w:t>
            </w:r>
          </w:p>
          <w:p w14:paraId="22B8DFC5" w14:textId="77777777" w:rsidR="005202FC" w:rsidRPr="006F7466" w:rsidRDefault="005202FC" w:rsidP="00D66738">
            <w:pPr>
              <w:jc w:val="both"/>
              <w:rPr>
                <w:rFonts w:cs="Arial"/>
                <w:sz w:val="20"/>
                <w:szCs w:val="20"/>
              </w:rPr>
            </w:pPr>
            <w:r w:rsidRPr="006F7466">
              <w:rPr>
                <w:rFonts w:cs="Arial"/>
                <w:sz w:val="20"/>
                <w:szCs w:val="20"/>
              </w:rPr>
              <w:t>R 0.6 m</w:t>
            </w:r>
          </w:p>
          <w:p w14:paraId="296D3E11" w14:textId="77777777" w:rsidR="005202FC" w:rsidRPr="006F7466" w:rsidRDefault="005202FC" w:rsidP="00D66738">
            <w:pPr>
              <w:jc w:val="both"/>
              <w:rPr>
                <w:rFonts w:cs="Arial"/>
                <w:sz w:val="20"/>
                <w:szCs w:val="20"/>
              </w:rPr>
            </w:pPr>
            <w:r w:rsidRPr="006F7466">
              <w:rPr>
                <w:rFonts w:cs="Arial"/>
                <w:sz w:val="20"/>
                <w:szCs w:val="20"/>
              </w:rPr>
              <w:t>R 0.1 m</w:t>
            </w:r>
          </w:p>
        </w:tc>
      </w:tr>
      <w:tr w:rsidR="005202FC" w:rsidRPr="006F7466" w14:paraId="20E427B4" w14:textId="77777777" w:rsidTr="00453E8C">
        <w:trPr>
          <w:trHeight w:val="956"/>
        </w:trPr>
        <w:tc>
          <w:tcPr>
            <w:tcW w:w="2345" w:type="dxa"/>
          </w:tcPr>
          <w:p w14:paraId="268EFB8F" w14:textId="77777777" w:rsidR="005202FC" w:rsidRPr="006F7466" w:rsidRDefault="005202FC" w:rsidP="00D66738">
            <w:pPr>
              <w:jc w:val="both"/>
              <w:rPr>
                <w:rFonts w:cs="Arial"/>
                <w:sz w:val="20"/>
                <w:szCs w:val="20"/>
              </w:rPr>
            </w:pPr>
            <w:r w:rsidRPr="006F7466">
              <w:rPr>
                <w:rFonts w:cs="Arial"/>
                <w:sz w:val="20"/>
                <w:szCs w:val="20"/>
              </w:rPr>
              <w:t>Catering, Accommodation and other Trade</w:t>
            </w:r>
          </w:p>
        </w:tc>
        <w:tc>
          <w:tcPr>
            <w:tcW w:w="1653" w:type="dxa"/>
          </w:tcPr>
          <w:p w14:paraId="5655754A" w14:textId="77777777" w:rsidR="005202FC" w:rsidRPr="006F7466" w:rsidRDefault="005202FC" w:rsidP="00D66738">
            <w:pPr>
              <w:jc w:val="both"/>
              <w:rPr>
                <w:rFonts w:cs="Arial"/>
                <w:sz w:val="20"/>
                <w:szCs w:val="20"/>
              </w:rPr>
            </w:pPr>
            <w:r w:rsidRPr="006F7466">
              <w:rPr>
                <w:rFonts w:cs="Arial"/>
                <w:sz w:val="20"/>
                <w:szCs w:val="20"/>
              </w:rPr>
              <w:t>Medium</w:t>
            </w:r>
          </w:p>
          <w:p w14:paraId="278177A5" w14:textId="77777777" w:rsidR="005202FC" w:rsidRPr="006F7466" w:rsidRDefault="005202FC" w:rsidP="00D66738">
            <w:pPr>
              <w:jc w:val="both"/>
              <w:rPr>
                <w:rFonts w:cs="Arial"/>
                <w:sz w:val="20"/>
                <w:szCs w:val="20"/>
              </w:rPr>
            </w:pPr>
            <w:r w:rsidRPr="006F7466">
              <w:rPr>
                <w:rFonts w:cs="Arial"/>
                <w:sz w:val="20"/>
                <w:szCs w:val="20"/>
              </w:rPr>
              <w:t>Small</w:t>
            </w:r>
          </w:p>
          <w:p w14:paraId="2CD7ADAA" w14:textId="77777777" w:rsidR="005202FC" w:rsidRPr="006F7466" w:rsidRDefault="005202FC" w:rsidP="00D66738">
            <w:pPr>
              <w:jc w:val="both"/>
              <w:rPr>
                <w:rFonts w:cs="Arial"/>
                <w:sz w:val="20"/>
                <w:szCs w:val="20"/>
              </w:rPr>
            </w:pPr>
            <w:r w:rsidRPr="006F7466">
              <w:rPr>
                <w:rFonts w:cs="Arial"/>
                <w:sz w:val="20"/>
                <w:szCs w:val="20"/>
              </w:rPr>
              <w:t>Very Small</w:t>
            </w:r>
          </w:p>
          <w:p w14:paraId="692E197D"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2894BC3C" w14:textId="77777777" w:rsidR="005202FC" w:rsidRPr="006F7466" w:rsidRDefault="005202FC" w:rsidP="00D66738">
            <w:pPr>
              <w:jc w:val="both"/>
              <w:rPr>
                <w:rFonts w:cs="Arial"/>
                <w:sz w:val="20"/>
                <w:szCs w:val="20"/>
              </w:rPr>
            </w:pPr>
            <w:r w:rsidRPr="006F7466">
              <w:rPr>
                <w:rFonts w:cs="Arial"/>
                <w:sz w:val="20"/>
                <w:szCs w:val="20"/>
              </w:rPr>
              <w:t>200</w:t>
            </w:r>
          </w:p>
          <w:p w14:paraId="6D060BE2" w14:textId="77777777" w:rsidR="005202FC" w:rsidRPr="006F7466" w:rsidRDefault="005202FC" w:rsidP="00D66738">
            <w:pPr>
              <w:jc w:val="both"/>
              <w:rPr>
                <w:rFonts w:cs="Arial"/>
                <w:sz w:val="20"/>
                <w:szCs w:val="20"/>
              </w:rPr>
            </w:pPr>
            <w:r w:rsidRPr="006F7466">
              <w:rPr>
                <w:rFonts w:cs="Arial"/>
                <w:sz w:val="20"/>
                <w:szCs w:val="20"/>
              </w:rPr>
              <w:t>50</w:t>
            </w:r>
          </w:p>
          <w:p w14:paraId="1C02BEE3" w14:textId="77777777" w:rsidR="005202FC" w:rsidRPr="006F7466" w:rsidRDefault="005202FC" w:rsidP="00D66738">
            <w:pPr>
              <w:jc w:val="both"/>
              <w:rPr>
                <w:rFonts w:cs="Arial"/>
                <w:sz w:val="20"/>
                <w:szCs w:val="20"/>
              </w:rPr>
            </w:pPr>
            <w:r w:rsidRPr="006F7466">
              <w:rPr>
                <w:rFonts w:cs="Arial"/>
                <w:sz w:val="20"/>
                <w:szCs w:val="20"/>
              </w:rPr>
              <w:t>20</w:t>
            </w:r>
          </w:p>
          <w:p w14:paraId="3061BF97"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30FFD561" w14:textId="77777777" w:rsidR="005202FC" w:rsidRPr="006F7466" w:rsidRDefault="005202FC" w:rsidP="00D66738">
            <w:pPr>
              <w:jc w:val="both"/>
              <w:rPr>
                <w:rFonts w:cs="Arial"/>
                <w:sz w:val="20"/>
                <w:szCs w:val="20"/>
              </w:rPr>
            </w:pPr>
            <w:r w:rsidRPr="006F7466">
              <w:rPr>
                <w:rFonts w:cs="Arial"/>
                <w:sz w:val="20"/>
                <w:szCs w:val="20"/>
              </w:rPr>
              <w:t xml:space="preserve">R13 m </w:t>
            </w:r>
          </w:p>
          <w:p w14:paraId="61A9B5B0" w14:textId="77777777" w:rsidR="005202FC" w:rsidRPr="006F7466" w:rsidRDefault="005202FC" w:rsidP="00D66738">
            <w:pPr>
              <w:jc w:val="both"/>
              <w:rPr>
                <w:rFonts w:cs="Arial"/>
                <w:sz w:val="20"/>
                <w:szCs w:val="20"/>
              </w:rPr>
            </w:pPr>
            <w:r w:rsidRPr="006F7466">
              <w:rPr>
                <w:rFonts w:cs="Arial"/>
                <w:sz w:val="20"/>
                <w:szCs w:val="20"/>
              </w:rPr>
              <w:t xml:space="preserve">R 6 m </w:t>
            </w:r>
          </w:p>
          <w:p w14:paraId="46AC1DC5" w14:textId="77777777" w:rsidR="005202FC" w:rsidRPr="006F7466" w:rsidRDefault="005202FC" w:rsidP="00D66738">
            <w:pPr>
              <w:jc w:val="both"/>
              <w:rPr>
                <w:rFonts w:cs="Arial"/>
                <w:sz w:val="20"/>
                <w:szCs w:val="20"/>
              </w:rPr>
            </w:pPr>
            <w:r w:rsidRPr="006F7466">
              <w:rPr>
                <w:rFonts w:cs="Arial"/>
                <w:sz w:val="20"/>
                <w:szCs w:val="20"/>
              </w:rPr>
              <w:t xml:space="preserve">R 5.1 m </w:t>
            </w:r>
          </w:p>
          <w:p w14:paraId="53FED992" w14:textId="77777777" w:rsidR="005202FC" w:rsidRPr="006F7466" w:rsidRDefault="005202FC" w:rsidP="00D66738">
            <w:pPr>
              <w:jc w:val="both"/>
              <w:rPr>
                <w:rFonts w:cs="Arial"/>
                <w:sz w:val="20"/>
                <w:szCs w:val="20"/>
              </w:rPr>
            </w:pPr>
            <w:r w:rsidRPr="006F7466">
              <w:rPr>
                <w:rFonts w:cs="Arial"/>
                <w:sz w:val="20"/>
                <w:szCs w:val="20"/>
              </w:rPr>
              <w:t>R 0.2 m</w:t>
            </w:r>
          </w:p>
        </w:tc>
        <w:tc>
          <w:tcPr>
            <w:tcW w:w="1723" w:type="dxa"/>
          </w:tcPr>
          <w:p w14:paraId="72ED890F" w14:textId="77777777" w:rsidR="005202FC" w:rsidRPr="006F7466" w:rsidRDefault="005202FC" w:rsidP="00D66738">
            <w:pPr>
              <w:jc w:val="both"/>
              <w:rPr>
                <w:rFonts w:cs="Arial"/>
                <w:sz w:val="20"/>
                <w:szCs w:val="20"/>
              </w:rPr>
            </w:pPr>
            <w:r w:rsidRPr="006F7466">
              <w:rPr>
                <w:rFonts w:cs="Arial"/>
                <w:sz w:val="20"/>
                <w:szCs w:val="20"/>
              </w:rPr>
              <w:t>R 3 m</w:t>
            </w:r>
          </w:p>
          <w:p w14:paraId="1DAFE82E" w14:textId="77777777" w:rsidR="005202FC" w:rsidRPr="006F7466" w:rsidRDefault="005202FC" w:rsidP="00D66738">
            <w:pPr>
              <w:jc w:val="both"/>
              <w:rPr>
                <w:rFonts w:cs="Arial"/>
                <w:sz w:val="20"/>
                <w:szCs w:val="20"/>
              </w:rPr>
            </w:pPr>
            <w:r w:rsidRPr="006F7466">
              <w:rPr>
                <w:rFonts w:cs="Arial"/>
                <w:sz w:val="20"/>
                <w:szCs w:val="20"/>
              </w:rPr>
              <w:t>R 1 m</w:t>
            </w:r>
          </w:p>
          <w:p w14:paraId="006AFD90" w14:textId="77777777" w:rsidR="005202FC" w:rsidRPr="006F7466" w:rsidRDefault="005202FC" w:rsidP="00D66738">
            <w:pPr>
              <w:jc w:val="both"/>
              <w:rPr>
                <w:rFonts w:cs="Arial"/>
                <w:sz w:val="20"/>
                <w:szCs w:val="20"/>
              </w:rPr>
            </w:pPr>
            <w:r w:rsidRPr="006F7466">
              <w:rPr>
                <w:rFonts w:cs="Arial"/>
                <w:sz w:val="20"/>
                <w:szCs w:val="20"/>
              </w:rPr>
              <w:t>R 1.9 m</w:t>
            </w:r>
          </w:p>
          <w:p w14:paraId="238E306A" w14:textId="77777777" w:rsidR="005202FC" w:rsidRPr="006F7466" w:rsidRDefault="005202FC" w:rsidP="00D66738">
            <w:pPr>
              <w:jc w:val="both"/>
              <w:rPr>
                <w:rFonts w:cs="Arial"/>
                <w:sz w:val="20"/>
                <w:szCs w:val="20"/>
              </w:rPr>
            </w:pPr>
            <w:r w:rsidRPr="006F7466">
              <w:rPr>
                <w:rFonts w:cs="Arial"/>
                <w:sz w:val="20"/>
                <w:szCs w:val="20"/>
              </w:rPr>
              <w:t>R 0.1 m</w:t>
            </w:r>
          </w:p>
        </w:tc>
      </w:tr>
      <w:tr w:rsidR="005202FC" w:rsidRPr="006F7466" w14:paraId="4054D295" w14:textId="77777777" w:rsidTr="00453E8C">
        <w:trPr>
          <w:trHeight w:val="828"/>
        </w:trPr>
        <w:tc>
          <w:tcPr>
            <w:tcW w:w="2345" w:type="dxa"/>
          </w:tcPr>
          <w:p w14:paraId="6BD3F785" w14:textId="77777777" w:rsidR="005202FC" w:rsidRPr="006F7466" w:rsidRDefault="005202FC" w:rsidP="00D66738">
            <w:pPr>
              <w:jc w:val="both"/>
              <w:rPr>
                <w:rFonts w:cs="Arial"/>
                <w:sz w:val="20"/>
                <w:szCs w:val="20"/>
              </w:rPr>
            </w:pPr>
            <w:r w:rsidRPr="006F7466">
              <w:rPr>
                <w:rFonts w:cs="Arial"/>
                <w:sz w:val="20"/>
                <w:szCs w:val="20"/>
              </w:rPr>
              <w:lastRenderedPageBreak/>
              <w:t>Transport, Storage and Communications</w:t>
            </w:r>
          </w:p>
        </w:tc>
        <w:tc>
          <w:tcPr>
            <w:tcW w:w="1653" w:type="dxa"/>
          </w:tcPr>
          <w:p w14:paraId="3DCBAAAE" w14:textId="77777777" w:rsidR="005202FC" w:rsidRPr="006F7466" w:rsidRDefault="005202FC" w:rsidP="00D66738">
            <w:pPr>
              <w:jc w:val="both"/>
              <w:rPr>
                <w:rFonts w:cs="Arial"/>
                <w:sz w:val="20"/>
                <w:szCs w:val="20"/>
              </w:rPr>
            </w:pPr>
            <w:r w:rsidRPr="006F7466">
              <w:rPr>
                <w:rFonts w:cs="Arial"/>
                <w:sz w:val="20"/>
                <w:szCs w:val="20"/>
              </w:rPr>
              <w:t>Medium</w:t>
            </w:r>
          </w:p>
          <w:p w14:paraId="495FB319" w14:textId="77777777" w:rsidR="005202FC" w:rsidRPr="006F7466" w:rsidRDefault="005202FC" w:rsidP="00D66738">
            <w:pPr>
              <w:jc w:val="both"/>
              <w:rPr>
                <w:rFonts w:cs="Arial"/>
                <w:sz w:val="20"/>
                <w:szCs w:val="20"/>
              </w:rPr>
            </w:pPr>
            <w:r w:rsidRPr="006F7466">
              <w:rPr>
                <w:rFonts w:cs="Arial"/>
                <w:sz w:val="20"/>
                <w:szCs w:val="20"/>
              </w:rPr>
              <w:t>Small</w:t>
            </w:r>
          </w:p>
          <w:p w14:paraId="77669068" w14:textId="77777777" w:rsidR="005202FC" w:rsidRPr="006F7466" w:rsidRDefault="005202FC" w:rsidP="00D66738">
            <w:pPr>
              <w:jc w:val="both"/>
              <w:rPr>
                <w:rFonts w:cs="Arial"/>
                <w:sz w:val="20"/>
                <w:szCs w:val="20"/>
              </w:rPr>
            </w:pPr>
            <w:r w:rsidRPr="006F7466">
              <w:rPr>
                <w:rFonts w:cs="Arial"/>
                <w:sz w:val="20"/>
                <w:szCs w:val="20"/>
              </w:rPr>
              <w:t>Very Small</w:t>
            </w:r>
          </w:p>
          <w:p w14:paraId="34BEED2D"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1B9DB9E2" w14:textId="77777777" w:rsidR="005202FC" w:rsidRPr="006F7466" w:rsidRDefault="005202FC" w:rsidP="00D66738">
            <w:pPr>
              <w:jc w:val="both"/>
              <w:rPr>
                <w:rFonts w:cs="Arial"/>
                <w:sz w:val="20"/>
                <w:szCs w:val="20"/>
              </w:rPr>
            </w:pPr>
            <w:r w:rsidRPr="006F7466">
              <w:rPr>
                <w:rFonts w:cs="Arial"/>
                <w:sz w:val="20"/>
                <w:szCs w:val="20"/>
              </w:rPr>
              <w:t>200</w:t>
            </w:r>
          </w:p>
          <w:p w14:paraId="0CF0C11C" w14:textId="77777777" w:rsidR="005202FC" w:rsidRPr="006F7466" w:rsidRDefault="005202FC" w:rsidP="00D66738">
            <w:pPr>
              <w:jc w:val="both"/>
              <w:rPr>
                <w:rFonts w:cs="Arial"/>
                <w:sz w:val="20"/>
                <w:szCs w:val="20"/>
              </w:rPr>
            </w:pPr>
            <w:r w:rsidRPr="006F7466">
              <w:rPr>
                <w:rFonts w:cs="Arial"/>
                <w:sz w:val="20"/>
                <w:szCs w:val="20"/>
              </w:rPr>
              <w:t>50</w:t>
            </w:r>
          </w:p>
          <w:p w14:paraId="0B2D16E2" w14:textId="77777777" w:rsidR="005202FC" w:rsidRPr="006F7466" w:rsidRDefault="005202FC" w:rsidP="00D66738">
            <w:pPr>
              <w:jc w:val="both"/>
              <w:rPr>
                <w:rFonts w:cs="Arial"/>
                <w:sz w:val="20"/>
                <w:szCs w:val="20"/>
              </w:rPr>
            </w:pPr>
            <w:r w:rsidRPr="006F7466">
              <w:rPr>
                <w:rFonts w:cs="Arial"/>
                <w:sz w:val="20"/>
                <w:szCs w:val="20"/>
              </w:rPr>
              <w:t>20</w:t>
            </w:r>
          </w:p>
          <w:p w14:paraId="5BD3890F"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5D3DDDB0" w14:textId="77777777" w:rsidR="005202FC" w:rsidRPr="006F7466" w:rsidRDefault="005202FC" w:rsidP="00D66738">
            <w:pPr>
              <w:jc w:val="both"/>
              <w:rPr>
                <w:rFonts w:cs="Arial"/>
                <w:sz w:val="20"/>
                <w:szCs w:val="20"/>
              </w:rPr>
            </w:pPr>
            <w:r w:rsidRPr="006F7466">
              <w:rPr>
                <w:rFonts w:cs="Arial"/>
                <w:sz w:val="20"/>
                <w:szCs w:val="20"/>
              </w:rPr>
              <w:t xml:space="preserve">R26 m </w:t>
            </w:r>
          </w:p>
          <w:p w14:paraId="296E8F97" w14:textId="77777777" w:rsidR="005202FC" w:rsidRPr="006F7466" w:rsidRDefault="005202FC" w:rsidP="00D66738">
            <w:pPr>
              <w:jc w:val="both"/>
              <w:rPr>
                <w:rFonts w:cs="Arial"/>
                <w:sz w:val="20"/>
                <w:szCs w:val="20"/>
              </w:rPr>
            </w:pPr>
            <w:r w:rsidRPr="006F7466">
              <w:rPr>
                <w:rFonts w:cs="Arial"/>
                <w:sz w:val="20"/>
                <w:szCs w:val="20"/>
              </w:rPr>
              <w:t xml:space="preserve">R13 m </w:t>
            </w:r>
          </w:p>
          <w:p w14:paraId="118767DA" w14:textId="77777777" w:rsidR="005202FC" w:rsidRPr="006F7466" w:rsidRDefault="005202FC" w:rsidP="00D66738">
            <w:pPr>
              <w:jc w:val="both"/>
              <w:rPr>
                <w:rFonts w:cs="Arial"/>
                <w:sz w:val="20"/>
                <w:szCs w:val="20"/>
              </w:rPr>
            </w:pPr>
            <w:r w:rsidRPr="006F7466">
              <w:rPr>
                <w:rFonts w:cs="Arial"/>
                <w:sz w:val="20"/>
                <w:szCs w:val="20"/>
              </w:rPr>
              <w:t xml:space="preserve">R 3 m </w:t>
            </w:r>
          </w:p>
          <w:p w14:paraId="12A7E16D" w14:textId="77777777" w:rsidR="005202FC" w:rsidRPr="006F7466" w:rsidRDefault="005202FC" w:rsidP="00D66738">
            <w:pPr>
              <w:jc w:val="both"/>
              <w:rPr>
                <w:rFonts w:cs="Arial"/>
                <w:sz w:val="20"/>
                <w:szCs w:val="20"/>
              </w:rPr>
            </w:pPr>
            <w:r w:rsidRPr="006F7466">
              <w:rPr>
                <w:rFonts w:cs="Arial"/>
                <w:sz w:val="20"/>
                <w:szCs w:val="20"/>
              </w:rPr>
              <w:t>R 0.2 m</w:t>
            </w:r>
          </w:p>
        </w:tc>
        <w:tc>
          <w:tcPr>
            <w:tcW w:w="1723" w:type="dxa"/>
          </w:tcPr>
          <w:p w14:paraId="4D7FD429" w14:textId="77777777" w:rsidR="005202FC" w:rsidRPr="006F7466" w:rsidRDefault="005202FC" w:rsidP="00D66738">
            <w:pPr>
              <w:jc w:val="both"/>
              <w:rPr>
                <w:rFonts w:cs="Arial"/>
                <w:sz w:val="20"/>
                <w:szCs w:val="20"/>
              </w:rPr>
            </w:pPr>
            <w:r w:rsidRPr="006F7466">
              <w:rPr>
                <w:rFonts w:cs="Arial"/>
                <w:sz w:val="20"/>
                <w:szCs w:val="20"/>
              </w:rPr>
              <w:t>R 6 m</w:t>
            </w:r>
          </w:p>
          <w:p w14:paraId="3BFB0043" w14:textId="77777777" w:rsidR="005202FC" w:rsidRPr="006F7466" w:rsidRDefault="005202FC" w:rsidP="00D66738">
            <w:pPr>
              <w:jc w:val="both"/>
              <w:rPr>
                <w:rFonts w:cs="Arial"/>
                <w:sz w:val="20"/>
                <w:szCs w:val="20"/>
              </w:rPr>
            </w:pPr>
            <w:r w:rsidRPr="006F7466">
              <w:rPr>
                <w:rFonts w:cs="Arial"/>
                <w:sz w:val="20"/>
                <w:szCs w:val="20"/>
              </w:rPr>
              <w:t>R 3 m</w:t>
            </w:r>
          </w:p>
          <w:p w14:paraId="2745DC3D" w14:textId="77777777" w:rsidR="005202FC" w:rsidRPr="006F7466" w:rsidRDefault="005202FC" w:rsidP="00D66738">
            <w:pPr>
              <w:jc w:val="both"/>
              <w:rPr>
                <w:rFonts w:cs="Arial"/>
                <w:sz w:val="20"/>
                <w:szCs w:val="20"/>
              </w:rPr>
            </w:pPr>
            <w:r w:rsidRPr="006F7466">
              <w:rPr>
                <w:rFonts w:cs="Arial"/>
                <w:sz w:val="20"/>
                <w:szCs w:val="20"/>
              </w:rPr>
              <w:t>R 0.6 m</w:t>
            </w:r>
          </w:p>
          <w:p w14:paraId="3E1ED817" w14:textId="77777777" w:rsidR="005202FC" w:rsidRPr="006F7466" w:rsidRDefault="005202FC" w:rsidP="00D66738">
            <w:pPr>
              <w:jc w:val="both"/>
              <w:rPr>
                <w:rFonts w:cs="Arial"/>
                <w:sz w:val="20"/>
                <w:szCs w:val="20"/>
              </w:rPr>
            </w:pPr>
            <w:r w:rsidRPr="006F7466">
              <w:rPr>
                <w:rFonts w:cs="Arial"/>
                <w:sz w:val="20"/>
                <w:szCs w:val="20"/>
              </w:rPr>
              <w:t>R 0.1 m</w:t>
            </w:r>
          </w:p>
        </w:tc>
      </w:tr>
      <w:tr w:rsidR="005202FC" w:rsidRPr="006F7466" w14:paraId="7FC696E9" w14:textId="77777777" w:rsidTr="00453E8C">
        <w:trPr>
          <w:trHeight w:val="883"/>
        </w:trPr>
        <w:tc>
          <w:tcPr>
            <w:tcW w:w="2345" w:type="dxa"/>
          </w:tcPr>
          <w:p w14:paraId="111F6B02" w14:textId="77777777" w:rsidR="005202FC" w:rsidRPr="006F7466" w:rsidRDefault="005202FC" w:rsidP="00D66738">
            <w:pPr>
              <w:jc w:val="both"/>
              <w:rPr>
                <w:rFonts w:cs="Arial"/>
                <w:sz w:val="20"/>
                <w:szCs w:val="20"/>
              </w:rPr>
            </w:pPr>
            <w:r w:rsidRPr="006F7466">
              <w:rPr>
                <w:rFonts w:cs="Arial"/>
                <w:sz w:val="20"/>
                <w:szCs w:val="20"/>
              </w:rPr>
              <w:t>Finance and Business Services</w:t>
            </w:r>
          </w:p>
        </w:tc>
        <w:tc>
          <w:tcPr>
            <w:tcW w:w="1653" w:type="dxa"/>
          </w:tcPr>
          <w:p w14:paraId="7D58ED23" w14:textId="77777777" w:rsidR="005202FC" w:rsidRPr="006F7466" w:rsidRDefault="005202FC" w:rsidP="00D66738">
            <w:pPr>
              <w:jc w:val="both"/>
              <w:rPr>
                <w:rFonts w:cs="Arial"/>
                <w:sz w:val="20"/>
                <w:szCs w:val="20"/>
              </w:rPr>
            </w:pPr>
            <w:r w:rsidRPr="006F7466">
              <w:rPr>
                <w:rFonts w:cs="Arial"/>
                <w:sz w:val="20"/>
                <w:szCs w:val="20"/>
              </w:rPr>
              <w:t>Medium</w:t>
            </w:r>
          </w:p>
          <w:p w14:paraId="578E4782" w14:textId="77777777" w:rsidR="005202FC" w:rsidRPr="006F7466" w:rsidRDefault="005202FC" w:rsidP="00D66738">
            <w:pPr>
              <w:jc w:val="both"/>
              <w:rPr>
                <w:rFonts w:cs="Arial"/>
                <w:sz w:val="20"/>
                <w:szCs w:val="20"/>
              </w:rPr>
            </w:pPr>
            <w:r w:rsidRPr="006F7466">
              <w:rPr>
                <w:rFonts w:cs="Arial"/>
                <w:sz w:val="20"/>
                <w:szCs w:val="20"/>
              </w:rPr>
              <w:t>Small</w:t>
            </w:r>
          </w:p>
          <w:p w14:paraId="085A205E" w14:textId="77777777" w:rsidR="005202FC" w:rsidRPr="006F7466" w:rsidRDefault="005202FC" w:rsidP="00D66738">
            <w:pPr>
              <w:jc w:val="both"/>
              <w:rPr>
                <w:rFonts w:cs="Arial"/>
                <w:sz w:val="20"/>
                <w:szCs w:val="20"/>
              </w:rPr>
            </w:pPr>
            <w:r w:rsidRPr="006F7466">
              <w:rPr>
                <w:rFonts w:cs="Arial"/>
                <w:sz w:val="20"/>
                <w:szCs w:val="20"/>
              </w:rPr>
              <w:t>Very Small</w:t>
            </w:r>
          </w:p>
          <w:p w14:paraId="04987D56"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690CEEC8" w14:textId="77777777" w:rsidR="005202FC" w:rsidRPr="006F7466" w:rsidRDefault="005202FC" w:rsidP="00D66738">
            <w:pPr>
              <w:jc w:val="both"/>
              <w:rPr>
                <w:rFonts w:cs="Arial"/>
                <w:sz w:val="20"/>
                <w:szCs w:val="20"/>
              </w:rPr>
            </w:pPr>
            <w:r w:rsidRPr="006F7466">
              <w:rPr>
                <w:rFonts w:cs="Arial"/>
                <w:sz w:val="20"/>
                <w:szCs w:val="20"/>
              </w:rPr>
              <w:t>200</w:t>
            </w:r>
          </w:p>
          <w:p w14:paraId="303164BF" w14:textId="77777777" w:rsidR="005202FC" w:rsidRPr="006F7466" w:rsidRDefault="005202FC" w:rsidP="00D66738">
            <w:pPr>
              <w:jc w:val="both"/>
              <w:rPr>
                <w:rFonts w:cs="Arial"/>
                <w:sz w:val="20"/>
                <w:szCs w:val="20"/>
              </w:rPr>
            </w:pPr>
            <w:r w:rsidRPr="006F7466">
              <w:rPr>
                <w:rFonts w:cs="Arial"/>
                <w:sz w:val="20"/>
                <w:szCs w:val="20"/>
              </w:rPr>
              <w:t>50</w:t>
            </w:r>
          </w:p>
          <w:p w14:paraId="71F2B10D" w14:textId="77777777" w:rsidR="005202FC" w:rsidRPr="006F7466" w:rsidRDefault="005202FC" w:rsidP="00D66738">
            <w:pPr>
              <w:jc w:val="both"/>
              <w:rPr>
                <w:rFonts w:cs="Arial"/>
                <w:sz w:val="20"/>
                <w:szCs w:val="20"/>
              </w:rPr>
            </w:pPr>
            <w:r w:rsidRPr="006F7466">
              <w:rPr>
                <w:rFonts w:cs="Arial"/>
                <w:sz w:val="20"/>
                <w:szCs w:val="20"/>
              </w:rPr>
              <w:t>20</w:t>
            </w:r>
          </w:p>
          <w:p w14:paraId="067F2C5F"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57D5FAAC" w14:textId="77777777" w:rsidR="005202FC" w:rsidRPr="006F7466" w:rsidRDefault="005202FC" w:rsidP="00D66738">
            <w:pPr>
              <w:jc w:val="both"/>
              <w:rPr>
                <w:rFonts w:cs="Arial"/>
                <w:sz w:val="20"/>
                <w:szCs w:val="20"/>
              </w:rPr>
            </w:pPr>
            <w:r w:rsidRPr="006F7466">
              <w:rPr>
                <w:rFonts w:cs="Arial"/>
                <w:sz w:val="20"/>
                <w:szCs w:val="20"/>
              </w:rPr>
              <w:t xml:space="preserve">R26 m </w:t>
            </w:r>
          </w:p>
          <w:p w14:paraId="46FE813C" w14:textId="77777777" w:rsidR="005202FC" w:rsidRPr="006F7466" w:rsidRDefault="005202FC" w:rsidP="00D66738">
            <w:pPr>
              <w:jc w:val="both"/>
              <w:rPr>
                <w:rFonts w:cs="Arial"/>
                <w:sz w:val="20"/>
                <w:szCs w:val="20"/>
              </w:rPr>
            </w:pPr>
            <w:r w:rsidRPr="006F7466">
              <w:rPr>
                <w:rFonts w:cs="Arial"/>
                <w:sz w:val="20"/>
                <w:szCs w:val="20"/>
              </w:rPr>
              <w:t xml:space="preserve">R13 m </w:t>
            </w:r>
          </w:p>
          <w:p w14:paraId="2CB0B217" w14:textId="77777777" w:rsidR="005202FC" w:rsidRPr="006F7466" w:rsidRDefault="005202FC" w:rsidP="00D66738">
            <w:pPr>
              <w:jc w:val="both"/>
              <w:rPr>
                <w:rFonts w:cs="Arial"/>
                <w:sz w:val="20"/>
                <w:szCs w:val="20"/>
              </w:rPr>
            </w:pPr>
            <w:r w:rsidRPr="006F7466">
              <w:rPr>
                <w:rFonts w:cs="Arial"/>
                <w:sz w:val="20"/>
                <w:szCs w:val="20"/>
              </w:rPr>
              <w:t xml:space="preserve">R 3 m </w:t>
            </w:r>
          </w:p>
          <w:p w14:paraId="11ACE749" w14:textId="77777777" w:rsidR="005202FC" w:rsidRPr="006F7466" w:rsidRDefault="005202FC" w:rsidP="00D66738">
            <w:pPr>
              <w:jc w:val="both"/>
              <w:rPr>
                <w:rFonts w:cs="Arial"/>
                <w:sz w:val="20"/>
                <w:szCs w:val="20"/>
              </w:rPr>
            </w:pPr>
            <w:r w:rsidRPr="006F7466">
              <w:rPr>
                <w:rFonts w:cs="Arial"/>
                <w:sz w:val="20"/>
                <w:szCs w:val="20"/>
              </w:rPr>
              <w:t>R 0.2 m</w:t>
            </w:r>
          </w:p>
        </w:tc>
        <w:tc>
          <w:tcPr>
            <w:tcW w:w="1723" w:type="dxa"/>
          </w:tcPr>
          <w:p w14:paraId="3131A793" w14:textId="77777777" w:rsidR="005202FC" w:rsidRPr="006F7466" w:rsidRDefault="005202FC" w:rsidP="00D66738">
            <w:pPr>
              <w:jc w:val="both"/>
              <w:rPr>
                <w:rFonts w:cs="Arial"/>
                <w:sz w:val="20"/>
                <w:szCs w:val="20"/>
              </w:rPr>
            </w:pPr>
            <w:r w:rsidRPr="006F7466">
              <w:rPr>
                <w:rFonts w:cs="Arial"/>
                <w:sz w:val="20"/>
                <w:szCs w:val="20"/>
              </w:rPr>
              <w:t>R 5 m</w:t>
            </w:r>
          </w:p>
          <w:p w14:paraId="58F673E3" w14:textId="77777777" w:rsidR="005202FC" w:rsidRPr="006F7466" w:rsidRDefault="005202FC" w:rsidP="00D66738">
            <w:pPr>
              <w:jc w:val="both"/>
              <w:rPr>
                <w:rFonts w:cs="Arial"/>
                <w:sz w:val="20"/>
                <w:szCs w:val="20"/>
              </w:rPr>
            </w:pPr>
            <w:r w:rsidRPr="006F7466">
              <w:rPr>
                <w:rFonts w:cs="Arial"/>
                <w:sz w:val="20"/>
                <w:szCs w:val="20"/>
              </w:rPr>
              <w:t>R 3 m</w:t>
            </w:r>
          </w:p>
          <w:p w14:paraId="01C8C23B" w14:textId="77777777" w:rsidR="005202FC" w:rsidRPr="006F7466" w:rsidRDefault="005202FC" w:rsidP="00D66738">
            <w:pPr>
              <w:jc w:val="both"/>
              <w:rPr>
                <w:rFonts w:cs="Arial"/>
                <w:sz w:val="20"/>
                <w:szCs w:val="20"/>
              </w:rPr>
            </w:pPr>
            <w:r w:rsidRPr="006F7466">
              <w:rPr>
                <w:rFonts w:cs="Arial"/>
                <w:sz w:val="20"/>
                <w:szCs w:val="20"/>
              </w:rPr>
              <w:t>R 0.5 m</w:t>
            </w:r>
          </w:p>
          <w:p w14:paraId="0DD00117" w14:textId="77777777" w:rsidR="005202FC" w:rsidRPr="006F7466" w:rsidRDefault="005202FC" w:rsidP="00D66738">
            <w:pPr>
              <w:jc w:val="both"/>
              <w:rPr>
                <w:rFonts w:cs="Arial"/>
                <w:sz w:val="20"/>
                <w:szCs w:val="20"/>
              </w:rPr>
            </w:pPr>
            <w:r w:rsidRPr="006F7466">
              <w:rPr>
                <w:rFonts w:cs="Arial"/>
                <w:sz w:val="20"/>
                <w:szCs w:val="20"/>
              </w:rPr>
              <w:t>R 0.1 m</w:t>
            </w:r>
          </w:p>
        </w:tc>
      </w:tr>
      <w:tr w:rsidR="005202FC" w:rsidRPr="006F7466" w14:paraId="6E348543" w14:textId="77777777" w:rsidTr="00453E8C">
        <w:trPr>
          <w:trHeight w:val="812"/>
        </w:trPr>
        <w:tc>
          <w:tcPr>
            <w:tcW w:w="2345" w:type="dxa"/>
          </w:tcPr>
          <w:p w14:paraId="00986B66" w14:textId="77777777" w:rsidR="005202FC" w:rsidRPr="006F7466" w:rsidRDefault="005202FC" w:rsidP="00D66738">
            <w:pPr>
              <w:jc w:val="both"/>
              <w:rPr>
                <w:rFonts w:cs="Arial"/>
                <w:sz w:val="20"/>
                <w:szCs w:val="20"/>
              </w:rPr>
            </w:pPr>
            <w:r w:rsidRPr="006F7466">
              <w:rPr>
                <w:rFonts w:cs="Arial"/>
                <w:sz w:val="20"/>
                <w:szCs w:val="20"/>
              </w:rPr>
              <w:t>Community, Social and Personal Services</w:t>
            </w:r>
          </w:p>
        </w:tc>
        <w:tc>
          <w:tcPr>
            <w:tcW w:w="1653" w:type="dxa"/>
          </w:tcPr>
          <w:p w14:paraId="725CDA2E" w14:textId="77777777" w:rsidR="005202FC" w:rsidRPr="006F7466" w:rsidRDefault="005202FC" w:rsidP="00D66738">
            <w:pPr>
              <w:jc w:val="both"/>
              <w:rPr>
                <w:rFonts w:cs="Arial"/>
                <w:sz w:val="20"/>
                <w:szCs w:val="20"/>
              </w:rPr>
            </w:pPr>
            <w:r w:rsidRPr="006F7466">
              <w:rPr>
                <w:rFonts w:cs="Arial"/>
                <w:sz w:val="20"/>
                <w:szCs w:val="20"/>
              </w:rPr>
              <w:t>Medium</w:t>
            </w:r>
          </w:p>
          <w:p w14:paraId="6F2B0468" w14:textId="77777777" w:rsidR="005202FC" w:rsidRPr="006F7466" w:rsidRDefault="005202FC" w:rsidP="00D66738">
            <w:pPr>
              <w:jc w:val="both"/>
              <w:rPr>
                <w:rFonts w:cs="Arial"/>
                <w:sz w:val="20"/>
                <w:szCs w:val="20"/>
              </w:rPr>
            </w:pPr>
            <w:r w:rsidRPr="006F7466">
              <w:rPr>
                <w:rFonts w:cs="Arial"/>
                <w:sz w:val="20"/>
                <w:szCs w:val="20"/>
              </w:rPr>
              <w:t>Small</w:t>
            </w:r>
          </w:p>
          <w:p w14:paraId="6054EC29" w14:textId="77777777" w:rsidR="005202FC" w:rsidRPr="006F7466" w:rsidRDefault="005202FC" w:rsidP="00D66738">
            <w:pPr>
              <w:jc w:val="both"/>
              <w:rPr>
                <w:rFonts w:cs="Arial"/>
                <w:sz w:val="20"/>
                <w:szCs w:val="20"/>
              </w:rPr>
            </w:pPr>
            <w:r w:rsidRPr="006F7466">
              <w:rPr>
                <w:rFonts w:cs="Arial"/>
                <w:sz w:val="20"/>
                <w:szCs w:val="20"/>
              </w:rPr>
              <w:t>Very Small</w:t>
            </w:r>
          </w:p>
          <w:p w14:paraId="34F4CDC4" w14:textId="77777777" w:rsidR="005202FC" w:rsidRPr="006F7466" w:rsidRDefault="005202FC" w:rsidP="00D66738">
            <w:pPr>
              <w:jc w:val="both"/>
              <w:rPr>
                <w:rFonts w:cs="Arial"/>
                <w:sz w:val="20"/>
                <w:szCs w:val="20"/>
              </w:rPr>
            </w:pPr>
            <w:r w:rsidRPr="006F7466">
              <w:rPr>
                <w:rFonts w:cs="Arial"/>
                <w:sz w:val="20"/>
                <w:szCs w:val="20"/>
              </w:rPr>
              <w:t>Micro</w:t>
            </w:r>
          </w:p>
        </w:tc>
        <w:tc>
          <w:tcPr>
            <w:tcW w:w="1672" w:type="dxa"/>
          </w:tcPr>
          <w:p w14:paraId="2E86AF1F" w14:textId="77777777" w:rsidR="005202FC" w:rsidRPr="006F7466" w:rsidRDefault="005202FC" w:rsidP="00D66738">
            <w:pPr>
              <w:jc w:val="both"/>
              <w:rPr>
                <w:rFonts w:cs="Arial"/>
                <w:sz w:val="20"/>
                <w:szCs w:val="20"/>
              </w:rPr>
            </w:pPr>
            <w:r w:rsidRPr="006F7466">
              <w:rPr>
                <w:rFonts w:cs="Arial"/>
                <w:sz w:val="20"/>
                <w:szCs w:val="20"/>
              </w:rPr>
              <w:t>200</w:t>
            </w:r>
          </w:p>
          <w:p w14:paraId="7FF906B5" w14:textId="77777777" w:rsidR="005202FC" w:rsidRPr="006F7466" w:rsidRDefault="005202FC" w:rsidP="00D66738">
            <w:pPr>
              <w:jc w:val="both"/>
              <w:rPr>
                <w:rFonts w:cs="Arial"/>
                <w:sz w:val="20"/>
                <w:szCs w:val="20"/>
              </w:rPr>
            </w:pPr>
            <w:r w:rsidRPr="006F7466">
              <w:rPr>
                <w:rFonts w:cs="Arial"/>
                <w:sz w:val="20"/>
                <w:szCs w:val="20"/>
              </w:rPr>
              <w:t>50</w:t>
            </w:r>
          </w:p>
          <w:p w14:paraId="0F8354C7" w14:textId="77777777" w:rsidR="005202FC" w:rsidRPr="006F7466" w:rsidRDefault="005202FC" w:rsidP="00D66738">
            <w:pPr>
              <w:jc w:val="both"/>
              <w:rPr>
                <w:rFonts w:cs="Arial"/>
                <w:sz w:val="20"/>
                <w:szCs w:val="20"/>
              </w:rPr>
            </w:pPr>
            <w:r w:rsidRPr="006F7466">
              <w:rPr>
                <w:rFonts w:cs="Arial"/>
                <w:sz w:val="20"/>
                <w:szCs w:val="20"/>
              </w:rPr>
              <w:t>20</w:t>
            </w:r>
          </w:p>
          <w:p w14:paraId="3C58160F" w14:textId="77777777" w:rsidR="005202FC" w:rsidRPr="006F7466" w:rsidRDefault="005202FC" w:rsidP="00D66738">
            <w:pPr>
              <w:jc w:val="both"/>
              <w:rPr>
                <w:rFonts w:cs="Arial"/>
                <w:sz w:val="20"/>
                <w:szCs w:val="20"/>
              </w:rPr>
            </w:pPr>
            <w:r w:rsidRPr="006F7466">
              <w:rPr>
                <w:rFonts w:cs="Arial"/>
                <w:sz w:val="20"/>
                <w:szCs w:val="20"/>
              </w:rPr>
              <w:t>5</w:t>
            </w:r>
          </w:p>
        </w:tc>
        <w:tc>
          <w:tcPr>
            <w:tcW w:w="1607" w:type="dxa"/>
          </w:tcPr>
          <w:p w14:paraId="1A530708" w14:textId="77777777" w:rsidR="005202FC" w:rsidRPr="006F7466" w:rsidRDefault="005202FC" w:rsidP="00D66738">
            <w:pPr>
              <w:jc w:val="both"/>
              <w:rPr>
                <w:rFonts w:cs="Arial"/>
                <w:sz w:val="20"/>
                <w:szCs w:val="20"/>
              </w:rPr>
            </w:pPr>
            <w:r w:rsidRPr="006F7466">
              <w:rPr>
                <w:rFonts w:cs="Arial"/>
                <w:sz w:val="20"/>
                <w:szCs w:val="20"/>
              </w:rPr>
              <w:t xml:space="preserve">R13 m </w:t>
            </w:r>
          </w:p>
          <w:p w14:paraId="7E417F9D" w14:textId="77777777" w:rsidR="005202FC" w:rsidRPr="006F7466" w:rsidRDefault="005202FC" w:rsidP="00D66738">
            <w:pPr>
              <w:jc w:val="both"/>
              <w:rPr>
                <w:rFonts w:cs="Arial"/>
                <w:sz w:val="20"/>
                <w:szCs w:val="20"/>
              </w:rPr>
            </w:pPr>
            <w:r w:rsidRPr="006F7466">
              <w:rPr>
                <w:rFonts w:cs="Arial"/>
                <w:sz w:val="20"/>
                <w:szCs w:val="20"/>
              </w:rPr>
              <w:t xml:space="preserve">R 6 m </w:t>
            </w:r>
          </w:p>
          <w:p w14:paraId="31C9B5B4" w14:textId="77777777" w:rsidR="005202FC" w:rsidRPr="006F7466" w:rsidRDefault="005202FC" w:rsidP="00D66738">
            <w:pPr>
              <w:jc w:val="both"/>
              <w:rPr>
                <w:rFonts w:cs="Arial"/>
                <w:sz w:val="20"/>
                <w:szCs w:val="20"/>
              </w:rPr>
            </w:pPr>
            <w:r w:rsidRPr="006F7466">
              <w:rPr>
                <w:rFonts w:cs="Arial"/>
                <w:sz w:val="20"/>
                <w:szCs w:val="20"/>
              </w:rPr>
              <w:t xml:space="preserve">R 1 m </w:t>
            </w:r>
          </w:p>
          <w:p w14:paraId="224C840C" w14:textId="77777777" w:rsidR="005202FC" w:rsidRPr="006F7466" w:rsidRDefault="005202FC" w:rsidP="00D66738">
            <w:pPr>
              <w:jc w:val="both"/>
              <w:rPr>
                <w:rFonts w:cs="Arial"/>
                <w:sz w:val="20"/>
                <w:szCs w:val="20"/>
              </w:rPr>
            </w:pPr>
            <w:r w:rsidRPr="006F7466">
              <w:rPr>
                <w:rFonts w:cs="Arial"/>
                <w:sz w:val="20"/>
                <w:szCs w:val="20"/>
              </w:rPr>
              <w:t>R 0.2 m</w:t>
            </w:r>
          </w:p>
        </w:tc>
        <w:tc>
          <w:tcPr>
            <w:tcW w:w="1723" w:type="dxa"/>
          </w:tcPr>
          <w:p w14:paraId="6C72890A" w14:textId="77777777" w:rsidR="005202FC" w:rsidRPr="006F7466" w:rsidRDefault="005202FC" w:rsidP="00D66738">
            <w:pPr>
              <w:jc w:val="both"/>
              <w:rPr>
                <w:rFonts w:cs="Arial"/>
                <w:sz w:val="20"/>
                <w:szCs w:val="20"/>
              </w:rPr>
            </w:pPr>
            <w:r w:rsidRPr="006F7466">
              <w:rPr>
                <w:rFonts w:cs="Arial"/>
                <w:sz w:val="20"/>
                <w:szCs w:val="20"/>
              </w:rPr>
              <w:t>R 6 m</w:t>
            </w:r>
          </w:p>
          <w:p w14:paraId="010025D2" w14:textId="77777777" w:rsidR="005202FC" w:rsidRPr="006F7466" w:rsidRDefault="005202FC" w:rsidP="00D66738">
            <w:pPr>
              <w:jc w:val="both"/>
              <w:rPr>
                <w:rFonts w:cs="Arial"/>
                <w:sz w:val="20"/>
                <w:szCs w:val="20"/>
              </w:rPr>
            </w:pPr>
            <w:r w:rsidRPr="006F7466">
              <w:rPr>
                <w:rFonts w:cs="Arial"/>
                <w:sz w:val="20"/>
                <w:szCs w:val="20"/>
              </w:rPr>
              <w:t>R 3 m</w:t>
            </w:r>
          </w:p>
          <w:p w14:paraId="7DB78D07" w14:textId="77777777" w:rsidR="005202FC" w:rsidRPr="006F7466" w:rsidRDefault="005202FC" w:rsidP="00D66738">
            <w:pPr>
              <w:jc w:val="both"/>
              <w:rPr>
                <w:rFonts w:cs="Arial"/>
                <w:sz w:val="20"/>
                <w:szCs w:val="20"/>
              </w:rPr>
            </w:pPr>
            <w:r w:rsidRPr="006F7466">
              <w:rPr>
                <w:rFonts w:cs="Arial"/>
                <w:sz w:val="20"/>
                <w:szCs w:val="20"/>
              </w:rPr>
              <w:t>R 0.6 m</w:t>
            </w:r>
          </w:p>
          <w:p w14:paraId="05AA380A" w14:textId="77777777" w:rsidR="005202FC" w:rsidRPr="006F7466" w:rsidRDefault="005202FC" w:rsidP="00D66738">
            <w:pPr>
              <w:jc w:val="both"/>
              <w:rPr>
                <w:rFonts w:cs="Arial"/>
                <w:sz w:val="20"/>
                <w:szCs w:val="20"/>
              </w:rPr>
            </w:pPr>
            <w:r w:rsidRPr="006F7466">
              <w:rPr>
                <w:rFonts w:cs="Arial"/>
                <w:sz w:val="20"/>
                <w:szCs w:val="20"/>
              </w:rPr>
              <w:t>R 0.1 m</w:t>
            </w:r>
          </w:p>
        </w:tc>
      </w:tr>
    </w:tbl>
    <w:p w14:paraId="788F1265" w14:textId="00E4B3E4" w:rsidR="00533F17" w:rsidRPr="00533F17" w:rsidRDefault="005202FC" w:rsidP="00D66738">
      <w:pPr>
        <w:spacing w:before="0" w:after="240" w:line="259" w:lineRule="auto"/>
        <w:ind w:left="357" w:hanging="357"/>
        <w:jc w:val="both"/>
      </w:pPr>
      <w:r w:rsidRPr="00127FA4">
        <w:rPr>
          <w:i/>
          <w:sz w:val="20"/>
          <w:szCs w:val="20"/>
        </w:rPr>
        <w:t xml:space="preserve">Source: </w:t>
      </w:r>
      <w:r w:rsidRPr="00127FA4">
        <w:rPr>
          <w:sz w:val="20"/>
          <w:szCs w:val="20"/>
        </w:rPr>
        <w:t xml:space="preserve">The National Small Business Act No. </w:t>
      </w:r>
      <w:r w:rsidR="0055477B" w:rsidRPr="00127FA4">
        <w:rPr>
          <w:sz w:val="20"/>
          <w:szCs w:val="20"/>
        </w:rPr>
        <w:t>102 of 1996, as amended in 2003</w:t>
      </w:r>
    </w:p>
    <w:sectPr w:rsidR="00533F17" w:rsidRPr="00533F17" w:rsidSect="00040AA5">
      <w:headerReference w:type="even" r:id="rId28"/>
      <w:headerReference w:type="default" r:id="rId29"/>
      <w:footerReference w:type="default" r:id="rId30"/>
      <w:headerReference w:type="first" r:id="rId3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B221" w14:textId="77777777" w:rsidR="002276FA" w:rsidRDefault="002276FA" w:rsidP="00FC03C7">
      <w:pPr>
        <w:spacing w:before="0"/>
      </w:pPr>
      <w:r>
        <w:separator/>
      </w:r>
    </w:p>
  </w:endnote>
  <w:endnote w:type="continuationSeparator" w:id="0">
    <w:p w14:paraId="3861A0AC" w14:textId="77777777" w:rsidR="002276FA" w:rsidRDefault="002276FA" w:rsidP="00FC03C7">
      <w:pPr>
        <w:spacing w:before="0"/>
      </w:pPr>
      <w:r>
        <w:continuationSeparator/>
      </w:r>
    </w:p>
  </w:endnote>
  <w:endnote w:type="continuationNotice" w:id="1">
    <w:p w14:paraId="6843E8E1" w14:textId="77777777" w:rsidR="002276FA" w:rsidRDefault="002276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489106"/>
      <w:docPartObj>
        <w:docPartGallery w:val="Page Numbers (Bottom of Page)"/>
        <w:docPartUnique/>
      </w:docPartObj>
    </w:sdtPr>
    <w:sdtEndPr>
      <w:rPr>
        <w:noProof/>
      </w:rPr>
    </w:sdtEndPr>
    <w:sdtContent>
      <w:p w14:paraId="4B2296F1" w14:textId="50F93534" w:rsidR="00D66738" w:rsidRDefault="00D66738">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09058115" w14:textId="77777777" w:rsidR="00D66738" w:rsidRDefault="00D66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1356" w14:textId="77777777" w:rsidR="00D66738" w:rsidRDefault="00D66738">
    <w:pPr>
      <w:pStyle w:val="Footer"/>
      <w:pBdr>
        <w:top w:val="single" w:sz="4" w:space="1" w:color="D9D9D9" w:themeColor="background1" w:themeShade="D9"/>
      </w:pBdr>
      <w:jc w:val="right"/>
    </w:pPr>
  </w:p>
  <w:p w14:paraId="3AEB862F" w14:textId="77777777" w:rsidR="00D66738" w:rsidRDefault="00D66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220304"/>
      <w:docPartObj>
        <w:docPartGallery w:val="Page Numbers (Bottom of Page)"/>
        <w:docPartUnique/>
      </w:docPartObj>
    </w:sdtPr>
    <w:sdtEndPr>
      <w:rPr>
        <w:noProof/>
      </w:rPr>
    </w:sdtEndPr>
    <w:sdtContent>
      <w:p w14:paraId="7F2CA7F7" w14:textId="1493E3E7" w:rsidR="00D66738" w:rsidRDefault="00D66738">
        <w:pPr>
          <w:pStyle w:val="Footer"/>
          <w:jc w:val="right"/>
        </w:pPr>
        <w:r>
          <w:fldChar w:fldCharType="begin"/>
        </w:r>
        <w:r>
          <w:instrText xml:space="preserve"> PAGE   \* MERGEFORMAT </w:instrText>
        </w:r>
        <w:r>
          <w:fldChar w:fldCharType="separate"/>
        </w:r>
        <w:r>
          <w:rPr>
            <w:noProof/>
          </w:rPr>
          <w:t>vi</w:t>
        </w:r>
        <w:r>
          <w:rPr>
            <w:noProof/>
          </w:rPr>
          <w:fldChar w:fldCharType="end"/>
        </w:r>
      </w:p>
    </w:sdtContent>
  </w:sdt>
  <w:p w14:paraId="6F34A02B" w14:textId="77777777" w:rsidR="00D66738" w:rsidRDefault="00D667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364371"/>
      <w:docPartObj>
        <w:docPartGallery w:val="Page Numbers (Bottom of Page)"/>
        <w:docPartUnique/>
      </w:docPartObj>
    </w:sdtPr>
    <w:sdtEndPr>
      <w:rPr>
        <w:noProof/>
      </w:rPr>
    </w:sdtEndPr>
    <w:sdtContent>
      <w:p w14:paraId="193544B8" w14:textId="1D955F57" w:rsidR="00D66738" w:rsidRDefault="00D66738">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60B259F9" w14:textId="77777777" w:rsidR="00D66738" w:rsidRDefault="00D667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95421"/>
      <w:docPartObj>
        <w:docPartGallery w:val="Page Numbers (Bottom of Page)"/>
        <w:docPartUnique/>
      </w:docPartObj>
    </w:sdtPr>
    <w:sdtEndPr>
      <w:rPr>
        <w:color w:val="7F7F7F" w:themeColor="background1" w:themeShade="7F"/>
        <w:spacing w:val="60"/>
      </w:rPr>
    </w:sdtEndPr>
    <w:sdtContent>
      <w:p w14:paraId="2D3D7605" w14:textId="31D0A559" w:rsidR="00D66738" w:rsidRDefault="00D6673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062E7">
          <w:rPr>
            <w:b/>
            <w:bCs/>
            <w:noProof/>
          </w:rPr>
          <w:t>107</w:t>
        </w:r>
        <w:r>
          <w:rPr>
            <w:b/>
            <w:bCs/>
            <w:noProof/>
          </w:rPr>
          <w:fldChar w:fldCharType="end"/>
        </w:r>
        <w:r>
          <w:rPr>
            <w:b/>
            <w:bCs/>
          </w:rPr>
          <w:t xml:space="preserve"> | </w:t>
        </w:r>
        <w:r>
          <w:rPr>
            <w:color w:val="7F7F7F" w:themeColor="background1" w:themeShade="7F"/>
            <w:spacing w:val="60"/>
          </w:rPr>
          <w:t>Page</w:t>
        </w:r>
      </w:p>
    </w:sdtContent>
  </w:sdt>
  <w:p w14:paraId="1002A829" w14:textId="77777777" w:rsidR="00D66738" w:rsidRDefault="00D66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6E740" w14:textId="77777777" w:rsidR="002276FA" w:rsidRDefault="002276FA" w:rsidP="00FC03C7">
      <w:pPr>
        <w:spacing w:before="0"/>
      </w:pPr>
      <w:r>
        <w:separator/>
      </w:r>
    </w:p>
  </w:footnote>
  <w:footnote w:type="continuationSeparator" w:id="0">
    <w:p w14:paraId="22024B72" w14:textId="77777777" w:rsidR="002276FA" w:rsidRDefault="002276FA" w:rsidP="00FC03C7">
      <w:pPr>
        <w:spacing w:before="0"/>
      </w:pPr>
      <w:r>
        <w:continuationSeparator/>
      </w:r>
    </w:p>
  </w:footnote>
  <w:footnote w:type="continuationNotice" w:id="1">
    <w:p w14:paraId="3F3D9510" w14:textId="77777777" w:rsidR="002276FA" w:rsidRDefault="002276FA">
      <w:pPr>
        <w:spacing w:before="0"/>
      </w:pPr>
    </w:p>
  </w:footnote>
  <w:footnote w:id="2">
    <w:p w14:paraId="5CA74E4A" w14:textId="1F8702A1" w:rsidR="00D66738" w:rsidRDefault="00D66738">
      <w:pPr>
        <w:pStyle w:val="FootnoteText"/>
      </w:pPr>
      <w:r>
        <w:rPr>
          <w:rStyle w:val="FootnoteReference"/>
        </w:rPr>
        <w:footnoteRef/>
      </w:r>
      <w:r>
        <w:t xml:space="preserve"> In full-time equivalent terms, based on 2015 pay figures from the LMD.</w:t>
      </w:r>
    </w:p>
  </w:footnote>
  <w:footnote w:id="3">
    <w:p w14:paraId="10ABA79B" w14:textId="2EF5ED3A" w:rsidR="00D66738" w:rsidRDefault="00D66738">
      <w:pPr>
        <w:pStyle w:val="FootnoteText"/>
      </w:pPr>
      <w:r>
        <w:rPr>
          <w:rStyle w:val="FootnoteReference"/>
        </w:rPr>
        <w:footnoteRef/>
      </w:r>
      <w:r>
        <w:t xml:space="preserve"> For a description of TIPS, see Annexure A. </w:t>
      </w:r>
    </w:p>
  </w:footnote>
  <w:footnote w:id="4">
    <w:p w14:paraId="1FCC0929" w14:textId="77777777" w:rsidR="00D66738" w:rsidRPr="00152FC5" w:rsidRDefault="00D66738" w:rsidP="00042C2A">
      <w:pPr>
        <w:pStyle w:val="FootnoteText"/>
      </w:pPr>
      <w:r>
        <w:rPr>
          <w:rStyle w:val="FootnoteReference"/>
        </w:rPr>
        <w:footnoteRef/>
      </w:r>
      <w:r>
        <w:t xml:space="preserve"> </w:t>
      </w:r>
      <w:r w:rsidRPr="00152FC5">
        <w:t>The LMD is an annual consolidation of Statistics South Africa’s Quarterly Labour Force Survey, which is a household survey with 60 000 respondents</w:t>
      </w:r>
      <w:r>
        <w:t xml:space="preserve">. </w:t>
      </w:r>
      <w:r w:rsidRPr="00F209B7">
        <w:t>In 2015, the LMD included 3689 employers and</w:t>
      </w:r>
      <w:r w:rsidRPr="00F209B7">
        <w:t xml:space="preserve"> 7074 self-employed/own account workers, excluding domestic workers</w:t>
      </w:r>
      <w:r w:rsidRPr="00152FC5">
        <w:t xml:space="preserve"> While these are significant samples, they become less </w:t>
      </w:r>
      <w:proofErr w:type="gramStart"/>
      <w:r w:rsidRPr="00152FC5">
        <w:t>reliable</w:t>
      </w:r>
      <w:proofErr w:type="gramEnd"/>
      <w:r w:rsidRPr="00152FC5">
        <w:t xml:space="preserve"> if divided on too many dimensions. That is particularly a problem for medium and large enterprises, where the samples become small.</w:t>
      </w:r>
    </w:p>
  </w:footnote>
  <w:footnote w:id="5">
    <w:p w14:paraId="64D93EE9" w14:textId="77777777" w:rsidR="00D66738" w:rsidRDefault="00D66738" w:rsidP="007D52DF">
      <w:pPr>
        <w:pStyle w:val="FootnoteText"/>
      </w:pPr>
      <w:r>
        <w:rPr>
          <w:rStyle w:val="FootnoteReference"/>
        </w:rPr>
        <w:footnoteRef/>
      </w:r>
      <w:r>
        <w:t xml:space="preserve"> However, small business may</w:t>
      </w:r>
      <w:r w:rsidRPr="00B47E77">
        <w:t xml:space="preserve"> </w:t>
      </w:r>
      <w:r w:rsidRPr="00B47E77">
        <w:t xml:space="preserve">play an auxiliary role in the </w:t>
      </w:r>
      <w:r>
        <w:t xml:space="preserve">mining </w:t>
      </w:r>
      <w:r w:rsidRPr="00B47E77">
        <w:t>value chain, providing repairs, after-service, ICT, office support and so on.</w:t>
      </w:r>
    </w:p>
  </w:footnote>
  <w:footnote w:id="6">
    <w:p w14:paraId="121280D4" w14:textId="22B6458F" w:rsidR="00D66738" w:rsidRDefault="00D66738" w:rsidP="002B78BA">
      <w:pPr>
        <w:pStyle w:val="FootnoteText"/>
      </w:pPr>
      <w:r>
        <w:rPr>
          <w:rStyle w:val="FootnoteReference"/>
        </w:rPr>
        <w:footnoteRef/>
      </w:r>
      <w:r>
        <w:t xml:space="preserve"> The 10 Year Review synthesised recommendations from a number of previous studies on the regulatory burden. </w:t>
      </w:r>
    </w:p>
  </w:footnote>
  <w:footnote w:id="7">
    <w:p w14:paraId="6AE4FE8F" w14:textId="77777777" w:rsidR="00D66738" w:rsidRDefault="00D66738" w:rsidP="002B78BA">
      <w:pPr>
        <w:pStyle w:val="FootnoteText"/>
      </w:pPr>
      <w:r>
        <w:rPr>
          <w:rStyle w:val="FootnoteReference"/>
        </w:rPr>
        <w:footnoteRef/>
      </w:r>
      <w:r>
        <w:t xml:space="preserve"> Applications to have the award or ruling dismissed on legal technical grounds or grounds of substance.</w:t>
      </w:r>
    </w:p>
  </w:footnote>
  <w:footnote w:id="8">
    <w:p w14:paraId="6E06A0F8" w14:textId="77777777" w:rsidR="00D66738" w:rsidRDefault="00D66738" w:rsidP="00E544E8">
      <w:pPr>
        <w:pStyle w:val="FootnoteText"/>
      </w:pPr>
      <w:r>
        <w:rPr>
          <w:rStyle w:val="FootnoteReference"/>
        </w:rPr>
        <w:footnoteRef/>
      </w:r>
      <w:r>
        <w:t xml:space="preserve"> We have not found any evidence to suggest that the Co-operatives Advisory Board exists.</w:t>
      </w:r>
    </w:p>
  </w:footnote>
  <w:footnote w:id="9">
    <w:p w14:paraId="0F5A2F07" w14:textId="77777777" w:rsidR="00D66738" w:rsidRDefault="00D66738" w:rsidP="00E41438">
      <w:pPr>
        <w:pStyle w:val="FootnoteText"/>
      </w:pPr>
      <w:r>
        <w:rPr>
          <w:rStyle w:val="FootnoteReference"/>
        </w:rPr>
        <w:footnoteRef/>
      </w:r>
      <w:r>
        <w:t xml:space="preserve"> A</w:t>
      </w:r>
      <w:r w:rsidRPr="008E1104">
        <w:t>fte</w:t>
      </w:r>
      <w:r>
        <w:t xml:space="preserve">r the implementation of the </w:t>
      </w:r>
      <w:r w:rsidRPr="008E1104">
        <w:t xml:space="preserve">Companies Act (Act 71 of 2008) no </w:t>
      </w:r>
      <w:r>
        <w:t>new closed corporations</w:t>
      </w:r>
      <w:r w:rsidRPr="008E1104">
        <w:t xml:space="preserve"> can be regi</w:t>
      </w:r>
      <w:r>
        <w:t>stered and no conversions from c</w:t>
      </w:r>
      <w:r w:rsidRPr="008E1104">
        <w:t xml:space="preserve">ompanies to </w:t>
      </w:r>
      <w:r>
        <w:t>closed corporations</w:t>
      </w:r>
      <w:r w:rsidRPr="008E1104">
        <w:t xml:space="preserve"> will be allowed. However, the existing </w:t>
      </w:r>
      <w:r>
        <w:t>closed corporations</w:t>
      </w:r>
      <w:r w:rsidRPr="008E1104">
        <w:t xml:space="preserve"> will be maintained.</w:t>
      </w:r>
    </w:p>
  </w:footnote>
  <w:footnote w:id="10">
    <w:p w14:paraId="11CAC66F" w14:textId="70350D9F" w:rsidR="00D66738" w:rsidRDefault="00D66738" w:rsidP="00D440B0">
      <w:pPr>
        <w:pStyle w:val="FootnoteText"/>
      </w:pPr>
      <w:r>
        <w:rPr>
          <w:rStyle w:val="FootnoteReference"/>
        </w:rPr>
        <w:footnoteRef/>
      </w:r>
      <w:r>
        <w:t xml:space="preserve"> The public interest score calculation method is explained in Appendix </w:t>
      </w:r>
    </w:p>
  </w:footnote>
  <w:footnote w:id="11">
    <w:p w14:paraId="2B2B4E37" w14:textId="77777777" w:rsidR="00D66738" w:rsidRDefault="00D66738" w:rsidP="00447BF0">
      <w:pPr>
        <w:pStyle w:val="FootnoteText"/>
      </w:pPr>
      <w:r>
        <w:rPr>
          <w:rStyle w:val="FootnoteReference"/>
        </w:rPr>
        <w:footnoteRef/>
      </w:r>
      <w:r>
        <w:t xml:space="preserve"> Business Day (2017)</w:t>
      </w:r>
      <w:r w:rsidRPr="006250F3">
        <w:t xml:space="preserve"> Pravin Gordhan urged to launch a probe into SARS for VAT refund delays</w:t>
      </w:r>
      <w:r>
        <w:t xml:space="preserve">. </w:t>
      </w:r>
      <w:r w:rsidRPr="006250F3">
        <w:t>28 February 2017</w:t>
      </w:r>
      <w:r>
        <w:t xml:space="preserve">; Business day (2017) </w:t>
      </w:r>
      <w:r w:rsidRPr="006250F3">
        <w:t>Why the tax ombudsman wants to probe delayed refunds</w:t>
      </w:r>
      <w:r>
        <w:t>. 13 March 2017.</w:t>
      </w:r>
    </w:p>
    <w:p w14:paraId="37646F2B" w14:textId="77777777" w:rsidR="00D66738" w:rsidRDefault="00D66738" w:rsidP="00447BF0">
      <w:pPr>
        <w:pStyle w:val="FootnoteText"/>
      </w:pPr>
    </w:p>
  </w:footnote>
  <w:footnote w:id="12">
    <w:p w14:paraId="7E735F15" w14:textId="1F165E18" w:rsidR="00D66738" w:rsidRDefault="00D66738">
      <w:pPr>
        <w:pStyle w:val="FootnoteText"/>
      </w:pPr>
      <w:r>
        <w:rPr>
          <w:rStyle w:val="FootnoteReference"/>
        </w:rPr>
        <w:footnoteRef/>
      </w:r>
      <w:r>
        <w:t xml:space="preserve"> Calculated for VAT as companies with turnover of R10 million or less, which equates to around R1 million in pre-tax earnings assuming a margin of around 10%. That is the margin found in Statistics South Africa’s Quarterly Financial Statistics in September 2016 for all small and micro enterprise. </w:t>
      </w:r>
    </w:p>
  </w:footnote>
  <w:footnote w:id="13">
    <w:p w14:paraId="2309A0A3" w14:textId="77777777" w:rsidR="00D66738" w:rsidRDefault="00D66738" w:rsidP="00E41438">
      <w:pPr>
        <w:pStyle w:val="FootnoteText"/>
      </w:pPr>
      <w:r>
        <w:rPr>
          <w:rStyle w:val="FootnoteReference"/>
        </w:rPr>
        <w:footnoteRef/>
      </w:r>
      <w:r>
        <w:t xml:space="preserve"> Some of the tax administration issues have been addressed by the Davis Tax Committee (2016)</w:t>
      </w:r>
    </w:p>
    <w:p w14:paraId="436442CA" w14:textId="77777777" w:rsidR="00D66738" w:rsidRDefault="00D66738" w:rsidP="00E41438">
      <w:pPr>
        <w:pStyle w:val="FootnoteText"/>
      </w:pPr>
      <w:r>
        <w:t>Small and Medium Enterprises: Taxation Considerations, Second and Final Report, April 2016</w:t>
      </w:r>
    </w:p>
  </w:footnote>
  <w:footnote w:id="14">
    <w:p w14:paraId="78631459" w14:textId="77777777" w:rsidR="00D66738" w:rsidRDefault="00D66738" w:rsidP="00E41438">
      <w:pPr>
        <w:pStyle w:val="FootnoteText"/>
      </w:pPr>
      <w:r>
        <w:rPr>
          <w:rStyle w:val="FootnoteReference"/>
        </w:rPr>
        <w:footnoteRef/>
      </w:r>
      <w:r>
        <w:t xml:space="preserve"> An employer who is not</w:t>
      </w:r>
      <w:r w:rsidRPr="00647E65">
        <w:t xml:space="preserve"> required to register with S</w:t>
      </w:r>
      <w:r>
        <w:t>ARS for employees’ tax purposes can apply directly to the Department of Labour.</w:t>
      </w:r>
    </w:p>
  </w:footnote>
  <w:footnote w:id="15">
    <w:p w14:paraId="0C1099CA" w14:textId="77777777" w:rsidR="00D66738" w:rsidRDefault="00D66738" w:rsidP="00E41438">
      <w:pPr>
        <w:pStyle w:val="FootnoteText"/>
      </w:pPr>
      <w:r>
        <w:rPr>
          <w:rStyle w:val="FootnoteReference"/>
        </w:rPr>
        <w:footnoteRef/>
      </w:r>
      <w:r>
        <w:t xml:space="preserve"> This excludes workers who are totally or partially disabled for less than 3 days; domestic workers; anyone receiving military training; members of the South African National Defence Force, or the South African Police Service; any worker guilty of wilful misconduct, unless they are seriously disabled or killed; anyone employed outside the RSA for 12 or more continuous months; and workers working mainly outside the RSA and only temporarily employed in the RSA.</w:t>
      </w:r>
    </w:p>
  </w:footnote>
  <w:footnote w:id="16">
    <w:p w14:paraId="66C2B0FD" w14:textId="34BB074A" w:rsidR="00D66738" w:rsidRDefault="00D66738">
      <w:pPr>
        <w:pStyle w:val="FootnoteText"/>
      </w:pPr>
      <w:r>
        <w:rPr>
          <w:rStyle w:val="FootnoteReference"/>
        </w:rPr>
        <w:footnoteRef/>
      </w:r>
      <w:r>
        <w:t xml:space="preserve"> Calculated from South African Reserve Bank. Interactive data. Series on government procurement of goods and services and the GDP. Downloaded from </w:t>
      </w:r>
      <w:r w:rsidRPr="0065619D">
        <w:t>www.resbank.gov.za</w:t>
      </w:r>
      <w:r>
        <w:t xml:space="preserve"> in April 2017. </w:t>
      </w:r>
    </w:p>
  </w:footnote>
  <w:footnote w:id="17">
    <w:p w14:paraId="0100A5C9" w14:textId="5486A105" w:rsidR="00D66738" w:rsidRDefault="00D66738">
      <w:pPr>
        <w:pStyle w:val="FootnoteText"/>
      </w:pPr>
      <w:r>
        <w:rPr>
          <w:rStyle w:val="FootnoteReference"/>
        </w:rPr>
        <w:footnoteRef/>
      </w:r>
      <w:r>
        <w:t xml:space="preserve"> Calculated from South African Reserve Bank. Interactive dataset. Series on expenditure on goods and services by central government and by provincial governments. Downloaded in April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84FB" w14:textId="3B76D101" w:rsidR="00D66738" w:rsidRDefault="00D66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98C0" w14:textId="583CD693" w:rsidR="00D66738" w:rsidRDefault="00D66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FE47" w14:textId="57142907" w:rsidR="00D66738" w:rsidRDefault="00D66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85B"/>
    <w:multiLevelType w:val="hybridMultilevel"/>
    <w:tmpl w:val="C7582A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11D5270"/>
    <w:multiLevelType w:val="hybridMultilevel"/>
    <w:tmpl w:val="98F67A1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15B2F99"/>
    <w:multiLevelType w:val="hybridMultilevel"/>
    <w:tmpl w:val="855C9E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22B5DEA"/>
    <w:multiLevelType w:val="hybridMultilevel"/>
    <w:tmpl w:val="59D470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2703F97"/>
    <w:multiLevelType w:val="multilevel"/>
    <w:tmpl w:val="DA208368"/>
    <w:lvl w:ilvl="0">
      <w:start w:val="1"/>
      <w:numFmt w:val="bullet"/>
      <w:lvlText w:val=""/>
      <w:lvlJc w:val="left"/>
      <w:pPr>
        <w:ind w:left="36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32D71A4"/>
    <w:multiLevelType w:val="hybridMultilevel"/>
    <w:tmpl w:val="E6B8B5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4D20AA4"/>
    <w:multiLevelType w:val="multilevel"/>
    <w:tmpl w:val="FE2EC08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0E7CBB"/>
    <w:multiLevelType w:val="hybridMultilevel"/>
    <w:tmpl w:val="EED04F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06ED5D2E"/>
    <w:multiLevelType w:val="hybridMultilevel"/>
    <w:tmpl w:val="FF4CCF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7127E92"/>
    <w:multiLevelType w:val="multilevel"/>
    <w:tmpl w:val="50AEADD4"/>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78778A8"/>
    <w:multiLevelType w:val="multilevel"/>
    <w:tmpl w:val="8BFCBA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7B563D3"/>
    <w:multiLevelType w:val="hybridMultilevel"/>
    <w:tmpl w:val="E4C4F0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08751279"/>
    <w:multiLevelType w:val="hybridMultilevel"/>
    <w:tmpl w:val="8AB24D4E"/>
    <w:lvl w:ilvl="0" w:tplc="24728F2C">
      <w:numFmt w:val="bullet"/>
      <w:lvlText w:val="•"/>
      <w:lvlJc w:val="left"/>
      <w:pPr>
        <w:ind w:left="720" w:hanging="720"/>
      </w:pPr>
      <w:rPr>
        <w:rFonts w:ascii="Calibri" w:eastAsia="Calibri" w:hAnsi="Calibri"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097B591D"/>
    <w:multiLevelType w:val="hybridMultilevel"/>
    <w:tmpl w:val="C8D2CAB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099016F4"/>
    <w:multiLevelType w:val="hybridMultilevel"/>
    <w:tmpl w:val="6298CD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0A7C5A53"/>
    <w:multiLevelType w:val="hybridMultilevel"/>
    <w:tmpl w:val="D39480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0ACB4ADB"/>
    <w:multiLevelType w:val="hybridMultilevel"/>
    <w:tmpl w:val="6AEC5C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0AD07698"/>
    <w:multiLevelType w:val="multilevel"/>
    <w:tmpl w:val="9EAA8C86"/>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C083ACE"/>
    <w:multiLevelType w:val="hybridMultilevel"/>
    <w:tmpl w:val="5366E3CE"/>
    <w:lvl w:ilvl="0" w:tplc="10F4B708">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0D55366C"/>
    <w:multiLevelType w:val="hybridMultilevel"/>
    <w:tmpl w:val="3AFA01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0F862F7E"/>
    <w:multiLevelType w:val="hybridMultilevel"/>
    <w:tmpl w:val="4EACA7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0FB71B5F"/>
    <w:multiLevelType w:val="hybridMultilevel"/>
    <w:tmpl w:val="9E606F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10454DBD"/>
    <w:multiLevelType w:val="hybridMultilevel"/>
    <w:tmpl w:val="16E47208"/>
    <w:lvl w:ilvl="0" w:tplc="1C090001">
      <w:start w:val="1"/>
      <w:numFmt w:val="bullet"/>
      <w:lvlText w:val=""/>
      <w:lvlJc w:val="left"/>
      <w:pPr>
        <w:ind w:left="360" w:hanging="360"/>
      </w:pPr>
      <w:rPr>
        <w:rFonts w:ascii="Symbol" w:hAnsi="Symbol" w:hint="default"/>
      </w:rPr>
    </w:lvl>
    <w:lvl w:ilvl="1" w:tplc="CCA20686">
      <w:numFmt w:val="bullet"/>
      <w:lvlText w:val="-"/>
      <w:lvlJc w:val="left"/>
      <w:pPr>
        <w:ind w:left="1080" w:hanging="360"/>
      </w:pPr>
      <w:rPr>
        <w:rFonts w:ascii="Calibri" w:eastAsiaTheme="minorHAnsi" w:hAnsi="Calibri" w:cstheme="minorBidi"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128B0447"/>
    <w:multiLevelType w:val="multilevel"/>
    <w:tmpl w:val="F328EA8E"/>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39B52EB"/>
    <w:multiLevelType w:val="hybridMultilevel"/>
    <w:tmpl w:val="6B284B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13EA251F"/>
    <w:multiLevelType w:val="multilevel"/>
    <w:tmpl w:val="DFF6794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488498A"/>
    <w:multiLevelType w:val="hybridMultilevel"/>
    <w:tmpl w:val="CBF0674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150C1D61"/>
    <w:multiLevelType w:val="hybridMultilevel"/>
    <w:tmpl w:val="7494B8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15B75484"/>
    <w:multiLevelType w:val="hybridMultilevel"/>
    <w:tmpl w:val="2D0819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15B91AEA"/>
    <w:multiLevelType w:val="multilevel"/>
    <w:tmpl w:val="E5A816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2.1"/>
      <w:lvlJc w:val="left"/>
      <w:pPr>
        <w:ind w:left="720" w:hanging="720"/>
      </w:pPr>
      <w:rPr>
        <w:rFonts w:ascii="Calibri" w:hAnsi="Calibri" w:hint="default"/>
        <w:sz w:val="22"/>
      </w:rPr>
    </w:lvl>
    <w:lvl w:ilvl="3">
      <w:start w:val="1"/>
      <w:numFmt w:val="lowerLetter"/>
      <w:pStyle w:val="Heading4"/>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16AE33E1"/>
    <w:multiLevelType w:val="multilevel"/>
    <w:tmpl w:val="52723BD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7373EEC"/>
    <w:multiLevelType w:val="hybridMultilevel"/>
    <w:tmpl w:val="31F4D5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17E55F6D"/>
    <w:multiLevelType w:val="hybridMultilevel"/>
    <w:tmpl w:val="5A2821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185523E1"/>
    <w:multiLevelType w:val="hybridMultilevel"/>
    <w:tmpl w:val="5F34A1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1A4613EE"/>
    <w:multiLevelType w:val="multilevel"/>
    <w:tmpl w:val="EF9A9C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AF3155B"/>
    <w:multiLevelType w:val="multilevel"/>
    <w:tmpl w:val="357C619E"/>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C8F6114"/>
    <w:multiLevelType w:val="hybridMultilevel"/>
    <w:tmpl w:val="2E7CA6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1D004F79"/>
    <w:multiLevelType w:val="hybridMultilevel"/>
    <w:tmpl w:val="2FE0EFC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15:restartNumberingAfterBreak="0">
    <w:nsid w:val="1E0F6437"/>
    <w:multiLevelType w:val="hybridMultilevel"/>
    <w:tmpl w:val="CD828E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1E4030D7"/>
    <w:multiLevelType w:val="hybridMultilevel"/>
    <w:tmpl w:val="C884E3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1F29210F"/>
    <w:multiLevelType w:val="hybridMultilevel"/>
    <w:tmpl w:val="75D262AE"/>
    <w:lvl w:ilvl="0" w:tplc="1C090001">
      <w:start w:val="1"/>
      <w:numFmt w:val="bullet"/>
      <w:lvlText w:val=""/>
      <w:lvlJc w:val="left"/>
      <w:pPr>
        <w:ind w:left="360" w:hanging="360"/>
      </w:pPr>
      <w:rPr>
        <w:rFonts w:ascii="Symbol" w:hAnsi="Symbol" w:hint="default"/>
      </w:rPr>
    </w:lvl>
    <w:lvl w:ilvl="1" w:tplc="263877AC">
      <w:numFmt w:val="bullet"/>
      <w:lvlText w:val="•"/>
      <w:lvlJc w:val="left"/>
      <w:pPr>
        <w:ind w:left="1440" w:hanging="720"/>
      </w:pPr>
      <w:rPr>
        <w:rFonts w:ascii="Calibri" w:eastAsiaTheme="minorHAnsi" w:hAnsi="Calibri" w:cstheme="minorBidi"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1F497A78"/>
    <w:multiLevelType w:val="hybridMultilevel"/>
    <w:tmpl w:val="5D9EDA3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1F4A1280"/>
    <w:multiLevelType w:val="hybridMultilevel"/>
    <w:tmpl w:val="B99659B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1F8B4891"/>
    <w:multiLevelType w:val="hybridMultilevel"/>
    <w:tmpl w:val="29ECB9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15:restartNumberingAfterBreak="0">
    <w:nsid w:val="20922F10"/>
    <w:multiLevelType w:val="hybridMultilevel"/>
    <w:tmpl w:val="61F2FB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15:restartNumberingAfterBreak="0">
    <w:nsid w:val="20F106EE"/>
    <w:multiLevelType w:val="hybridMultilevel"/>
    <w:tmpl w:val="F9EEE6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249D60E7"/>
    <w:multiLevelType w:val="hybridMultilevel"/>
    <w:tmpl w:val="AE0ED6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15:restartNumberingAfterBreak="0">
    <w:nsid w:val="24F874E5"/>
    <w:multiLevelType w:val="multilevel"/>
    <w:tmpl w:val="08A03002"/>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4FB5F32"/>
    <w:multiLevelType w:val="hybridMultilevel"/>
    <w:tmpl w:val="A8C4DE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25DB7F7A"/>
    <w:multiLevelType w:val="hybridMultilevel"/>
    <w:tmpl w:val="8302628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0" w15:restartNumberingAfterBreak="0">
    <w:nsid w:val="26AA77D1"/>
    <w:multiLevelType w:val="multilevel"/>
    <w:tmpl w:val="4DCCE43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D939FB"/>
    <w:multiLevelType w:val="hybridMultilevel"/>
    <w:tmpl w:val="FDF8AB3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2" w15:restartNumberingAfterBreak="0">
    <w:nsid w:val="29444FA1"/>
    <w:multiLevelType w:val="hybridMultilevel"/>
    <w:tmpl w:val="297CD6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15:restartNumberingAfterBreak="0">
    <w:nsid w:val="2A401DA3"/>
    <w:multiLevelType w:val="multilevel"/>
    <w:tmpl w:val="A81E18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A6E6C6E"/>
    <w:multiLevelType w:val="multilevel"/>
    <w:tmpl w:val="F24867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B8E1380"/>
    <w:multiLevelType w:val="hybridMultilevel"/>
    <w:tmpl w:val="7D42ECC6"/>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6" w15:restartNumberingAfterBreak="0">
    <w:nsid w:val="2DC76A13"/>
    <w:multiLevelType w:val="multilevel"/>
    <w:tmpl w:val="5192DC48"/>
    <w:lvl w:ilvl="0">
      <w:start w:val="1"/>
      <w:numFmt w:val="decimal"/>
      <w:pStyle w:val="ListParagraph"/>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301E1AF7"/>
    <w:multiLevelType w:val="hybridMultilevel"/>
    <w:tmpl w:val="5FD83F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8" w15:restartNumberingAfterBreak="0">
    <w:nsid w:val="30864FB5"/>
    <w:multiLevelType w:val="hybridMultilevel"/>
    <w:tmpl w:val="215659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30904125"/>
    <w:multiLevelType w:val="multilevel"/>
    <w:tmpl w:val="115076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2FF1B3C"/>
    <w:multiLevelType w:val="hybridMultilevel"/>
    <w:tmpl w:val="EDE030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3302163C"/>
    <w:multiLevelType w:val="multilevel"/>
    <w:tmpl w:val="8348097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34B12FE"/>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56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33AC0427"/>
    <w:multiLevelType w:val="hybridMultilevel"/>
    <w:tmpl w:val="D8CE07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15:restartNumberingAfterBreak="0">
    <w:nsid w:val="33D939A2"/>
    <w:multiLevelType w:val="multilevel"/>
    <w:tmpl w:val="B8285E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535694C"/>
    <w:multiLevelType w:val="hybridMultilevel"/>
    <w:tmpl w:val="092407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15:restartNumberingAfterBreak="0">
    <w:nsid w:val="35A24BCF"/>
    <w:multiLevelType w:val="multilevel"/>
    <w:tmpl w:val="2CCCEF2E"/>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5F95A7D"/>
    <w:multiLevelType w:val="hybridMultilevel"/>
    <w:tmpl w:val="5D34F68E"/>
    <w:lvl w:ilvl="0" w:tplc="1C090001">
      <w:start w:val="1"/>
      <w:numFmt w:val="bullet"/>
      <w:lvlText w:val=""/>
      <w:lvlJc w:val="left"/>
      <w:pPr>
        <w:ind w:left="360" w:hanging="360"/>
      </w:pPr>
      <w:rPr>
        <w:rFonts w:ascii="Symbol" w:hAnsi="Symbol" w:hint="default"/>
      </w:rPr>
    </w:lvl>
    <w:lvl w:ilvl="1" w:tplc="CCA20686">
      <w:numFmt w:val="bullet"/>
      <w:lvlText w:val="-"/>
      <w:lvlJc w:val="left"/>
      <w:pPr>
        <w:ind w:left="1080" w:hanging="360"/>
      </w:pPr>
      <w:rPr>
        <w:rFonts w:ascii="Calibri" w:eastAsiaTheme="minorHAnsi" w:hAnsi="Calibri" w:cstheme="minorBidi"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8" w15:restartNumberingAfterBreak="0">
    <w:nsid w:val="361C1328"/>
    <w:multiLevelType w:val="multilevel"/>
    <w:tmpl w:val="55784B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2.1"/>
      <w:lvlJc w:val="left"/>
      <w:pPr>
        <w:ind w:left="720" w:hanging="720"/>
      </w:pPr>
      <w:rPr>
        <w:rFonts w:ascii="Calibri" w:hAnsi="Calibri" w:hint="default"/>
        <w:sz w:val="22"/>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36867605"/>
    <w:multiLevelType w:val="multilevel"/>
    <w:tmpl w:val="63786B3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6A0507D"/>
    <w:multiLevelType w:val="hybridMultilevel"/>
    <w:tmpl w:val="459E1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39897E2F"/>
    <w:multiLevelType w:val="hybridMultilevel"/>
    <w:tmpl w:val="2B048B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2" w15:restartNumberingAfterBreak="0">
    <w:nsid w:val="3A23023B"/>
    <w:multiLevelType w:val="hybridMultilevel"/>
    <w:tmpl w:val="8CF8AE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3" w15:restartNumberingAfterBreak="0">
    <w:nsid w:val="3AD4074B"/>
    <w:multiLevelType w:val="hybridMultilevel"/>
    <w:tmpl w:val="DA72D27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4" w15:restartNumberingAfterBreak="0">
    <w:nsid w:val="3D0477FB"/>
    <w:multiLevelType w:val="hybridMultilevel"/>
    <w:tmpl w:val="5524C5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5" w15:restartNumberingAfterBreak="0">
    <w:nsid w:val="3DA779D2"/>
    <w:multiLevelType w:val="hybridMultilevel"/>
    <w:tmpl w:val="874E3F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15:restartNumberingAfterBreak="0">
    <w:nsid w:val="40CE5A4D"/>
    <w:multiLevelType w:val="hybridMultilevel"/>
    <w:tmpl w:val="F3C43B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7" w15:restartNumberingAfterBreak="0">
    <w:nsid w:val="41272774"/>
    <w:multiLevelType w:val="hybridMultilevel"/>
    <w:tmpl w:val="9A124C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8" w15:restartNumberingAfterBreak="0">
    <w:nsid w:val="41A063A7"/>
    <w:multiLevelType w:val="hybridMultilevel"/>
    <w:tmpl w:val="82B838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9" w15:restartNumberingAfterBreak="0">
    <w:nsid w:val="423D6CA0"/>
    <w:multiLevelType w:val="hybridMultilevel"/>
    <w:tmpl w:val="008E8C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44955864"/>
    <w:multiLevelType w:val="hybridMultilevel"/>
    <w:tmpl w:val="E51028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1" w15:restartNumberingAfterBreak="0">
    <w:nsid w:val="453A0D2E"/>
    <w:multiLevelType w:val="hybridMultilevel"/>
    <w:tmpl w:val="3F9E23B6"/>
    <w:lvl w:ilvl="0" w:tplc="1C09000F">
      <w:start w:val="1"/>
      <w:numFmt w:val="decimal"/>
      <w:lvlText w:val="%1."/>
      <w:lvlJc w:val="left"/>
      <w:pPr>
        <w:ind w:left="360" w:hanging="360"/>
      </w:pPr>
    </w:lvl>
    <w:lvl w:ilvl="1" w:tplc="4226F90E">
      <w:start w:val="1"/>
      <w:numFmt w:val="decimal"/>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2" w15:restartNumberingAfterBreak="0">
    <w:nsid w:val="45870EF9"/>
    <w:multiLevelType w:val="hybridMultilevel"/>
    <w:tmpl w:val="2FF66C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3" w15:restartNumberingAfterBreak="0">
    <w:nsid w:val="459656F6"/>
    <w:multiLevelType w:val="hybridMultilevel"/>
    <w:tmpl w:val="D2DCB9AC"/>
    <w:lvl w:ilvl="0" w:tplc="24728F2C">
      <w:numFmt w:val="bullet"/>
      <w:lvlText w:val="•"/>
      <w:lvlJc w:val="left"/>
      <w:pPr>
        <w:ind w:left="720" w:hanging="72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15:restartNumberingAfterBreak="0">
    <w:nsid w:val="469B6141"/>
    <w:multiLevelType w:val="hybridMultilevel"/>
    <w:tmpl w:val="6A34DB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15:restartNumberingAfterBreak="0">
    <w:nsid w:val="47055378"/>
    <w:multiLevelType w:val="hybridMultilevel"/>
    <w:tmpl w:val="EA8CB3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6" w15:restartNumberingAfterBreak="0">
    <w:nsid w:val="481B74D7"/>
    <w:multiLevelType w:val="multilevel"/>
    <w:tmpl w:val="0AD4BE6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88E3AB1"/>
    <w:multiLevelType w:val="hybridMultilevel"/>
    <w:tmpl w:val="C3785B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8" w15:restartNumberingAfterBreak="0">
    <w:nsid w:val="4A2D5761"/>
    <w:multiLevelType w:val="hybridMultilevel"/>
    <w:tmpl w:val="F23477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9" w15:restartNumberingAfterBreak="0">
    <w:nsid w:val="4AA268F6"/>
    <w:multiLevelType w:val="hybridMultilevel"/>
    <w:tmpl w:val="EDD6C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0" w15:restartNumberingAfterBreak="0">
    <w:nsid w:val="4D476F87"/>
    <w:multiLevelType w:val="hybridMultilevel"/>
    <w:tmpl w:val="9DDA48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1" w15:restartNumberingAfterBreak="0">
    <w:nsid w:val="4DAF00D2"/>
    <w:multiLevelType w:val="hybridMultilevel"/>
    <w:tmpl w:val="313E72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2" w15:restartNumberingAfterBreak="0">
    <w:nsid w:val="4E194AC6"/>
    <w:multiLevelType w:val="hybridMultilevel"/>
    <w:tmpl w:val="7EC859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3" w15:restartNumberingAfterBreak="0">
    <w:nsid w:val="4FD27BE9"/>
    <w:multiLevelType w:val="multilevel"/>
    <w:tmpl w:val="0B1A6776"/>
    <w:lvl w:ilvl="0">
      <w:start w:val="8"/>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02E32C0"/>
    <w:multiLevelType w:val="hybridMultilevel"/>
    <w:tmpl w:val="7CEE16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5" w15:restartNumberingAfterBreak="0">
    <w:nsid w:val="529571C4"/>
    <w:multiLevelType w:val="hybridMultilevel"/>
    <w:tmpl w:val="7ADCA8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6" w15:restartNumberingAfterBreak="0">
    <w:nsid w:val="529F6705"/>
    <w:multiLevelType w:val="hybridMultilevel"/>
    <w:tmpl w:val="5366E3CE"/>
    <w:lvl w:ilvl="0" w:tplc="10F4B708">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7" w15:restartNumberingAfterBreak="0">
    <w:nsid w:val="54FA3E1D"/>
    <w:multiLevelType w:val="hybridMultilevel"/>
    <w:tmpl w:val="35FEE0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8" w15:restartNumberingAfterBreak="0">
    <w:nsid w:val="562B7B72"/>
    <w:multiLevelType w:val="hybridMultilevel"/>
    <w:tmpl w:val="3D8212F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9" w15:restartNumberingAfterBreak="0">
    <w:nsid w:val="56A07193"/>
    <w:multiLevelType w:val="hybridMultilevel"/>
    <w:tmpl w:val="AAA4D598"/>
    <w:lvl w:ilvl="0" w:tplc="1C090011">
      <w:start w:val="1"/>
      <w:numFmt w:val="decimal"/>
      <w:lvlText w:val="%1)"/>
      <w:lvlJc w:val="left"/>
      <w:pPr>
        <w:ind w:left="360" w:hanging="360"/>
      </w:pPr>
    </w:lvl>
    <w:lvl w:ilvl="1" w:tplc="1C09000F">
      <w:start w:val="1"/>
      <w:numFmt w:val="decimal"/>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0" w15:restartNumberingAfterBreak="0">
    <w:nsid w:val="576E6E49"/>
    <w:multiLevelType w:val="multilevel"/>
    <w:tmpl w:val="B9A69AB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1000E2"/>
    <w:multiLevelType w:val="hybridMultilevel"/>
    <w:tmpl w:val="287EB39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2" w15:restartNumberingAfterBreak="0">
    <w:nsid w:val="5DBB0BF0"/>
    <w:multiLevelType w:val="hybridMultilevel"/>
    <w:tmpl w:val="4EE074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3" w15:restartNumberingAfterBreak="0">
    <w:nsid w:val="5F214DD2"/>
    <w:multiLevelType w:val="multilevel"/>
    <w:tmpl w:val="88CC8E54"/>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01E35A3"/>
    <w:multiLevelType w:val="hybridMultilevel"/>
    <w:tmpl w:val="D470830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5" w15:restartNumberingAfterBreak="0">
    <w:nsid w:val="60BB2948"/>
    <w:multiLevelType w:val="hybridMultilevel"/>
    <w:tmpl w:val="EB2A56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6" w15:restartNumberingAfterBreak="0">
    <w:nsid w:val="612939DF"/>
    <w:multiLevelType w:val="multilevel"/>
    <w:tmpl w:val="DC4CDA1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18735EA"/>
    <w:multiLevelType w:val="hybridMultilevel"/>
    <w:tmpl w:val="0838C0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8" w15:restartNumberingAfterBreak="0">
    <w:nsid w:val="62FB10E7"/>
    <w:multiLevelType w:val="hybridMultilevel"/>
    <w:tmpl w:val="4D2295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9" w15:restartNumberingAfterBreak="0">
    <w:nsid w:val="632D751C"/>
    <w:multiLevelType w:val="hybridMultilevel"/>
    <w:tmpl w:val="0ECE5B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0" w15:restartNumberingAfterBreak="0">
    <w:nsid w:val="64BD045C"/>
    <w:multiLevelType w:val="multilevel"/>
    <w:tmpl w:val="BF5EE9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5BD3F28"/>
    <w:multiLevelType w:val="hybridMultilevel"/>
    <w:tmpl w:val="2B4A0F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2" w15:restartNumberingAfterBreak="0">
    <w:nsid w:val="66CD108A"/>
    <w:multiLevelType w:val="multilevel"/>
    <w:tmpl w:val="BFE0803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7FF7BFC"/>
    <w:multiLevelType w:val="multilevel"/>
    <w:tmpl w:val="8D321840"/>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heme="minorHAnsi" w:hAnsiTheme="minorHAnsi"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6A5057B2"/>
    <w:multiLevelType w:val="hybridMultilevel"/>
    <w:tmpl w:val="45BA4F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5" w15:restartNumberingAfterBreak="0">
    <w:nsid w:val="6C0F44F3"/>
    <w:multiLevelType w:val="hybridMultilevel"/>
    <w:tmpl w:val="D55823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6" w15:restartNumberingAfterBreak="0">
    <w:nsid w:val="6D076E4A"/>
    <w:multiLevelType w:val="multilevel"/>
    <w:tmpl w:val="A67A306E"/>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D4E1E18"/>
    <w:multiLevelType w:val="hybridMultilevel"/>
    <w:tmpl w:val="8B98F2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8" w15:restartNumberingAfterBreak="0">
    <w:nsid w:val="6D6E664D"/>
    <w:multiLevelType w:val="hybridMultilevel"/>
    <w:tmpl w:val="E0FEF0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9" w15:restartNumberingAfterBreak="0">
    <w:nsid w:val="6E516560"/>
    <w:multiLevelType w:val="hybridMultilevel"/>
    <w:tmpl w:val="DF683D4C"/>
    <w:lvl w:ilvl="0" w:tplc="1C090001">
      <w:start w:val="1"/>
      <w:numFmt w:val="bullet"/>
      <w:lvlText w:val=""/>
      <w:lvlJc w:val="left"/>
      <w:pPr>
        <w:ind w:left="360" w:hanging="360"/>
      </w:pPr>
      <w:rPr>
        <w:rFonts w:ascii="Symbol" w:hAnsi="Symbol"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0" w15:restartNumberingAfterBreak="0">
    <w:nsid w:val="6E700619"/>
    <w:multiLevelType w:val="hybridMultilevel"/>
    <w:tmpl w:val="1ADCF4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1" w15:restartNumberingAfterBreak="0">
    <w:nsid w:val="6E701940"/>
    <w:multiLevelType w:val="hybridMultilevel"/>
    <w:tmpl w:val="E7880B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2" w15:restartNumberingAfterBreak="0">
    <w:nsid w:val="6F0E2C6B"/>
    <w:multiLevelType w:val="hybridMultilevel"/>
    <w:tmpl w:val="64BCE70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3" w15:restartNumberingAfterBreak="0">
    <w:nsid w:val="70960296"/>
    <w:multiLevelType w:val="multilevel"/>
    <w:tmpl w:val="C8FE2CC4"/>
    <w:lvl w:ilvl="0">
      <w:start w:val="1"/>
      <w:numFmt w:val="decimal"/>
      <w:lvlText w:val="%1."/>
      <w:lvlJc w:val="left"/>
      <w:pPr>
        <w:ind w:left="360" w:hanging="360"/>
      </w:pPr>
      <w:rPr>
        <w:rFonts w:hint="default"/>
      </w:rPr>
    </w:lvl>
    <w:lvl w:ilvl="1">
      <w:start w:val="1"/>
      <w:numFmt w:val="none"/>
      <w:lvlRestart w:val="0"/>
      <w:lvlText w:val="3.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0FD7859"/>
    <w:multiLevelType w:val="multilevel"/>
    <w:tmpl w:val="FFF4B6E6"/>
    <w:lvl w:ilvl="0">
      <w:start w:val="1"/>
      <w:numFmt w:val="decimal"/>
      <w:lvlText w:val="%1."/>
      <w:lvlJc w:val="left"/>
      <w:pPr>
        <w:ind w:left="93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36"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528" w:hanging="1800"/>
      </w:pPr>
      <w:rPr>
        <w:rFonts w:hint="default"/>
      </w:rPr>
    </w:lvl>
  </w:abstractNum>
  <w:abstractNum w:abstractNumId="125" w15:restartNumberingAfterBreak="0">
    <w:nsid w:val="71DC6382"/>
    <w:multiLevelType w:val="hybridMultilevel"/>
    <w:tmpl w:val="5E2659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6" w15:restartNumberingAfterBreak="0">
    <w:nsid w:val="73573338"/>
    <w:multiLevelType w:val="hybridMultilevel"/>
    <w:tmpl w:val="39A86E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7" w15:restartNumberingAfterBreak="0">
    <w:nsid w:val="73611FB5"/>
    <w:multiLevelType w:val="hybridMultilevel"/>
    <w:tmpl w:val="29A28D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8" w15:restartNumberingAfterBreak="0">
    <w:nsid w:val="73EE36F1"/>
    <w:multiLevelType w:val="hybridMultilevel"/>
    <w:tmpl w:val="1A50BA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9" w15:restartNumberingAfterBreak="0">
    <w:nsid w:val="744C48BB"/>
    <w:multiLevelType w:val="hybridMultilevel"/>
    <w:tmpl w:val="D98C4F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0" w15:restartNumberingAfterBreak="0">
    <w:nsid w:val="74E25FA3"/>
    <w:multiLevelType w:val="hybridMultilevel"/>
    <w:tmpl w:val="764CC5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1" w15:restartNumberingAfterBreak="0">
    <w:nsid w:val="760F7743"/>
    <w:multiLevelType w:val="hybridMultilevel"/>
    <w:tmpl w:val="4B8454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2" w15:restartNumberingAfterBreak="0">
    <w:nsid w:val="763E740D"/>
    <w:multiLevelType w:val="hybridMultilevel"/>
    <w:tmpl w:val="AD065D7C"/>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3" w15:restartNumberingAfterBreak="0">
    <w:nsid w:val="764742BF"/>
    <w:multiLevelType w:val="hybridMultilevel"/>
    <w:tmpl w:val="ABBCBC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4" w15:restartNumberingAfterBreak="0">
    <w:nsid w:val="76ED2939"/>
    <w:multiLevelType w:val="multilevel"/>
    <w:tmpl w:val="3F3426B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7444475"/>
    <w:multiLevelType w:val="hybridMultilevel"/>
    <w:tmpl w:val="226A8B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6" w15:restartNumberingAfterBreak="0">
    <w:nsid w:val="78D8558E"/>
    <w:multiLevelType w:val="hybridMultilevel"/>
    <w:tmpl w:val="EAF08C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7" w15:restartNumberingAfterBreak="0">
    <w:nsid w:val="79D81A25"/>
    <w:multiLevelType w:val="hybridMultilevel"/>
    <w:tmpl w:val="8AA676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8" w15:restartNumberingAfterBreak="0">
    <w:nsid w:val="7A8C1541"/>
    <w:multiLevelType w:val="hybridMultilevel"/>
    <w:tmpl w:val="1C986916"/>
    <w:lvl w:ilvl="0" w:tplc="CB3C3430">
      <w:start w:val="1"/>
      <w:numFmt w:val="decimal"/>
      <w:lvlText w:val="%1."/>
      <w:lvlJc w:val="left"/>
      <w:pPr>
        <w:ind w:left="360" w:hanging="360"/>
      </w:pPr>
      <w:rPr>
        <w:b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9" w15:restartNumberingAfterBreak="0">
    <w:nsid w:val="7A9A2E81"/>
    <w:multiLevelType w:val="multilevel"/>
    <w:tmpl w:val="1B56159C"/>
    <w:lvl w:ilvl="0">
      <w:start w:val="2"/>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CB748FA"/>
    <w:multiLevelType w:val="hybridMultilevel"/>
    <w:tmpl w:val="B18243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1" w15:restartNumberingAfterBreak="0">
    <w:nsid w:val="7CFD3847"/>
    <w:multiLevelType w:val="hybridMultilevel"/>
    <w:tmpl w:val="7758DF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2" w15:restartNumberingAfterBreak="0">
    <w:nsid w:val="7D655FA1"/>
    <w:multiLevelType w:val="hybridMultilevel"/>
    <w:tmpl w:val="B8F422C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3" w15:restartNumberingAfterBreak="0">
    <w:nsid w:val="7E2D493C"/>
    <w:multiLevelType w:val="hybridMultilevel"/>
    <w:tmpl w:val="A42EF0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6"/>
  </w:num>
  <w:num w:numId="2">
    <w:abstractNumId w:val="56"/>
  </w:num>
  <w:num w:numId="3">
    <w:abstractNumId w:val="56"/>
  </w:num>
  <w:num w:numId="4">
    <w:abstractNumId w:val="113"/>
  </w:num>
  <w:num w:numId="5">
    <w:abstractNumId w:val="65"/>
  </w:num>
  <w:num w:numId="6">
    <w:abstractNumId w:val="126"/>
  </w:num>
  <w:num w:numId="7">
    <w:abstractNumId w:val="12"/>
  </w:num>
  <w:num w:numId="8">
    <w:abstractNumId w:val="4"/>
  </w:num>
  <w:num w:numId="9">
    <w:abstractNumId w:val="8"/>
  </w:num>
  <w:num w:numId="10">
    <w:abstractNumId w:val="2"/>
  </w:num>
  <w:num w:numId="11">
    <w:abstractNumId w:val="1"/>
  </w:num>
  <w:num w:numId="12">
    <w:abstractNumId w:val="131"/>
  </w:num>
  <w:num w:numId="13">
    <w:abstractNumId w:val="11"/>
  </w:num>
  <w:num w:numId="14">
    <w:abstractNumId w:val="129"/>
  </w:num>
  <w:num w:numId="15">
    <w:abstractNumId w:val="102"/>
  </w:num>
  <w:num w:numId="16">
    <w:abstractNumId w:val="108"/>
  </w:num>
  <w:num w:numId="17">
    <w:abstractNumId w:val="28"/>
  </w:num>
  <w:num w:numId="18">
    <w:abstractNumId w:val="85"/>
  </w:num>
  <w:num w:numId="19">
    <w:abstractNumId w:val="62"/>
  </w:num>
  <w:num w:numId="20">
    <w:abstractNumId w:val="107"/>
  </w:num>
  <w:num w:numId="21">
    <w:abstractNumId w:val="58"/>
  </w:num>
  <w:num w:numId="22">
    <w:abstractNumId w:val="57"/>
  </w:num>
  <w:num w:numId="23">
    <w:abstractNumId w:val="78"/>
  </w:num>
  <w:num w:numId="24">
    <w:abstractNumId w:val="101"/>
  </w:num>
  <w:num w:numId="25">
    <w:abstractNumId w:val="42"/>
  </w:num>
  <w:num w:numId="26">
    <w:abstractNumId w:val="37"/>
  </w:num>
  <w:num w:numId="27">
    <w:abstractNumId w:val="19"/>
  </w:num>
  <w:num w:numId="28">
    <w:abstractNumId w:val="49"/>
  </w:num>
  <w:num w:numId="29">
    <w:abstractNumId w:val="52"/>
  </w:num>
  <w:num w:numId="30">
    <w:abstractNumId w:val="135"/>
  </w:num>
  <w:num w:numId="31">
    <w:abstractNumId w:val="79"/>
  </w:num>
  <w:num w:numId="32">
    <w:abstractNumId w:val="133"/>
  </w:num>
  <w:num w:numId="33">
    <w:abstractNumId w:val="16"/>
  </w:num>
  <w:num w:numId="34">
    <w:abstractNumId w:val="31"/>
  </w:num>
  <w:num w:numId="35">
    <w:abstractNumId w:val="80"/>
  </w:num>
  <w:num w:numId="36">
    <w:abstractNumId w:val="104"/>
  </w:num>
  <w:num w:numId="37">
    <w:abstractNumId w:val="0"/>
  </w:num>
  <w:num w:numId="38">
    <w:abstractNumId w:val="45"/>
  </w:num>
  <w:num w:numId="39">
    <w:abstractNumId w:val="24"/>
  </w:num>
  <w:num w:numId="40">
    <w:abstractNumId w:val="77"/>
  </w:num>
  <w:num w:numId="41">
    <w:abstractNumId w:val="63"/>
  </w:num>
  <w:num w:numId="42">
    <w:abstractNumId w:val="21"/>
  </w:num>
  <w:num w:numId="43">
    <w:abstractNumId w:val="5"/>
  </w:num>
  <w:num w:numId="44">
    <w:abstractNumId w:val="136"/>
  </w:num>
  <w:num w:numId="45">
    <w:abstractNumId w:val="130"/>
  </w:num>
  <w:num w:numId="46">
    <w:abstractNumId w:val="122"/>
  </w:num>
  <w:num w:numId="47">
    <w:abstractNumId w:val="84"/>
  </w:num>
  <w:num w:numId="48">
    <w:abstractNumId w:val="87"/>
  </w:num>
  <w:num w:numId="49">
    <w:abstractNumId w:val="138"/>
  </w:num>
  <w:num w:numId="50">
    <w:abstractNumId w:val="94"/>
  </w:num>
  <w:num w:numId="51">
    <w:abstractNumId w:val="22"/>
  </w:num>
  <w:num w:numId="52">
    <w:abstractNumId w:val="67"/>
  </w:num>
  <w:num w:numId="53">
    <w:abstractNumId w:val="55"/>
  </w:num>
  <w:num w:numId="54">
    <w:abstractNumId w:val="119"/>
  </w:num>
  <w:num w:numId="55">
    <w:abstractNumId w:val="128"/>
  </w:num>
  <w:num w:numId="56">
    <w:abstractNumId w:val="76"/>
  </w:num>
  <w:num w:numId="57">
    <w:abstractNumId w:val="91"/>
  </w:num>
  <w:num w:numId="58">
    <w:abstractNumId w:val="14"/>
  </w:num>
  <w:num w:numId="59">
    <w:abstractNumId w:val="29"/>
  </w:num>
  <w:num w:numId="60">
    <w:abstractNumId w:val="98"/>
  </w:num>
  <w:num w:numId="61">
    <w:abstractNumId w:val="125"/>
  </w:num>
  <w:num w:numId="62">
    <w:abstractNumId w:val="40"/>
  </w:num>
  <w:num w:numId="63">
    <w:abstractNumId w:val="81"/>
  </w:num>
  <w:num w:numId="64">
    <w:abstractNumId w:val="26"/>
  </w:num>
  <w:num w:numId="65">
    <w:abstractNumId w:val="95"/>
  </w:num>
  <w:num w:numId="66">
    <w:abstractNumId w:val="32"/>
  </w:num>
  <w:num w:numId="67">
    <w:abstractNumId w:val="97"/>
  </w:num>
  <w:num w:numId="68">
    <w:abstractNumId w:val="15"/>
  </w:num>
  <w:num w:numId="69">
    <w:abstractNumId w:val="27"/>
  </w:num>
  <w:num w:numId="70">
    <w:abstractNumId w:val="75"/>
  </w:num>
  <w:num w:numId="71">
    <w:abstractNumId w:val="90"/>
  </w:num>
  <w:num w:numId="72">
    <w:abstractNumId w:val="121"/>
  </w:num>
  <w:num w:numId="73">
    <w:abstractNumId w:val="43"/>
  </w:num>
  <w:num w:numId="74">
    <w:abstractNumId w:val="83"/>
  </w:num>
  <w:num w:numId="75">
    <w:abstractNumId w:val="36"/>
  </w:num>
  <w:num w:numId="76">
    <w:abstractNumId w:val="142"/>
  </w:num>
  <w:num w:numId="77">
    <w:abstractNumId w:val="143"/>
  </w:num>
  <w:num w:numId="78">
    <w:abstractNumId w:val="89"/>
  </w:num>
  <w:num w:numId="79">
    <w:abstractNumId w:val="92"/>
  </w:num>
  <w:num w:numId="80">
    <w:abstractNumId w:val="137"/>
  </w:num>
  <w:num w:numId="81">
    <w:abstractNumId w:val="141"/>
  </w:num>
  <w:num w:numId="82">
    <w:abstractNumId w:val="7"/>
  </w:num>
  <w:num w:numId="83">
    <w:abstractNumId w:val="20"/>
  </w:num>
  <w:num w:numId="84">
    <w:abstractNumId w:val="39"/>
  </w:num>
  <w:num w:numId="85">
    <w:abstractNumId w:val="70"/>
  </w:num>
  <w:num w:numId="86">
    <w:abstractNumId w:val="60"/>
  </w:num>
  <w:num w:numId="87">
    <w:abstractNumId w:val="117"/>
  </w:num>
  <w:num w:numId="88">
    <w:abstractNumId w:val="13"/>
  </w:num>
  <w:num w:numId="89">
    <w:abstractNumId w:val="109"/>
  </w:num>
  <w:num w:numId="90">
    <w:abstractNumId w:val="114"/>
  </w:num>
  <w:num w:numId="91">
    <w:abstractNumId w:val="71"/>
  </w:num>
  <w:num w:numId="92">
    <w:abstractNumId w:val="46"/>
  </w:num>
  <w:num w:numId="93">
    <w:abstractNumId w:val="140"/>
  </w:num>
  <w:num w:numId="94">
    <w:abstractNumId w:val="120"/>
  </w:num>
  <w:num w:numId="95">
    <w:abstractNumId w:val="44"/>
  </w:num>
  <w:num w:numId="96">
    <w:abstractNumId w:val="41"/>
  </w:num>
  <w:num w:numId="97">
    <w:abstractNumId w:val="73"/>
  </w:num>
  <w:num w:numId="98">
    <w:abstractNumId w:val="127"/>
  </w:num>
  <w:num w:numId="99">
    <w:abstractNumId w:val="88"/>
  </w:num>
  <w:num w:numId="100">
    <w:abstractNumId w:val="51"/>
  </w:num>
  <w:num w:numId="101">
    <w:abstractNumId w:val="74"/>
  </w:num>
  <w:num w:numId="102">
    <w:abstractNumId w:val="111"/>
  </w:num>
  <w:num w:numId="103">
    <w:abstractNumId w:val="33"/>
  </w:num>
  <w:num w:numId="104">
    <w:abstractNumId w:val="72"/>
  </w:num>
  <w:num w:numId="105">
    <w:abstractNumId w:val="82"/>
  </w:num>
  <w:num w:numId="106">
    <w:abstractNumId w:val="48"/>
  </w:num>
  <w:num w:numId="107">
    <w:abstractNumId w:val="115"/>
  </w:num>
  <w:num w:numId="108">
    <w:abstractNumId w:val="118"/>
  </w:num>
  <w:num w:numId="109">
    <w:abstractNumId w:val="105"/>
  </w:num>
  <w:num w:numId="110">
    <w:abstractNumId w:val="3"/>
  </w:num>
  <w:num w:numId="111">
    <w:abstractNumId w:val="124"/>
  </w:num>
  <w:num w:numId="112">
    <w:abstractNumId w:val="123"/>
  </w:num>
  <w:num w:numId="113">
    <w:abstractNumId w:val="106"/>
  </w:num>
  <w:num w:numId="114">
    <w:abstractNumId w:val="99"/>
  </w:num>
  <w:num w:numId="115">
    <w:abstractNumId w:val="18"/>
  </w:num>
  <w:num w:numId="116">
    <w:abstractNumId w:val="110"/>
  </w:num>
  <w:num w:numId="117">
    <w:abstractNumId w:val="59"/>
  </w:num>
  <w:num w:numId="118">
    <w:abstractNumId w:val="96"/>
  </w:num>
  <w:num w:numId="119">
    <w:abstractNumId w:val="53"/>
  </w:num>
  <w:num w:numId="120">
    <w:abstractNumId w:val="139"/>
  </w:num>
  <w:num w:numId="121">
    <w:abstractNumId w:val="116"/>
  </w:num>
  <w:num w:numId="122">
    <w:abstractNumId w:val="23"/>
  </w:num>
  <w:num w:numId="123">
    <w:abstractNumId w:val="69"/>
  </w:num>
  <w:num w:numId="124">
    <w:abstractNumId w:val="64"/>
  </w:num>
  <w:num w:numId="125">
    <w:abstractNumId w:val="47"/>
  </w:num>
  <w:num w:numId="126">
    <w:abstractNumId w:val="6"/>
  </w:num>
  <w:num w:numId="127">
    <w:abstractNumId w:val="54"/>
  </w:num>
  <w:num w:numId="128">
    <w:abstractNumId w:val="34"/>
  </w:num>
  <w:num w:numId="129">
    <w:abstractNumId w:val="86"/>
  </w:num>
  <w:num w:numId="130">
    <w:abstractNumId w:val="61"/>
  </w:num>
  <w:num w:numId="131">
    <w:abstractNumId w:val="68"/>
  </w:num>
  <w:num w:numId="132">
    <w:abstractNumId w:val="66"/>
  </w:num>
  <w:num w:numId="1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0"/>
  </w:num>
  <w:num w:numId="138">
    <w:abstractNumId w:val="17"/>
  </w:num>
  <w:num w:numId="139">
    <w:abstractNumId w:val="103"/>
  </w:num>
  <w:num w:numId="140">
    <w:abstractNumId w:val="100"/>
  </w:num>
  <w:num w:numId="141">
    <w:abstractNumId w:val="3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2"/>
  </w:num>
  <w:num w:numId="143">
    <w:abstractNumId w:val="134"/>
  </w:num>
  <w:num w:numId="144">
    <w:abstractNumId w:val="1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2"/>
  </w:num>
  <w:num w:numId="146">
    <w:abstractNumId w:val="93"/>
  </w:num>
  <w:num w:numId="147">
    <w:abstractNumId w:val="9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0"/>
  </w:num>
  <w:num w:numId="149">
    <w:abstractNumId w:val="25"/>
  </w:num>
  <w:num w:numId="150">
    <w:abstractNumId w:val="10"/>
  </w:num>
  <w:num w:numId="151">
    <w:abstractNumId w:val="3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3C7"/>
    <w:rsid w:val="000041B4"/>
    <w:rsid w:val="00005B83"/>
    <w:rsid w:val="0001647C"/>
    <w:rsid w:val="00023D85"/>
    <w:rsid w:val="000278DA"/>
    <w:rsid w:val="00031BD3"/>
    <w:rsid w:val="000340AF"/>
    <w:rsid w:val="0003532F"/>
    <w:rsid w:val="00035CE9"/>
    <w:rsid w:val="00040603"/>
    <w:rsid w:val="00040675"/>
    <w:rsid w:val="00040AA5"/>
    <w:rsid w:val="00041705"/>
    <w:rsid w:val="00042C2A"/>
    <w:rsid w:val="000468A4"/>
    <w:rsid w:val="000525EE"/>
    <w:rsid w:val="000538CE"/>
    <w:rsid w:val="00054B68"/>
    <w:rsid w:val="00056980"/>
    <w:rsid w:val="00063278"/>
    <w:rsid w:val="0006614A"/>
    <w:rsid w:val="00072B6F"/>
    <w:rsid w:val="000760CD"/>
    <w:rsid w:val="0008095F"/>
    <w:rsid w:val="00083DDA"/>
    <w:rsid w:val="000842B9"/>
    <w:rsid w:val="00086240"/>
    <w:rsid w:val="0009398C"/>
    <w:rsid w:val="000A02FF"/>
    <w:rsid w:val="000A2899"/>
    <w:rsid w:val="000A4171"/>
    <w:rsid w:val="000B0271"/>
    <w:rsid w:val="000B4D1F"/>
    <w:rsid w:val="000B6B25"/>
    <w:rsid w:val="000C2FF3"/>
    <w:rsid w:val="000C6E69"/>
    <w:rsid w:val="000E21DF"/>
    <w:rsid w:val="000E299D"/>
    <w:rsid w:val="000E2A9B"/>
    <w:rsid w:val="000E6740"/>
    <w:rsid w:val="000E7B7E"/>
    <w:rsid w:val="000F04D9"/>
    <w:rsid w:val="000F1C5B"/>
    <w:rsid w:val="000F3700"/>
    <w:rsid w:val="000F5D81"/>
    <w:rsid w:val="00100654"/>
    <w:rsid w:val="00104BB1"/>
    <w:rsid w:val="00110CE9"/>
    <w:rsid w:val="001139E2"/>
    <w:rsid w:val="00114B9A"/>
    <w:rsid w:val="0011777B"/>
    <w:rsid w:val="001177AB"/>
    <w:rsid w:val="001179C3"/>
    <w:rsid w:val="00124104"/>
    <w:rsid w:val="00127FA4"/>
    <w:rsid w:val="001330C7"/>
    <w:rsid w:val="00134374"/>
    <w:rsid w:val="00136C13"/>
    <w:rsid w:val="0013798E"/>
    <w:rsid w:val="00142757"/>
    <w:rsid w:val="00152FC5"/>
    <w:rsid w:val="00155722"/>
    <w:rsid w:val="00161FD4"/>
    <w:rsid w:val="00167650"/>
    <w:rsid w:val="00170B5A"/>
    <w:rsid w:val="001723D3"/>
    <w:rsid w:val="0018365A"/>
    <w:rsid w:val="001903BE"/>
    <w:rsid w:val="001A1284"/>
    <w:rsid w:val="001A3715"/>
    <w:rsid w:val="001A6797"/>
    <w:rsid w:val="001A70FD"/>
    <w:rsid w:val="001A7975"/>
    <w:rsid w:val="001B336C"/>
    <w:rsid w:val="001B6C69"/>
    <w:rsid w:val="001C7EFC"/>
    <w:rsid w:val="001D1A89"/>
    <w:rsid w:val="001D4A03"/>
    <w:rsid w:val="001D5B93"/>
    <w:rsid w:val="001F092F"/>
    <w:rsid w:val="001F3683"/>
    <w:rsid w:val="001F6443"/>
    <w:rsid w:val="001F6BB6"/>
    <w:rsid w:val="002207C9"/>
    <w:rsid w:val="00220ECC"/>
    <w:rsid w:val="00222852"/>
    <w:rsid w:val="00224380"/>
    <w:rsid w:val="00225981"/>
    <w:rsid w:val="00225F34"/>
    <w:rsid w:val="00226CE4"/>
    <w:rsid w:val="002276FA"/>
    <w:rsid w:val="00240665"/>
    <w:rsid w:val="00242726"/>
    <w:rsid w:val="00246CEF"/>
    <w:rsid w:val="00253B28"/>
    <w:rsid w:val="00256C01"/>
    <w:rsid w:val="00263677"/>
    <w:rsid w:val="0026463A"/>
    <w:rsid w:val="00267ACE"/>
    <w:rsid w:val="002867DE"/>
    <w:rsid w:val="00292065"/>
    <w:rsid w:val="002A2F7E"/>
    <w:rsid w:val="002A662F"/>
    <w:rsid w:val="002B345C"/>
    <w:rsid w:val="002B45C8"/>
    <w:rsid w:val="002B45F7"/>
    <w:rsid w:val="002B78BA"/>
    <w:rsid w:val="002B793E"/>
    <w:rsid w:val="002C1E62"/>
    <w:rsid w:val="002C31E2"/>
    <w:rsid w:val="002D06E3"/>
    <w:rsid w:val="002D1D03"/>
    <w:rsid w:val="002D7D09"/>
    <w:rsid w:val="002E2C87"/>
    <w:rsid w:val="002E3205"/>
    <w:rsid w:val="002E3F12"/>
    <w:rsid w:val="002E628C"/>
    <w:rsid w:val="002F418F"/>
    <w:rsid w:val="002F7415"/>
    <w:rsid w:val="002F77DC"/>
    <w:rsid w:val="00304339"/>
    <w:rsid w:val="00325556"/>
    <w:rsid w:val="003368C5"/>
    <w:rsid w:val="003409C1"/>
    <w:rsid w:val="00343F83"/>
    <w:rsid w:val="00347CDD"/>
    <w:rsid w:val="003528C8"/>
    <w:rsid w:val="00365C63"/>
    <w:rsid w:val="003666EB"/>
    <w:rsid w:val="003679CC"/>
    <w:rsid w:val="00367D5D"/>
    <w:rsid w:val="00371AB8"/>
    <w:rsid w:val="00373935"/>
    <w:rsid w:val="0037460E"/>
    <w:rsid w:val="003751A5"/>
    <w:rsid w:val="003764B9"/>
    <w:rsid w:val="0038080E"/>
    <w:rsid w:val="0038373C"/>
    <w:rsid w:val="00384C4F"/>
    <w:rsid w:val="0039396D"/>
    <w:rsid w:val="003949B7"/>
    <w:rsid w:val="0039652D"/>
    <w:rsid w:val="0039780B"/>
    <w:rsid w:val="003A1BFF"/>
    <w:rsid w:val="003A2285"/>
    <w:rsid w:val="003A2506"/>
    <w:rsid w:val="003A6773"/>
    <w:rsid w:val="003A6C5C"/>
    <w:rsid w:val="003A7341"/>
    <w:rsid w:val="003B09F3"/>
    <w:rsid w:val="003C181B"/>
    <w:rsid w:val="003C2F77"/>
    <w:rsid w:val="003C6473"/>
    <w:rsid w:val="003D0BFC"/>
    <w:rsid w:val="003D34B2"/>
    <w:rsid w:val="003D48CF"/>
    <w:rsid w:val="003D4951"/>
    <w:rsid w:val="003D4B29"/>
    <w:rsid w:val="003D4FD3"/>
    <w:rsid w:val="003E055C"/>
    <w:rsid w:val="003E2936"/>
    <w:rsid w:val="003E3D41"/>
    <w:rsid w:val="003E4E65"/>
    <w:rsid w:val="003F01E4"/>
    <w:rsid w:val="003F5599"/>
    <w:rsid w:val="00406E1F"/>
    <w:rsid w:val="00424006"/>
    <w:rsid w:val="004248A8"/>
    <w:rsid w:val="004253AF"/>
    <w:rsid w:val="00426A73"/>
    <w:rsid w:val="00427787"/>
    <w:rsid w:val="00432A78"/>
    <w:rsid w:val="00433005"/>
    <w:rsid w:val="00443A85"/>
    <w:rsid w:val="00443E93"/>
    <w:rsid w:val="00445657"/>
    <w:rsid w:val="00447BF0"/>
    <w:rsid w:val="00453E8C"/>
    <w:rsid w:val="0046121B"/>
    <w:rsid w:val="00464167"/>
    <w:rsid w:val="00470EDC"/>
    <w:rsid w:val="00484979"/>
    <w:rsid w:val="00493691"/>
    <w:rsid w:val="0049756B"/>
    <w:rsid w:val="0049787B"/>
    <w:rsid w:val="004A172A"/>
    <w:rsid w:val="004A24CA"/>
    <w:rsid w:val="004B3335"/>
    <w:rsid w:val="004B5DAA"/>
    <w:rsid w:val="004C003F"/>
    <w:rsid w:val="004C05ED"/>
    <w:rsid w:val="004C300A"/>
    <w:rsid w:val="004C50BE"/>
    <w:rsid w:val="004E22BA"/>
    <w:rsid w:val="004F185F"/>
    <w:rsid w:val="004F2385"/>
    <w:rsid w:val="004F6F60"/>
    <w:rsid w:val="005061D8"/>
    <w:rsid w:val="005062E7"/>
    <w:rsid w:val="00511117"/>
    <w:rsid w:val="00511E59"/>
    <w:rsid w:val="005167C0"/>
    <w:rsid w:val="005202FC"/>
    <w:rsid w:val="00520601"/>
    <w:rsid w:val="00522D77"/>
    <w:rsid w:val="00526175"/>
    <w:rsid w:val="00530DA8"/>
    <w:rsid w:val="00531EA6"/>
    <w:rsid w:val="00532B39"/>
    <w:rsid w:val="00533EE5"/>
    <w:rsid w:val="00533F17"/>
    <w:rsid w:val="005378CE"/>
    <w:rsid w:val="00541E21"/>
    <w:rsid w:val="00542DE0"/>
    <w:rsid w:val="00543C1C"/>
    <w:rsid w:val="00544183"/>
    <w:rsid w:val="00545C2C"/>
    <w:rsid w:val="00550A42"/>
    <w:rsid w:val="0055103F"/>
    <w:rsid w:val="0055477B"/>
    <w:rsid w:val="0055635D"/>
    <w:rsid w:val="00557004"/>
    <w:rsid w:val="00557CFD"/>
    <w:rsid w:val="005606C1"/>
    <w:rsid w:val="00564B60"/>
    <w:rsid w:val="0057402E"/>
    <w:rsid w:val="00574A39"/>
    <w:rsid w:val="005773E0"/>
    <w:rsid w:val="005776B8"/>
    <w:rsid w:val="005815EF"/>
    <w:rsid w:val="00594506"/>
    <w:rsid w:val="005A020D"/>
    <w:rsid w:val="005A3E96"/>
    <w:rsid w:val="005A465A"/>
    <w:rsid w:val="005A5F8A"/>
    <w:rsid w:val="005A630F"/>
    <w:rsid w:val="005B787E"/>
    <w:rsid w:val="005C5610"/>
    <w:rsid w:val="005D2366"/>
    <w:rsid w:val="005D5452"/>
    <w:rsid w:val="005D5A67"/>
    <w:rsid w:val="005E0820"/>
    <w:rsid w:val="005E0CFB"/>
    <w:rsid w:val="005E3A3C"/>
    <w:rsid w:val="005E415B"/>
    <w:rsid w:val="00607BC5"/>
    <w:rsid w:val="00607C10"/>
    <w:rsid w:val="0061072F"/>
    <w:rsid w:val="00610952"/>
    <w:rsid w:val="00612839"/>
    <w:rsid w:val="006231AB"/>
    <w:rsid w:val="00625AF8"/>
    <w:rsid w:val="00625CE6"/>
    <w:rsid w:val="0062622B"/>
    <w:rsid w:val="00637543"/>
    <w:rsid w:val="006441EA"/>
    <w:rsid w:val="00644869"/>
    <w:rsid w:val="00644C05"/>
    <w:rsid w:val="006454CA"/>
    <w:rsid w:val="006507D4"/>
    <w:rsid w:val="00651F12"/>
    <w:rsid w:val="00653E39"/>
    <w:rsid w:val="0065458E"/>
    <w:rsid w:val="0065619D"/>
    <w:rsid w:val="006666AD"/>
    <w:rsid w:val="006666E2"/>
    <w:rsid w:val="006669E1"/>
    <w:rsid w:val="0066736D"/>
    <w:rsid w:val="00674517"/>
    <w:rsid w:val="00674EF2"/>
    <w:rsid w:val="00684A6C"/>
    <w:rsid w:val="006967E8"/>
    <w:rsid w:val="00696E79"/>
    <w:rsid w:val="006A41B7"/>
    <w:rsid w:val="006A61AB"/>
    <w:rsid w:val="006A6473"/>
    <w:rsid w:val="006A7D84"/>
    <w:rsid w:val="006B0356"/>
    <w:rsid w:val="006B2096"/>
    <w:rsid w:val="006B38D8"/>
    <w:rsid w:val="006B3D26"/>
    <w:rsid w:val="006C1759"/>
    <w:rsid w:val="006C6ADD"/>
    <w:rsid w:val="006D4F48"/>
    <w:rsid w:val="006D7A1C"/>
    <w:rsid w:val="006E0B3F"/>
    <w:rsid w:val="006E1AC3"/>
    <w:rsid w:val="006E1B29"/>
    <w:rsid w:val="006E63F2"/>
    <w:rsid w:val="006F2626"/>
    <w:rsid w:val="006F523E"/>
    <w:rsid w:val="006F5AE7"/>
    <w:rsid w:val="00702C8D"/>
    <w:rsid w:val="007047B1"/>
    <w:rsid w:val="00706DD8"/>
    <w:rsid w:val="007242AD"/>
    <w:rsid w:val="00733026"/>
    <w:rsid w:val="00736831"/>
    <w:rsid w:val="00741096"/>
    <w:rsid w:val="00742E09"/>
    <w:rsid w:val="007433BD"/>
    <w:rsid w:val="00746818"/>
    <w:rsid w:val="00753D89"/>
    <w:rsid w:val="007541C5"/>
    <w:rsid w:val="00767E97"/>
    <w:rsid w:val="0077260B"/>
    <w:rsid w:val="00777101"/>
    <w:rsid w:val="00777442"/>
    <w:rsid w:val="007808C2"/>
    <w:rsid w:val="00781252"/>
    <w:rsid w:val="00781C0E"/>
    <w:rsid w:val="00784A97"/>
    <w:rsid w:val="007851A7"/>
    <w:rsid w:val="00790005"/>
    <w:rsid w:val="00790138"/>
    <w:rsid w:val="00791945"/>
    <w:rsid w:val="00793C87"/>
    <w:rsid w:val="00796C67"/>
    <w:rsid w:val="0079760E"/>
    <w:rsid w:val="007A5850"/>
    <w:rsid w:val="007A5C14"/>
    <w:rsid w:val="007B03E4"/>
    <w:rsid w:val="007C20B0"/>
    <w:rsid w:val="007C374C"/>
    <w:rsid w:val="007C46A1"/>
    <w:rsid w:val="007C59D1"/>
    <w:rsid w:val="007C5E93"/>
    <w:rsid w:val="007C6456"/>
    <w:rsid w:val="007D4D35"/>
    <w:rsid w:val="007D52DF"/>
    <w:rsid w:val="007E20A2"/>
    <w:rsid w:val="007E2117"/>
    <w:rsid w:val="007E426E"/>
    <w:rsid w:val="007E5522"/>
    <w:rsid w:val="007E67A7"/>
    <w:rsid w:val="007F0777"/>
    <w:rsid w:val="007F2228"/>
    <w:rsid w:val="007F2335"/>
    <w:rsid w:val="007F3969"/>
    <w:rsid w:val="007F3C52"/>
    <w:rsid w:val="007F5C44"/>
    <w:rsid w:val="007F60FE"/>
    <w:rsid w:val="00803DA3"/>
    <w:rsid w:val="008058E8"/>
    <w:rsid w:val="0081109A"/>
    <w:rsid w:val="00812BB6"/>
    <w:rsid w:val="0081366D"/>
    <w:rsid w:val="008145CB"/>
    <w:rsid w:val="00816DF4"/>
    <w:rsid w:val="0082092E"/>
    <w:rsid w:val="00825AC1"/>
    <w:rsid w:val="00835059"/>
    <w:rsid w:val="00847470"/>
    <w:rsid w:val="0085506E"/>
    <w:rsid w:val="008602B6"/>
    <w:rsid w:val="00861B8C"/>
    <w:rsid w:val="008626A2"/>
    <w:rsid w:val="00873169"/>
    <w:rsid w:val="00874E4F"/>
    <w:rsid w:val="00876660"/>
    <w:rsid w:val="00891686"/>
    <w:rsid w:val="008A3930"/>
    <w:rsid w:val="008A44A6"/>
    <w:rsid w:val="008A44D3"/>
    <w:rsid w:val="008B0C35"/>
    <w:rsid w:val="008B244F"/>
    <w:rsid w:val="008C4A57"/>
    <w:rsid w:val="008D0ABC"/>
    <w:rsid w:val="008E3731"/>
    <w:rsid w:val="008F6320"/>
    <w:rsid w:val="008F7024"/>
    <w:rsid w:val="008F7E89"/>
    <w:rsid w:val="009048CA"/>
    <w:rsid w:val="009052F7"/>
    <w:rsid w:val="0090592B"/>
    <w:rsid w:val="00906CCD"/>
    <w:rsid w:val="00910F08"/>
    <w:rsid w:val="00911994"/>
    <w:rsid w:val="00912A83"/>
    <w:rsid w:val="00912AA0"/>
    <w:rsid w:val="00912E3D"/>
    <w:rsid w:val="00915DBF"/>
    <w:rsid w:val="00927820"/>
    <w:rsid w:val="00935629"/>
    <w:rsid w:val="00935EED"/>
    <w:rsid w:val="0094747D"/>
    <w:rsid w:val="0095239D"/>
    <w:rsid w:val="00952D48"/>
    <w:rsid w:val="0095579A"/>
    <w:rsid w:val="00957744"/>
    <w:rsid w:val="009614DC"/>
    <w:rsid w:val="00965755"/>
    <w:rsid w:val="0097012D"/>
    <w:rsid w:val="00975D1E"/>
    <w:rsid w:val="009777DE"/>
    <w:rsid w:val="00981406"/>
    <w:rsid w:val="00984A4A"/>
    <w:rsid w:val="00992714"/>
    <w:rsid w:val="009930F0"/>
    <w:rsid w:val="009A1654"/>
    <w:rsid w:val="009A3C37"/>
    <w:rsid w:val="009B5BC4"/>
    <w:rsid w:val="009D2E33"/>
    <w:rsid w:val="009E1C2F"/>
    <w:rsid w:val="009E5323"/>
    <w:rsid w:val="009E5582"/>
    <w:rsid w:val="009E742D"/>
    <w:rsid w:val="009F2BC3"/>
    <w:rsid w:val="009F4CBE"/>
    <w:rsid w:val="009F7FD9"/>
    <w:rsid w:val="00A02A0F"/>
    <w:rsid w:val="00A02F3B"/>
    <w:rsid w:val="00A032E2"/>
    <w:rsid w:val="00A041FC"/>
    <w:rsid w:val="00A14824"/>
    <w:rsid w:val="00A215BF"/>
    <w:rsid w:val="00A313C6"/>
    <w:rsid w:val="00A362D2"/>
    <w:rsid w:val="00A41B5A"/>
    <w:rsid w:val="00A4240C"/>
    <w:rsid w:val="00A4658D"/>
    <w:rsid w:val="00A5173F"/>
    <w:rsid w:val="00A557C9"/>
    <w:rsid w:val="00A638D0"/>
    <w:rsid w:val="00A6437C"/>
    <w:rsid w:val="00A703B1"/>
    <w:rsid w:val="00A716FD"/>
    <w:rsid w:val="00A823A9"/>
    <w:rsid w:val="00A857FB"/>
    <w:rsid w:val="00A90B69"/>
    <w:rsid w:val="00A90EB0"/>
    <w:rsid w:val="00A912A4"/>
    <w:rsid w:val="00AA245E"/>
    <w:rsid w:val="00AA3865"/>
    <w:rsid w:val="00AB4530"/>
    <w:rsid w:val="00AB6274"/>
    <w:rsid w:val="00AB7554"/>
    <w:rsid w:val="00AC4421"/>
    <w:rsid w:val="00AD1F35"/>
    <w:rsid w:val="00AD23E9"/>
    <w:rsid w:val="00AE046D"/>
    <w:rsid w:val="00AE6F3E"/>
    <w:rsid w:val="00AF151A"/>
    <w:rsid w:val="00AF2286"/>
    <w:rsid w:val="00AF2629"/>
    <w:rsid w:val="00B00C15"/>
    <w:rsid w:val="00B020B8"/>
    <w:rsid w:val="00B0276E"/>
    <w:rsid w:val="00B02B4D"/>
    <w:rsid w:val="00B05D75"/>
    <w:rsid w:val="00B071B0"/>
    <w:rsid w:val="00B0777C"/>
    <w:rsid w:val="00B1141C"/>
    <w:rsid w:val="00B13429"/>
    <w:rsid w:val="00B144C0"/>
    <w:rsid w:val="00B14753"/>
    <w:rsid w:val="00B14897"/>
    <w:rsid w:val="00B16C10"/>
    <w:rsid w:val="00B24F5F"/>
    <w:rsid w:val="00B40020"/>
    <w:rsid w:val="00B40470"/>
    <w:rsid w:val="00B43B3B"/>
    <w:rsid w:val="00B56FC6"/>
    <w:rsid w:val="00B57E85"/>
    <w:rsid w:val="00B6249D"/>
    <w:rsid w:val="00B635B1"/>
    <w:rsid w:val="00B64DC4"/>
    <w:rsid w:val="00B669D1"/>
    <w:rsid w:val="00B67D2C"/>
    <w:rsid w:val="00B72B52"/>
    <w:rsid w:val="00B82545"/>
    <w:rsid w:val="00B83551"/>
    <w:rsid w:val="00BA6839"/>
    <w:rsid w:val="00BA75DC"/>
    <w:rsid w:val="00BC46DB"/>
    <w:rsid w:val="00BC6959"/>
    <w:rsid w:val="00BD116E"/>
    <w:rsid w:val="00BD2FF9"/>
    <w:rsid w:val="00BD33FA"/>
    <w:rsid w:val="00BD51EE"/>
    <w:rsid w:val="00BD6FDA"/>
    <w:rsid w:val="00BE0E5D"/>
    <w:rsid w:val="00BE1F99"/>
    <w:rsid w:val="00BE52E6"/>
    <w:rsid w:val="00BE6813"/>
    <w:rsid w:val="00BF1243"/>
    <w:rsid w:val="00BF267B"/>
    <w:rsid w:val="00C000DD"/>
    <w:rsid w:val="00C00A97"/>
    <w:rsid w:val="00C06E86"/>
    <w:rsid w:val="00C2005B"/>
    <w:rsid w:val="00C20CE2"/>
    <w:rsid w:val="00C2167C"/>
    <w:rsid w:val="00C31FFC"/>
    <w:rsid w:val="00C37533"/>
    <w:rsid w:val="00C429D2"/>
    <w:rsid w:val="00C51727"/>
    <w:rsid w:val="00C60906"/>
    <w:rsid w:val="00C647B8"/>
    <w:rsid w:val="00C65133"/>
    <w:rsid w:val="00C65C76"/>
    <w:rsid w:val="00C667F5"/>
    <w:rsid w:val="00C72012"/>
    <w:rsid w:val="00C731FB"/>
    <w:rsid w:val="00C8046A"/>
    <w:rsid w:val="00C80917"/>
    <w:rsid w:val="00C83305"/>
    <w:rsid w:val="00C835FB"/>
    <w:rsid w:val="00C85F63"/>
    <w:rsid w:val="00C92520"/>
    <w:rsid w:val="00C92CCB"/>
    <w:rsid w:val="00CA3815"/>
    <w:rsid w:val="00CB07C3"/>
    <w:rsid w:val="00CB1232"/>
    <w:rsid w:val="00CC0F97"/>
    <w:rsid w:val="00CD07DF"/>
    <w:rsid w:val="00CD266F"/>
    <w:rsid w:val="00CD2D59"/>
    <w:rsid w:val="00CD4FF1"/>
    <w:rsid w:val="00CE0352"/>
    <w:rsid w:val="00CE7696"/>
    <w:rsid w:val="00CF67B8"/>
    <w:rsid w:val="00CF7368"/>
    <w:rsid w:val="00D001D0"/>
    <w:rsid w:val="00D0644B"/>
    <w:rsid w:val="00D0695D"/>
    <w:rsid w:val="00D24224"/>
    <w:rsid w:val="00D266D5"/>
    <w:rsid w:val="00D33037"/>
    <w:rsid w:val="00D37D29"/>
    <w:rsid w:val="00D40FDE"/>
    <w:rsid w:val="00D440B0"/>
    <w:rsid w:val="00D5705E"/>
    <w:rsid w:val="00D57249"/>
    <w:rsid w:val="00D63AA1"/>
    <w:rsid w:val="00D66738"/>
    <w:rsid w:val="00D70E17"/>
    <w:rsid w:val="00D7351F"/>
    <w:rsid w:val="00D74947"/>
    <w:rsid w:val="00D7764E"/>
    <w:rsid w:val="00D81F08"/>
    <w:rsid w:val="00D8358C"/>
    <w:rsid w:val="00D87000"/>
    <w:rsid w:val="00D87023"/>
    <w:rsid w:val="00D90295"/>
    <w:rsid w:val="00D9446E"/>
    <w:rsid w:val="00DA0FE8"/>
    <w:rsid w:val="00DB0A74"/>
    <w:rsid w:val="00DB1FB6"/>
    <w:rsid w:val="00DB47DC"/>
    <w:rsid w:val="00DB5580"/>
    <w:rsid w:val="00DB67F4"/>
    <w:rsid w:val="00DB7450"/>
    <w:rsid w:val="00DC2C17"/>
    <w:rsid w:val="00DC3E23"/>
    <w:rsid w:val="00DC5556"/>
    <w:rsid w:val="00DC6ABD"/>
    <w:rsid w:val="00DC761D"/>
    <w:rsid w:val="00DE652F"/>
    <w:rsid w:val="00DE65BA"/>
    <w:rsid w:val="00DF65B4"/>
    <w:rsid w:val="00E02732"/>
    <w:rsid w:val="00E11FA0"/>
    <w:rsid w:val="00E13CEE"/>
    <w:rsid w:val="00E14235"/>
    <w:rsid w:val="00E15E33"/>
    <w:rsid w:val="00E24B5E"/>
    <w:rsid w:val="00E25FB7"/>
    <w:rsid w:val="00E34CEC"/>
    <w:rsid w:val="00E36CED"/>
    <w:rsid w:val="00E41438"/>
    <w:rsid w:val="00E41555"/>
    <w:rsid w:val="00E46DE8"/>
    <w:rsid w:val="00E47A0A"/>
    <w:rsid w:val="00E5099D"/>
    <w:rsid w:val="00E544E8"/>
    <w:rsid w:val="00E57D11"/>
    <w:rsid w:val="00E7462B"/>
    <w:rsid w:val="00E74EF9"/>
    <w:rsid w:val="00E8417C"/>
    <w:rsid w:val="00E907E5"/>
    <w:rsid w:val="00E95449"/>
    <w:rsid w:val="00E95CAE"/>
    <w:rsid w:val="00EA6BA3"/>
    <w:rsid w:val="00EB0702"/>
    <w:rsid w:val="00EB103F"/>
    <w:rsid w:val="00EB1E48"/>
    <w:rsid w:val="00EB7BE7"/>
    <w:rsid w:val="00EB7E13"/>
    <w:rsid w:val="00EC783C"/>
    <w:rsid w:val="00ED000B"/>
    <w:rsid w:val="00ED1298"/>
    <w:rsid w:val="00EE37BA"/>
    <w:rsid w:val="00F03436"/>
    <w:rsid w:val="00F06D4B"/>
    <w:rsid w:val="00F209B7"/>
    <w:rsid w:val="00F257DC"/>
    <w:rsid w:val="00F3485D"/>
    <w:rsid w:val="00F35A8E"/>
    <w:rsid w:val="00F45CD0"/>
    <w:rsid w:val="00F54696"/>
    <w:rsid w:val="00F57302"/>
    <w:rsid w:val="00F57578"/>
    <w:rsid w:val="00F632C8"/>
    <w:rsid w:val="00F63799"/>
    <w:rsid w:val="00F755C8"/>
    <w:rsid w:val="00F85537"/>
    <w:rsid w:val="00F87570"/>
    <w:rsid w:val="00F90382"/>
    <w:rsid w:val="00F9041A"/>
    <w:rsid w:val="00F92EEE"/>
    <w:rsid w:val="00F95547"/>
    <w:rsid w:val="00FA40EE"/>
    <w:rsid w:val="00FA4353"/>
    <w:rsid w:val="00FA6FEC"/>
    <w:rsid w:val="00FB1C31"/>
    <w:rsid w:val="00FB29AA"/>
    <w:rsid w:val="00FC03C7"/>
    <w:rsid w:val="00FC11C0"/>
    <w:rsid w:val="00FC1D03"/>
    <w:rsid w:val="00FC34C3"/>
    <w:rsid w:val="00FC4A46"/>
    <w:rsid w:val="00FD6DCA"/>
    <w:rsid w:val="00FE084E"/>
    <w:rsid w:val="00FE19D4"/>
    <w:rsid w:val="00FE2568"/>
    <w:rsid w:val="00FE2A18"/>
    <w:rsid w:val="00FE4593"/>
    <w:rsid w:val="00FE6E67"/>
    <w:rsid w:val="00FF1BF2"/>
    <w:rsid w:val="00FF35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E85F"/>
  <w15:docId w15:val="{A1DEF7C4-B0C4-46D2-88FD-C38E0FAE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7DE"/>
    <w:pPr>
      <w:spacing w:before="120" w:after="0" w:line="240" w:lineRule="auto"/>
    </w:pPr>
    <w:rPr>
      <w:sz w:val="24"/>
    </w:rPr>
  </w:style>
  <w:style w:type="paragraph" w:styleId="Heading1">
    <w:name w:val="heading 1"/>
    <w:basedOn w:val="Normal"/>
    <w:next w:val="Normal"/>
    <w:link w:val="Heading1Char"/>
    <w:uiPriority w:val="9"/>
    <w:qFormat/>
    <w:rsid w:val="004330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44D3"/>
    <w:pPr>
      <w:keepNext/>
      <w:keepLines/>
      <w:numPr>
        <w:ilvl w:val="1"/>
        <w:numId w:val="120"/>
      </w:numPr>
      <w:spacing w:before="200"/>
      <w:outlineLvl w:val="1"/>
    </w:pPr>
    <w:rPr>
      <w:rFonts w:ascii="Calibri" w:eastAsiaTheme="majorEastAsia" w:hAnsi="Calibri" w:cstheme="majorBidi"/>
      <w:b/>
      <w:bCs/>
      <w:color w:val="1F497D" w:themeColor="text2"/>
      <w:sz w:val="26"/>
      <w:szCs w:val="26"/>
    </w:rPr>
  </w:style>
  <w:style w:type="paragraph" w:styleId="Heading3">
    <w:name w:val="heading 3"/>
    <w:basedOn w:val="Normal"/>
    <w:next w:val="Normal"/>
    <w:link w:val="Heading3Char"/>
    <w:uiPriority w:val="9"/>
    <w:unhideWhenUsed/>
    <w:qFormat/>
    <w:rsid w:val="0061072F"/>
    <w:pPr>
      <w:keepNext/>
      <w:keepLines/>
      <w:numPr>
        <w:ilvl w:val="2"/>
        <w:numId w:val="146"/>
      </w:numPr>
      <w:spacing w:before="200"/>
      <w:outlineLvl w:val="2"/>
    </w:pPr>
    <w:rPr>
      <w:rFonts w:ascii="Calibri" w:eastAsiaTheme="majorEastAsia" w:hAnsi="Calibri" w:cstheme="majorBidi"/>
      <w:b/>
      <w:bCs/>
      <w:color w:val="1F497D" w:themeColor="text2"/>
    </w:rPr>
  </w:style>
  <w:style w:type="paragraph" w:styleId="Heading4">
    <w:name w:val="heading 4"/>
    <w:basedOn w:val="Normal"/>
    <w:next w:val="Normal"/>
    <w:link w:val="Heading4Char"/>
    <w:uiPriority w:val="9"/>
    <w:unhideWhenUsed/>
    <w:qFormat/>
    <w:rsid w:val="00A215BF"/>
    <w:pPr>
      <w:keepNext/>
      <w:keepLines/>
      <w:numPr>
        <w:ilvl w:val="3"/>
        <w:numId w:val="59"/>
      </w:numPr>
      <w:spacing w:before="200"/>
      <w:outlineLvl w:val="3"/>
    </w:pPr>
    <w:rPr>
      <w:rFonts w:ascii="Calibri" w:eastAsiaTheme="majorEastAsia" w:hAnsi="Calibri" w:cstheme="majorBidi"/>
      <w:bCs/>
      <w:i/>
      <w:iCs/>
    </w:rPr>
  </w:style>
  <w:style w:type="paragraph" w:styleId="Heading5">
    <w:name w:val="heading 5"/>
    <w:basedOn w:val="Normal"/>
    <w:next w:val="Normal"/>
    <w:link w:val="Heading5Char"/>
    <w:uiPriority w:val="9"/>
    <w:semiHidden/>
    <w:unhideWhenUsed/>
    <w:qFormat/>
    <w:rsid w:val="00433005"/>
    <w:pPr>
      <w:keepNext/>
      <w:keepLines/>
      <w:numPr>
        <w:ilvl w:val="4"/>
        <w:numId w:val="5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3005"/>
    <w:pPr>
      <w:keepNext/>
      <w:keepLines/>
      <w:numPr>
        <w:ilvl w:val="5"/>
        <w:numId w:val="5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3005"/>
    <w:pPr>
      <w:keepNext/>
      <w:keepLines/>
      <w:numPr>
        <w:ilvl w:val="6"/>
        <w:numId w:val="5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300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300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44D3"/>
    <w:rPr>
      <w:rFonts w:ascii="Calibri" w:eastAsiaTheme="majorEastAsia" w:hAnsi="Calibri" w:cstheme="majorBidi"/>
      <w:b/>
      <w:bCs/>
      <w:color w:val="1F497D" w:themeColor="text2"/>
      <w:sz w:val="26"/>
      <w:szCs w:val="26"/>
    </w:rPr>
  </w:style>
  <w:style w:type="character" w:customStyle="1" w:styleId="Heading3Char">
    <w:name w:val="Heading 3 Char"/>
    <w:basedOn w:val="DefaultParagraphFont"/>
    <w:link w:val="Heading3"/>
    <w:uiPriority w:val="9"/>
    <w:rsid w:val="0061072F"/>
    <w:rPr>
      <w:rFonts w:ascii="Calibri" w:eastAsiaTheme="majorEastAsia" w:hAnsi="Calibri" w:cstheme="majorBidi"/>
      <w:b/>
      <w:bCs/>
      <w:color w:val="1F497D" w:themeColor="text2"/>
      <w:sz w:val="24"/>
    </w:rPr>
  </w:style>
  <w:style w:type="character" w:customStyle="1" w:styleId="Heading4Char">
    <w:name w:val="Heading 4 Char"/>
    <w:basedOn w:val="DefaultParagraphFont"/>
    <w:link w:val="Heading4"/>
    <w:uiPriority w:val="9"/>
    <w:rsid w:val="00A215BF"/>
    <w:rPr>
      <w:rFonts w:ascii="Calibri" w:eastAsiaTheme="majorEastAsia" w:hAnsi="Calibri" w:cstheme="majorBidi"/>
      <w:bCs/>
      <w:i/>
      <w:iCs/>
      <w:sz w:val="24"/>
    </w:rPr>
  </w:style>
  <w:style w:type="character" w:customStyle="1" w:styleId="Heading5Char">
    <w:name w:val="Heading 5 Char"/>
    <w:basedOn w:val="DefaultParagraphFont"/>
    <w:link w:val="Heading5"/>
    <w:uiPriority w:val="9"/>
    <w:semiHidden/>
    <w:rsid w:val="0043300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3300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3300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330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300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330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300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433005"/>
    <w:pPr>
      <w:numPr>
        <w:numId w:val="3"/>
      </w:numPr>
    </w:pPr>
  </w:style>
  <w:style w:type="paragraph" w:customStyle="1" w:styleId="source">
    <w:name w:val="source"/>
    <w:basedOn w:val="Normal"/>
    <w:link w:val="sourceChar"/>
    <w:qFormat/>
    <w:rsid w:val="00433005"/>
    <w:pPr>
      <w:spacing w:before="0"/>
    </w:pPr>
    <w:rPr>
      <w:sz w:val="20"/>
      <w:szCs w:val="20"/>
    </w:rPr>
  </w:style>
  <w:style w:type="character" w:customStyle="1" w:styleId="sourceChar">
    <w:name w:val="source Char"/>
    <w:basedOn w:val="DefaultParagraphFont"/>
    <w:link w:val="source"/>
    <w:rsid w:val="00433005"/>
    <w:rPr>
      <w:sz w:val="20"/>
      <w:szCs w:val="20"/>
    </w:rPr>
  </w:style>
  <w:style w:type="paragraph" w:customStyle="1" w:styleId="Quote1">
    <w:name w:val="Quote1"/>
    <w:basedOn w:val="source"/>
    <w:link w:val="quoteChar"/>
    <w:qFormat/>
    <w:rsid w:val="00433005"/>
    <w:pPr>
      <w:spacing w:before="120"/>
      <w:ind w:left="720"/>
    </w:pPr>
  </w:style>
  <w:style w:type="character" w:customStyle="1" w:styleId="quoteChar">
    <w:name w:val="quote Char"/>
    <w:basedOn w:val="sourceChar"/>
    <w:link w:val="Quote1"/>
    <w:rsid w:val="00433005"/>
    <w:rPr>
      <w:sz w:val="20"/>
      <w:szCs w:val="20"/>
    </w:rPr>
  </w:style>
  <w:style w:type="paragraph" w:customStyle="1" w:styleId="charts">
    <w:name w:val="charts"/>
    <w:basedOn w:val="Normal"/>
    <w:link w:val="chartsChar"/>
    <w:qFormat/>
    <w:rsid w:val="00433005"/>
    <w:pPr>
      <w:keepNext/>
      <w:spacing w:before="0"/>
    </w:pPr>
  </w:style>
  <w:style w:type="character" w:customStyle="1" w:styleId="chartsChar">
    <w:name w:val="charts Char"/>
    <w:basedOn w:val="DefaultParagraphFont"/>
    <w:link w:val="charts"/>
    <w:rsid w:val="00433005"/>
    <w:rPr>
      <w:sz w:val="24"/>
    </w:rPr>
  </w:style>
  <w:style w:type="paragraph" w:customStyle="1" w:styleId="TableofTables">
    <w:name w:val="Table of Tables"/>
    <w:basedOn w:val="Normal"/>
    <w:rsid w:val="0055635D"/>
    <w:pPr>
      <w:spacing w:before="240" w:line="276" w:lineRule="auto"/>
    </w:pPr>
    <w:rPr>
      <w:rFonts w:ascii="Arial Narrow" w:hAnsi="Arial Narrow"/>
      <w:b/>
      <w:sz w:val="22"/>
      <w:lang w:val="en-US"/>
    </w:rPr>
  </w:style>
  <w:style w:type="paragraph" w:customStyle="1" w:styleId="table">
    <w:name w:val="table"/>
    <w:basedOn w:val="Normal"/>
    <w:link w:val="tableChar"/>
    <w:rsid w:val="0055635D"/>
    <w:pPr>
      <w:spacing w:before="0"/>
    </w:pPr>
    <w:rPr>
      <w:lang w:val="en-US"/>
    </w:rPr>
  </w:style>
  <w:style w:type="character" w:customStyle="1" w:styleId="tableChar">
    <w:name w:val="table Char"/>
    <w:basedOn w:val="DefaultParagraphFont"/>
    <w:link w:val="table"/>
    <w:rsid w:val="0055635D"/>
    <w:rPr>
      <w:sz w:val="24"/>
      <w:lang w:val="en-US"/>
    </w:rPr>
  </w:style>
  <w:style w:type="paragraph" w:customStyle="1" w:styleId="STDheading1">
    <w:name w:val="STD heading 1"/>
    <w:basedOn w:val="Normal"/>
    <w:rsid w:val="0055635D"/>
    <w:pPr>
      <w:spacing w:before="0" w:line="360" w:lineRule="auto"/>
      <w:jc w:val="both"/>
    </w:pPr>
    <w:rPr>
      <w:rFonts w:ascii="Arial" w:eastAsiaTheme="minorEastAsia" w:hAnsi="Arial"/>
      <w:b/>
      <w:sz w:val="22"/>
      <w:szCs w:val="24"/>
      <w:lang w:val="en-GB"/>
    </w:rPr>
  </w:style>
  <w:style w:type="paragraph" w:customStyle="1" w:styleId="stdheading2real">
    <w:name w:val="std heading 2 real"/>
    <w:basedOn w:val="STDheading1"/>
    <w:rsid w:val="0055635D"/>
  </w:style>
  <w:style w:type="paragraph" w:styleId="Caption">
    <w:name w:val="caption"/>
    <w:aliases w:val="Stacey_Caption"/>
    <w:basedOn w:val="Normal"/>
    <w:next w:val="Normal"/>
    <w:link w:val="CaptionChar"/>
    <w:uiPriority w:val="35"/>
    <w:unhideWhenUsed/>
    <w:qFormat/>
    <w:rsid w:val="00433005"/>
    <w:pPr>
      <w:keepNext/>
    </w:pPr>
    <w:rPr>
      <w:b/>
      <w:bCs/>
      <w:color w:val="000000" w:themeColor="text1"/>
      <w:szCs w:val="18"/>
    </w:rPr>
  </w:style>
  <w:style w:type="character" w:customStyle="1" w:styleId="CaptionChar">
    <w:name w:val="Caption Char"/>
    <w:aliases w:val="Stacey_Caption Char"/>
    <w:basedOn w:val="DefaultParagraphFont"/>
    <w:link w:val="Caption"/>
    <w:uiPriority w:val="35"/>
    <w:rsid w:val="00433005"/>
    <w:rPr>
      <w:b/>
      <w:bCs/>
      <w:color w:val="000000" w:themeColor="text1"/>
      <w:sz w:val="24"/>
      <w:szCs w:val="18"/>
    </w:rPr>
  </w:style>
  <w:style w:type="paragraph" w:styleId="TableofFigures">
    <w:name w:val="table of figures"/>
    <w:basedOn w:val="Normal"/>
    <w:next w:val="Normal"/>
    <w:uiPriority w:val="99"/>
    <w:unhideWhenUsed/>
    <w:qFormat/>
    <w:rsid w:val="005167C0"/>
    <w:pPr>
      <w:spacing w:before="0"/>
      <w:ind w:left="480" w:hanging="480"/>
    </w:pPr>
    <w:rPr>
      <w:smallCaps/>
      <w:sz w:val="20"/>
      <w:szCs w:val="20"/>
    </w:rPr>
  </w:style>
  <w:style w:type="character" w:customStyle="1" w:styleId="ListParagraphChar">
    <w:name w:val="List Paragraph Char"/>
    <w:basedOn w:val="DefaultParagraphFont"/>
    <w:link w:val="ListParagraph"/>
    <w:uiPriority w:val="34"/>
    <w:locked/>
    <w:rsid w:val="00433005"/>
    <w:rPr>
      <w:sz w:val="24"/>
    </w:rPr>
  </w:style>
  <w:style w:type="numbering" w:customStyle="1" w:styleId="Style1">
    <w:name w:val="Style1"/>
    <w:uiPriority w:val="99"/>
    <w:rsid w:val="00161FD4"/>
    <w:pPr>
      <w:numPr>
        <w:numId w:val="4"/>
      </w:numPr>
    </w:pPr>
  </w:style>
  <w:style w:type="paragraph" w:styleId="FootnoteText">
    <w:name w:val="footnote text"/>
    <w:basedOn w:val="Normal"/>
    <w:link w:val="FootnoteTextChar"/>
    <w:uiPriority w:val="99"/>
    <w:unhideWhenUsed/>
    <w:rsid w:val="00FC03C7"/>
    <w:pPr>
      <w:spacing w:before="0"/>
    </w:pPr>
    <w:rPr>
      <w:sz w:val="20"/>
      <w:szCs w:val="20"/>
    </w:rPr>
  </w:style>
  <w:style w:type="character" w:customStyle="1" w:styleId="FootnoteTextChar">
    <w:name w:val="Footnote Text Char"/>
    <w:basedOn w:val="DefaultParagraphFont"/>
    <w:link w:val="FootnoteText"/>
    <w:uiPriority w:val="99"/>
    <w:rsid w:val="00FC03C7"/>
    <w:rPr>
      <w:sz w:val="20"/>
      <w:szCs w:val="20"/>
    </w:rPr>
  </w:style>
  <w:style w:type="character" w:styleId="FootnoteReference">
    <w:name w:val="footnote reference"/>
    <w:basedOn w:val="DefaultParagraphFont"/>
    <w:uiPriority w:val="99"/>
    <w:semiHidden/>
    <w:unhideWhenUsed/>
    <w:rsid w:val="00FC03C7"/>
    <w:rPr>
      <w:vertAlign w:val="superscript"/>
    </w:rPr>
  </w:style>
  <w:style w:type="character" w:styleId="CommentReference">
    <w:name w:val="annotation reference"/>
    <w:basedOn w:val="DefaultParagraphFont"/>
    <w:uiPriority w:val="99"/>
    <w:semiHidden/>
    <w:unhideWhenUsed/>
    <w:rsid w:val="002B78BA"/>
    <w:rPr>
      <w:sz w:val="16"/>
      <w:szCs w:val="16"/>
    </w:rPr>
  </w:style>
  <w:style w:type="paragraph" w:styleId="CommentText">
    <w:name w:val="annotation text"/>
    <w:basedOn w:val="Normal"/>
    <w:link w:val="CommentTextChar"/>
    <w:uiPriority w:val="99"/>
    <w:unhideWhenUsed/>
    <w:rsid w:val="002B78BA"/>
    <w:pPr>
      <w:spacing w:after="16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B78B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B78B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8BA"/>
    <w:rPr>
      <w:rFonts w:ascii="Tahoma" w:hAnsi="Tahoma" w:cs="Tahoma"/>
      <w:sz w:val="16"/>
      <w:szCs w:val="16"/>
    </w:rPr>
  </w:style>
  <w:style w:type="paragraph" w:styleId="Header">
    <w:name w:val="header"/>
    <w:basedOn w:val="Normal"/>
    <w:link w:val="HeaderChar"/>
    <w:uiPriority w:val="99"/>
    <w:unhideWhenUsed/>
    <w:rsid w:val="007F5C44"/>
    <w:pPr>
      <w:tabs>
        <w:tab w:val="center" w:pos="4513"/>
        <w:tab w:val="right" w:pos="9026"/>
      </w:tabs>
      <w:spacing w:before="0"/>
    </w:pPr>
  </w:style>
  <w:style w:type="character" w:customStyle="1" w:styleId="HeaderChar">
    <w:name w:val="Header Char"/>
    <w:basedOn w:val="DefaultParagraphFont"/>
    <w:link w:val="Header"/>
    <w:uiPriority w:val="99"/>
    <w:rsid w:val="007F5C44"/>
    <w:rPr>
      <w:sz w:val="24"/>
    </w:rPr>
  </w:style>
  <w:style w:type="paragraph" w:styleId="Footer">
    <w:name w:val="footer"/>
    <w:basedOn w:val="Normal"/>
    <w:link w:val="FooterChar"/>
    <w:uiPriority w:val="99"/>
    <w:unhideWhenUsed/>
    <w:rsid w:val="007F5C44"/>
    <w:pPr>
      <w:tabs>
        <w:tab w:val="center" w:pos="4513"/>
        <w:tab w:val="right" w:pos="9026"/>
      </w:tabs>
      <w:spacing w:before="0"/>
    </w:pPr>
  </w:style>
  <w:style w:type="character" w:customStyle="1" w:styleId="FooterChar">
    <w:name w:val="Footer Char"/>
    <w:basedOn w:val="DefaultParagraphFont"/>
    <w:link w:val="Footer"/>
    <w:uiPriority w:val="99"/>
    <w:rsid w:val="007F5C44"/>
    <w:rPr>
      <w:sz w:val="24"/>
    </w:rPr>
  </w:style>
  <w:style w:type="character" w:styleId="Hyperlink">
    <w:name w:val="Hyperlink"/>
    <w:basedOn w:val="DefaultParagraphFont"/>
    <w:uiPriority w:val="99"/>
    <w:unhideWhenUsed/>
    <w:rsid w:val="00304339"/>
    <w:rPr>
      <w:color w:val="0000FF" w:themeColor="hyperlink"/>
      <w:u w:val="single"/>
    </w:rPr>
  </w:style>
  <w:style w:type="table" w:styleId="TableGrid">
    <w:name w:val="Table Grid"/>
    <w:basedOn w:val="TableNormal"/>
    <w:uiPriority w:val="59"/>
    <w:rsid w:val="0055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1438"/>
    <w:pPr>
      <w:spacing w:before="0" w:after="240" w:line="259"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1438"/>
    <w:rPr>
      <w:rFonts w:ascii="Calibri" w:eastAsia="Calibri" w:hAnsi="Calibri" w:cs="Times New Roman"/>
      <w:b/>
      <w:bCs/>
      <w:sz w:val="20"/>
      <w:szCs w:val="20"/>
    </w:rPr>
  </w:style>
  <w:style w:type="table" w:customStyle="1" w:styleId="GridTable4-Accent51">
    <w:name w:val="Grid Table 4 - Accent 51"/>
    <w:basedOn w:val="TableNormal"/>
    <w:uiPriority w:val="49"/>
    <w:rsid w:val="00E4143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OC1">
    <w:name w:val="toc 1"/>
    <w:basedOn w:val="Normal"/>
    <w:next w:val="Normal"/>
    <w:autoRedefine/>
    <w:uiPriority w:val="39"/>
    <w:unhideWhenUsed/>
    <w:rsid w:val="009F2BC3"/>
    <w:pPr>
      <w:spacing w:after="120"/>
    </w:pPr>
    <w:rPr>
      <w:b/>
      <w:bCs/>
      <w:caps/>
      <w:color w:val="000000" w:themeColor="text1"/>
      <w:sz w:val="20"/>
      <w:szCs w:val="20"/>
    </w:rPr>
  </w:style>
  <w:style w:type="table" w:customStyle="1" w:styleId="TableGrid1">
    <w:name w:val="Table Grid1"/>
    <w:basedOn w:val="TableNormal"/>
    <w:next w:val="TableGrid"/>
    <w:uiPriority w:val="59"/>
    <w:rsid w:val="00E4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E41438"/>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3">
    <w:name w:val="toc 3"/>
    <w:basedOn w:val="Normal"/>
    <w:next w:val="Normal"/>
    <w:autoRedefine/>
    <w:uiPriority w:val="39"/>
    <w:unhideWhenUsed/>
    <w:rsid w:val="00E41438"/>
    <w:pPr>
      <w:spacing w:before="0"/>
      <w:ind w:left="480"/>
    </w:pPr>
    <w:rPr>
      <w:i/>
      <w:iCs/>
      <w:sz w:val="20"/>
      <w:szCs w:val="20"/>
    </w:rPr>
  </w:style>
  <w:style w:type="paragraph" w:styleId="TOC2">
    <w:name w:val="toc 2"/>
    <w:basedOn w:val="Normal"/>
    <w:next w:val="Normal"/>
    <w:autoRedefine/>
    <w:uiPriority w:val="39"/>
    <w:unhideWhenUsed/>
    <w:rsid w:val="00E41438"/>
    <w:pPr>
      <w:spacing w:before="0"/>
      <w:ind w:left="240"/>
    </w:pPr>
    <w:rPr>
      <w:smallCaps/>
      <w:sz w:val="20"/>
      <w:szCs w:val="20"/>
    </w:rPr>
  </w:style>
  <w:style w:type="paragraph" w:styleId="TOCHeading">
    <w:name w:val="TOC Heading"/>
    <w:basedOn w:val="Heading1"/>
    <w:next w:val="Normal"/>
    <w:uiPriority w:val="39"/>
    <w:unhideWhenUsed/>
    <w:qFormat/>
    <w:rsid w:val="00E41438"/>
    <w:pPr>
      <w:outlineLvl w:val="9"/>
    </w:pPr>
  </w:style>
  <w:style w:type="character" w:styleId="Strong">
    <w:name w:val="Strong"/>
    <w:basedOn w:val="DefaultParagraphFont"/>
    <w:uiPriority w:val="22"/>
    <w:qFormat/>
    <w:rsid w:val="00E41438"/>
    <w:rPr>
      <w:b/>
      <w:bCs/>
    </w:rPr>
  </w:style>
  <w:style w:type="paragraph" w:customStyle="1" w:styleId="Default">
    <w:name w:val="Default"/>
    <w:rsid w:val="00E41438"/>
    <w:pPr>
      <w:autoSpaceDE w:val="0"/>
      <w:autoSpaceDN w:val="0"/>
      <w:adjustRightInd w:val="0"/>
      <w:spacing w:after="0" w:line="240" w:lineRule="auto"/>
    </w:pPr>
    <w:rPr>
      <w:rFonts w:ascii="Arial" w:hAnsi="Arial" w:cs="Arial"/>
      <w:color w:val="000000"/>
      <w:sz w:val="24"/>
      <w:szCs w:val="24"/>
    </w:rPr>
  </w:style>
  <w:style w:type="table" w:customStyle="1" w:styleId="GridTable5Dark-Accent11">
    <w:name w:val="Grid Table 5 Dark - Accent 11"/>
    <w:basedOn w:val="TableNormal"/>
    <w:uiPriority w:val="50"/>
    <w:rsid w:val="00E414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E4143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E41438"/>
    <w:pPr>
      <w:spacing w:before="100" w:beforeAutospacing="1" w:after="100" w:afterAutospacing="1"/>
    </w:pPr>
    <w:rPr>
      <w:rFonts w:ascii="Times New Roman" w:eastAsia="Times New Roman" w:hAnsi="Times New Roman" w:cs="Times New Roman"/>
      <w:szCs w:val="24"/>
      <w:lang w:eastAsia="en-ZA"/>
    </w:rPr>
  </w:style>
  <w:style w:type="paragraph" w:customStyle="1" w:styleId="TableParagraph">
    <w:name w:val="Table Paragraph"/>
    <w:basedOn w:val="Normal"/>
    <w:uiPriority w:val="1"/>
    <w:rsid w:val="00791945"/>
    <w:pPr>
      <w:widowControl w:val="0"/>
      <w:spacing w:before="0" w:line="206" w:lineRule="exact"/>
      <w:ind w:left="264"/>
    </w:pPr>
    <w:rPr>
      <w:rFonts w:ascii="Calibri" w:eastAsia="Calibri" w:hAnsi="Calibri" w:cs="Calibri"/>
      <w:sz w:val="22"/>
      <w:lang w:val="en-US"/>
    </w:rPr>
  </w:style>
  <w:style w:type="table" w:customStyle="1" w:styleId="GridTable4-Accent52">
    <w:name w:val="Grid Table 4 - Accent 52"/>
    <w:basedOn w:val="TableNormal"/>
    <w:uiPriority w:val="49"/>
    <w:rsid w:val="00D8358C"/>
    <w:pPr>
      <w:spacing w:after="0" w:line="240" w:lineRule="auto"/>
    </w:p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20">
    <w:name w:val="Grid Table 4 - Accent 52"/>
    <w:basedOn w:val="TableNormal"/>
    <w:uiPriority w:val="49"/>
    <w:rsid w:val="00D8358C"/>
    <w:pPr>
      <w:spacing w:after="0" w:line="240" w:lineRule="auto"/>
    </w:p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3">
    <w:name w:val="Grid Table 4 - Accent 53"/>
    <w:basedOn w:val="TableNormal"/>
    <w:uiPriority w:val="49"/>
    <w:rsid w:val="00D8358C"/>
    <w:pPr>
      <w:spacing w:after="0" w:line="240" w:lineRule="auto"/>
    </w:p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itlePage">
    <w:name w:val="Title Page"/>
    <w:rsid w:val="006B0356"/>
    <w:pPr>
      <w:spacing w:after="0" w:line="240" w:lineRule="auto"/>
      <w:jc w:val="center"/>
    </w:pPr>
    <w:rPr>
      <w:rFonts w:ascii="Times New Roman" w:eastAsia="Times New Roman" w:hAnsi="Times New Roman" w:cs="Times New Roman"/>
      <w:sz w:val="24"/>
      <w:szCs w:val="20"/>
      <w:lang w:val="en-US"/>
    </w:rPr>
  </w:style>
  <w:style w:type="table" w:customStyle="1" w:styleId="GridTable4-Accent12">
    <w:name w:val="Grid Table 4 - Accent 12"/>
    <w:basedOn w:val="TableNormal"/>
    <w:uiPriority w:val="49"/>
    <w:rsid w:val="00531EA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0">
    <w:name w:val="Grid Table 4 - Accent 12"/>
    <w:basedOn w:val="TableNormal"/>
    <w:next w:val="GridTable4-Accent12"/>
    <w:uiPriority w:val="49"/>
    <w:rsid w:val="00533F1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4">
    <w:name w:val="toc 4"/>
    <w:basedOn w:val="Normal"/>
    <w:next w:val="Normal"/>
    <w:autoRedefine/>
    <w:uiPriority w:val="39"/>
    <w:unhideWhenUsed/>
    <w:rsid w:val="005167C0"/>
    <w:pPr>
      <w:spacing w:before="0"/>
      <w:ind w:left="720"/>
    </w:pPr>
    <w:rPr>
      <w:sz w:val="18"/>
      <w:szCs w:val="18"/>
    </w:rPr>
  </w:style>
  <w:style w:type="paragraph" w:styleId="TOC5">
    <w:name w:val="toc 5"/>
    <w:basedOn w:val="Normal"/>
    <w:next w:val="Normal"/>
    <w:autoRedefine/>
    <w:uiPriority w:val="39"/>
    <w:unhideWhenUsed/>
    <w:rsid w:val="005167C0"/>
    <w:pPr>
      <w:spacing w:before="0"/>
      <w:ind w:left="960"/>
    </w:pPr>
    <w:rPr>
      <w:sz w:val="18"/>
      <w:szCs w:val="18"/>
    </w:rPr>
  </w:style>
  <w:style w:type="paragraph" w:styleId="TOC6">
    <w:name w:val="toc 6"/>
    <w:basedOn w:val="Normal"/>
    <w:next w:val="Normal"/>
    <w:autoRedefine/>
    <w:uiPriority w:val="39"/>
    <w:unhideWhenUsed/>
    <w:rsid w:val="005167C0"/>
    <w:pPr>
      <w:spacing w:before="0"/>
      <w:ind w:left="1200"/>
    </w:pPr>
    <w:rPr>
      <w:sz w:val="18"/>
      <w:szCs w:val="18"/>
    </w:rPr>
  </w:style>
  <w:style w:type="paragraph" w:styleId="TOC7">
    <w:name w:val="toc 7"/>
    <w:basedOn w:val="Normal"/>
    <w:next w:val="Normal"/>
    <w:autoRedefine/>
    <w:uiPriority w:val="39"/>
    <w:unhideWhenUsed/>
    <w:rsid w:val="005167C0"/>
    <w:pPr>
      <w:spacing w:before="0"/>
      <w:ind w:left="1440"/>
    </w:pPr>
    <w:rPr>
      <w:sz w:val="18"/>
      <w:szCs w:val="18"/>
    </w:rPr>
  </w:style>
  <w:style w:type="paragraph" w:styleId="TOC8">
    <w:name w:val="toc 8"/>
    <w:basedOn w:val="Normal"/>
    <w:next w:val="Normal"/>
    <w:autoRedefine/>
    <w:uiPriority w:val="39"/>
    <w:unhideWhenUsed/>
    <w:rsid w:val="005167C0"/>
    <w:pPr>
      <w:spacing w:before="0"/>
      <w:ind w:left="1680"/>
    </w:pPr>
    <w:rPr>
      <w:sz w:val="18"/>
      <w:szCs w:val="18"/>
    </w:rPr>
  </w:style>
  <w:style w:type="paragraph" w:styleId="TOC9">
    <w:name w:val="toc 9"/>
    <w:basedOn w:val="Normal"/>
    <w:next w:val="Normal"/>
    <w:autoRedefine/>
    <w:uiPriority w:val="39"/>
    <w:unhideWhenUsed/>
    <w:rsid w:val="005167C0"/>
    <w:pPr>
      <w:spacing w:before="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703">
      <w:bodyDiv w:val="1"/>
      <w:marLeft w:val="0"/>
      <w:marRight w:val="0"/>
      <w:marTop w:val="0"/>
      <w:marBottom w:val="0"/>
      <w:divBdr>
        <w:top w:val="none" w:sz="0" w:space="0" w:color="auto"/>
        <w:left w:val="none" w:sz="0" w:space="0" w:color="auto"/>
        <w:bottom w:val="none" w:sz="0" w:space="0" w:color="auto"/>
        <w:right w:val="none" w:sz="0" w:space="0" w:color="auto"/>
      </w:divBdr>
    </w:div>
    <w:div w:id="165872455">
      <w:bodyDiv w:val="1"/>
      <w:marLeft w:val="0"/>
      <w:marRight w:val="0"/>
      <w:marTop w:val="0"/>
      <w:marBottom w:val="0"/>
      <w:divBdr>
        <w:top w:val="none" w:sz="0" w:space="0" w:color="auto"/>
        <w:left w:val="none" w:sz="0" w:space="0" w:color="auto"/>
        <w:bottom w:val="none" w:sz="0" w:space="0" w:color="auto"/>
        <w:right w:val="none" w:sz="0" w:space="0" w:color="auto"/>
      </w:divBdr>
      <w:divsChild>
        <w:div w:id="2126750">
          <w:marLeft w:val="821"/>
          <w:marRight w:val="0"/>
          <w:marTop w:val="86"/>
          <w:marBottom w:val="0"/>
          <w:divBdr>
            <w:top w:val="none" w:sz="0" w:space="0" w:color="auto"/>
            <w:left w:val="none" w:sz="0" w:space="0" w:color="auto"/>
            <w:bottom w:val="none" w:sz="0" w:space="0" w:color="auto"/>
            <w:right w:val="none" w:sz="0" w:space="0" w:color="auto"/>
          </w:divBdr>
        </w:div>
        <w:div w:id="5403579">
          <w:marLeft w:val="821"/>
          <w:marRight w:val="0"/>
          <w:marTop w:val="96"/>
          <w:marBottom w:val="0"/>
          <w:divBdr>
            <w:top w:val="none" w:sz="0" w:space="0" w:color="auto"/>
            <w:left w:val="none" w:sz="0" w:space="0" w:color="auto"/>
            <w:bottom w:val="none" w:sz="0" w:space="0" w:color="auto"/>
            <w:right w:val="none" w:sz="0" w:space="0" w:color="auto"/>
          </w:divBdr>
        </w:div>
        <w:div w:id="25914545">
          <w:marLeft w:val="821"/>
          <w:marRight w:val="0"/>
          <w:marTop w:val="115"/>
          <w:marBottom w:val="0"/>
          <w:divBdr>
            <w:top w:val="none" w:sz="0" w:space="0" w:color="auto"/>
            <w:left w:val="none" w:sz="0" w:space="0" w:color="auto"/>
            <w:bottom w:val="none" w:sz="0" w:space="0" w:color="auto"/>
            <w:right w:val="none" w:sz="0" w:space="0" w:color="auto"/>
          </w:divBdr>
        </w:div>
        <w:div w:id="39020393">
          <w:marLeft w:val="821"/>
          <w:marRight w:val="0"/>
          <w:marTop w:val="115"/>
          <w:marBottom w:val="0"/>
          <w:divBdr>
            <w:top w:val="none" w:sz="0" w:space="0" w:color="auto"/>
            <w:left w:val="none" w:sz="0" w:space="0" w:color="auto"/>
            <w:bottom w:val="none" w:sz="0" w:space="0" w:color="auto"/>
            <w:right w:val="none" w:sz="0" w:space="0" w:color="auto"/>
          </w:divBdr>
        </w:div>
        <w:div w:id="55051420">
          <w:marLeft w:val="1080"/>
          <w:marRight w:val="0"/>
          <w:marTop w:val="86"/>
          <w:marBottom w:val="0"/>
          <w:divBdr>
            <w:top w:val="none" w:sz="0" w:space="0" w:color="auto"/>
            <w:left w:val="none" w:sz="0" w:space="0" w:color="auto"/>
            <w:bottom w:val="none" w:sz="0" w:space="0" w:color="auto"/>
            <w:right w:val="none" w:sz="0" w:space="0" w:color="auto"/>
          </w:divBdr>
        </w:div>
        <w:div w:id="68695061">
          <w:marLeft w:val="360"/>
          <w:marRight w:val="0"/>
          <w:marTop w:val="134"/>
          <w:marBottom w:val="0"/>
          <w:divBdr>
            <w:top w:val="none" w:sz="0" w:space="0" w:color="auto"/>
            <w:left w:val="none" w:sz="0" w:space="0" w:color="auto"/>
            <w:bottom w:val="none" w:sz="0" w:space="0" w:color="auto"/>
            <w:right w:val="none" w:sz="0" w:space="0" w:color="auto"/>
          </w:divBdr>
        </w:div>
        <w:div w:id="74206196">
          <w:marLeft w:val="360"/>
          <w:marRight w:val="0"/>
          <w:marTop w:val="134"/>
          <w:marBottom w:val="0"/>
          <w:divBdr>
            <w:top w:val="none" w:sz="0" w:space="0" w:color="auto"/>
            <w:left w:val="none" w:sz="0" w:space="0" w:color="auto"/>
            <w:bottom w:val="none" w:sz="0" w:space="0" w:color="auto"/>
            <w:right w:val="none" w:sz="0" w:space="0" w:color="auto"/>
          </w:divBdr>
        </w:div>
        <w:div w:id="81338168">
          <w:marLeft w:val="360"/>
          <w:marRight w:val="0"/>
          <w:marTop w:val="134"/>
          <w:marBottom w:val="0"/>
          <w:divBdr>
            <w:top w:val="none" w:sz="0" w:space="0" w:color="auto"/>
            <w:left w:val="none" w:sz="0" w:space="0" w:color="auto"/>
            <w:bottom w:val="none" w:sz="0" w:space="0" w:color="auto"/>
            <w:right w:val="none" w:sz="0" w:space="0" w:color="auto"/>
          </w:divBdr>
        </w:div>
        <w:div w:id="87119696">
          <w:marLeft w:val="360"/>
          <w:marRight w:val="0"/>
          <w:marTop w:val="134"/>
          <w:marBottom w:val="0"/>
          <w:divBdr>
            <w:top w:val="none" w:sz="0" w:space="0" w:color="auto"/>
            <w:left w:val="none" w:sz="0" w:space="0" w:color="auto"/>
            <w:bottom w:val="none" w:sz="0" w:space="0" w:color="auto"/>
            <w:right w:val="none" w:sz="0" w:space="0" w:color="auto"/>
          </w:divBdr>
        </w:div>
        <w:div w:id="96491956">
          <w:marLeft w:val="360"/>
          <w:marRight w:val="0"/>
          <w:marTop w:val="134"/>
          <w:marBottom w:val="0"/>
          <w:divBdr>
            <w:top w:val="none" w:sz="0" w:space="0" w:color="auto"/>
            <w:left w:val="none" w:sz="0" w:space="0" w:color="auto"/>
            <w:bottom w:val="none" w:sz="0" w:space="0" w:color="auto"/>
            <w:right w:val="none" w:sz="0" w:space="0" w:color="auto"/>
          </w:divBdr>
        </w:div>
        <w:div w:id="126627026">
          <w:marLeft w:val="360"/>
          <w:marRight w:val="0"/>
          <w:marTop w:val="134"/>
          <w:marBottom w:val="0"/>
          <w:divBdr>
            <w:top w:val="none" w:sz="0" w:space="0" w:color="auto"/>
            <w:left w:val="none" w:sz="0" w:space="0" w:color="auto"/>
            <w:bottom w:val="none" w:sz="0" w:space="0" w:color="auto"/>
            <w:right w:val="none" w:sz="0" w:space="0" w:color="auto"/>
          </w:divBdr>
        </w:div>
        <w:div w:id="143398309">
          <w:marLeft w:val="821"/>
          <w:marRight w:val="0"/>
          <w:marTop w:val="134"/>
          <w:marBottom w:val="0"/>
          <w:divBdr>
            <w:top w:val="none" w:sz="0" w:space="0" w:color="auto"/>
            <w:left w:val="none" w:sz="0" w:space="0" w:color="auto"/>
            <w:bottom w:val="none" w:sz="0" w:space="0" w:color="auto"/>
            <w:right w:val="none" w:sz="0" w:space="0" w:color="auto"/>
          </w:divBdr>
        </w:div>
        <w:div w:id="152114336">
          <w:marLeft w:val="1080"/>
          <w:marRight w:val="0"/>
          <w:marTop w:val="96"/>
          <w:marBottom w:val="0"/>
          <w:divBdr>
            <w:top w:val="none" w:sz="0" w:space="0" w:color="auto"/>
            <w:left w:val="none" w:sz="0" w:space="0" w:color="auto"/>
            <w:bottom w:val="none" w:sz="0" w:space="0" w:color="auto"/>
            <w:right w:val="none" w:sz="0" w:space="0" w:color="auto"/>
          </w:divBdr>
        </w:div>
        <w:div w:id="152524893">
          <w:marLeft w:val="360"/>
          <w:marRight w:val="0"/>
          <w:marTop w:val="134"/>
          <w:marBottom w:val="0"/>
          <w:divBdr>
            <w:top w:val="none" w:sz="0" w:space="0" w:color="auto"/>
            <w:left w:val="none" w:sz="0" w:space="0" w:color="auto"/>
            <w:bottom w:val="none" w:sz="0" w:space="0" w:color="auto"/>
            <w:right w:val="none" w:sz="0" w:space="0" w:color="auto"/>
          </w:divBdr>
        </w:div>
        <w:div w:id="153306415">
          <w:marLeft w:val="360"/>
          <w:marRight w:val="0"/>
          <w:marTop w:val="134"/>
          <w:marBottom w:val="0"/>
          <w:divBdr>
            <w:top w:val="none" w:sz="0" w:space="0" w:color="auto"/>
            <w:left w:val="none" w:sz="0" w:space="0" w:color="auto"/>
            <w:bottom w:val="none" w:sz="0" w:space="0" w:color="auto"/>
            <w:right w:val="none" w:sz="0" w:space="0" w:color="auto"/>
          </w:divBdr>
        </w:div>
        <w:div w:id="154147985">
          <w:marLeft w:val="360"/>
          <w:marRight w:val="0"/>
          <w:marTop w:val="134"/>
          <w:marBottom w:val="0"/>
          <w:divBdr>
            <w:top w:val="none" w:sz="0" w:space="0" w:color="auto"/>
            <w:left w:val="none" w:sz="0" w:space="0" w:color="auto"/>
            <w:bottom w:val="none" w:sz="0" w:space="0" w:color="auto"/>
            <w:right w:val="none" w:sz="0" w:space="0" w:color="auto"/>
          </w:divBdr>
        </w:div>
        <w:div w:id="164783548">
          <w:marLeft w:val="821"/>
          <w:marRight w:val="0"/>
          <w:marTop w:val="115"/>
          <w:marBottom w:val="0"/>
          <w:divBdr>
            <w:top w:val="none" w:sz="0" w:space="0" w:color="auto"/>
            <w:left w:val="none" w:sz="0" w:space="0" w:color="auto"/>
            <w:bottom w:val="none" w:sz="0" w:space="0" w:color="auto"/>
            <w:right w:val="none" w:sz="0" w:space="0" w:color="auto"/>
          </w:divBdr>
        </w:div>
        <w:div w:id="183635257">
          <w:marLeft w:val="360"/>
          <w:marRight w:val="0"/>
          <w:marTop w:val="96"/>
          <w:marBottom w:val="0"/>
          <w:divBdr>
            <w:top w:val="none" w:sz="0" w:space="0" w:color="auto"/>
            <w:left w:val="none" w:sz="0" w:space="0" w:color="auto"/>
            <w:bottom w:val="none" w:sz="0" w:space="0" w:color="auto"/>
            <w:right w:val="none" w:sz="0" w:space="0" w:color="auto"/>
          </w:divBdr>
        </w:div>
        <w:div w:id="214857829">
          <w:marLeft w:val="821"/>
          <w:marRight w:val="0"/>
          <w:marTop w:val="115"/>
          <w:marBottom w:val="0"/>
          <w:divBdr>
            <w:top w:val="none" w:sz="0" w:space="0" w:color="auto"/>
            <w:left w:val="none" w:sz="0" w:space="0" w:color="auto"/>
            <w:bottom w:val="none" w:sz="0" w:space="0" w:color="auto"/>
            <w:right w:val="none" w:sz="0" w:space="0" w:color="auto"/>
          </w:divBdr>
        </w:div>
        <w:div w:id="217979858">
          <w:marLeft w:val="821"/>
          <w:marRight w:val="0"/>
          <w:marTop w:val="96"/>
          <w:marBottom w:val="0"/>
          <w:divBdr>
            <w:top w:val="none" w:sz="0" w:space="0" w:color="auto"/>
            <w:left w:val="none" w:sz="0" w:space="0" w:color="auto"/>
            <w:bottom w:val="none" w:sz="0" w:space="0" w:color="auto"/>
            <w:right w:val="none" w:sz="0" w:space="0" w:color="auto"/>
          </w:divBdr>
        </w:div>
        <w:div w:id="243609638">
          <w:marLeft w:val="360"/>
          <w:marRight w:val="0"/>
          <w:marTop w:val="134"/>
          <w:marBottom w:val="0"/>
          <w:divBdr>
            <w:top w:val="none" w:sz="0" w:space="0" w:color="auto"/>
            <w:left w:val="none" w:sz="0" w:space="0" w:color="auto"/>
            <w:bottom w:val="none" w:sz="0" w:space="0" w:color="auto"/>
            <w:right w:val="none" w:sz="0" w:space="0" w:color="auto"/>
          </w:divBdr>
        </w:div>
        <w:div w:id="297152692">
          <w:marLeft w:val="821"/>
          <w:marRight w:val="0"/>
          <w:marTop w:val="96"/>
          <w:marBottom w:val="0"/>
          <w:divBdr>
            <w:top w:val="none" w:sz="0" w:space="0" w:color="auto"/>
            <w:left w:val="none" w:sz="0" w:space="0" w:color="auto"/>
            <w:bottom w:val="none" w:sz="0" w:space="0" w:color="auto"/>
            <w:right w:val="none" w:sz="0" w:space="0" w:color="auto"/>
          </w:divBdr>
        </w:div>
        <w:div w:id="315570870">
          <w:marLeft w:val="360"/>
          <w:marRight w:val="0"/>
          <w:marTop w:val="134"/>
          <w:marBottom w:val="0"/>
          <w:divBdr>
            <w:top w:val="none" w:sz="0" w:space="0" w:color="auto"/>
            <w:left w:val="none" w:sz="0" w:space="0" w:color="auto"/>
            <w:bottom w:val="none" w:sz="0" w:space="0" w:color="auto"/>
            <w:right w:val="none" w:sz="0" w:space="0" w:color="auto"/>
          </w:divBdr>
        </w:div>
        <w:div w:id="319508081">
          <w:marLeft w:val="821"/>
          <w:marRight w:val="0"/>
          <w:marTop w:val="86"/>
          <w:marBottom w:val="0"/>
          <w:divBdr>
            <w:top w:val="none" w:sz="0" w:space="0" w:color="auto"/>
            <w:left w:val="none" w:sz="0" w:space="0" w:color="auto"/>
            <w:bottom w:val="none" w:sz="0" w:space="0" w:color="auto"/>
            <w:right w:val="none" w:sz="0" w:space="0" w:color="auto"/>
          </w:divBdr>
        </w:div>
        <w:div w:id="325015254">
          <w:marLeft w:val="821"/>
          <w:marRight w:val="0"/>
          <w:marTop w:val="67"/>
          <w:marBottom w:val="0"/>
          <w:divBdr>
            <w:top w:val="none" w:sz="0" w:space="0" w:color="auto"/>
            <w:left w:val="none" w:sz="0" w:space="0" w:color="auto"/>
            <w:bottom w:val="none" w:sz="0" w:space="0" w:color="auto"/>
            <w:right w:val="none" w:sz="0" w:space="0" w:color="auto"/>
          </w:divBdr>
        </w:div>
        <w:div w:id="330136629">
          <w:marLeft w:val="821"/>
          <w:marRight w:val="0"/>
          <w:marTop w:val="96"/>
          <w:marBottom w:val="0"/>
          <w:divBdr>
            <w:top w:val="none" w:sz="0" w:space="0" w:color="auto"/>
            <w:left w:val="none" w:sz="0" w:space="0" w:color="auto"/>
            <w:bottom w:val="none" w:sz="0" w:space="0" w:color="auto"/>
            <w:right w:val="none" w:sz="0" w:space="0" w:color="auto"/>
          </w:divBdr>
        </w:div>
        <w:div w:id="346757641">
          <w:marLeft w:val="360"/>
          <w:marRight w:val="0"/>
          <w:marTop w:val="134"/>
          <w:marBottom w:val="0"/>
          <w:divBdr>
            <w:top w:val="none" w:sz="0" w:space="0" w:color="auto"/>
            <w:left w:val="none" w:sz="0" w:space="0" w:color="auto"/>
            <w:bottom w:val="none" w:sz="0" w:space="0" w:color="auto"/>
            <w:right w:val="none" w:sz="0" w:space="0" w:color="auto"/>
          </w:divBdr>
        </w:div>
        <w:div w:id="348066397">
          <w:marLeft w:val="360"/>
          <w:marRight w:val="0"/>
          <w:marTop w:val="96"/>
          <w:marBottom w:val="0"/>
          <w:divBdr>
            <w:top w:val="none" w:sz="0" w:space="0" w:color="auto"/>
            <w:left w:val="none" w:sz="0" w:space="0" w:color="auto"/>
            <w:bottom w:val="none" w:sz="0" w:space="0" w:color="auto"/>
            <w:right w:val="none" w:sz="0" w:space="0" w:color="auto"/>
          </w:divBdr>
        </w:div>
        <w:div w:id="348919207">
          <w:marLeft w:val="1080"/>
          <w:marRight w:val="0"/>
          <w:marTop w:val="86"/>
          <w:marBottom w:val="0"/>
          <w:divBdr>
            <w:top w:val="none" w:sz="0" w:space="0" w:color="auto"/>
            <w:left w:val="none" w:sz="0" w:space="0" w:color="auto"/>
            <w:bottom w:val="none" w:sz="0" w:space="0" w:color="auto"/>
            <w:right w:val="none" w:sz="0" w:space="0" w:color="auto"/>
          </w:divBdr>
        </w:div>
        <w:div w:id="356005481">
          <w:marLeft w:val="360"/>
          <w:marRight w:val="0"/>
          <w:marTop w:val="134"/>
          <w:marBottom w:val="0"/>
          <w:divBdr>
            <w:top w:val="none" w:sz="0" w:space="0" w:color="auto"/>
            <w:left w:val="none" w:sz="0" w:space="0" w:color="auto"/>
            <w:bottom w:val="none" w:sz="0" w:space="0" w:color="auto"/>
            <w:right w:val="none" w:sz="0" w:space="0" w:color="auto"/>
          </w:divBdr>
        </w:div>
        <w:div w:id="360404139">
          <w:marLeft w:val="360"/>
          <w:marRight w:val="0"/>
          <w:marTop w:val="115"/>
          <w:marBottom w:val="0"/>
          <w:divBdr>
            <w:top w:val="none" w:sz="0" w:space="0" w:color="auto"/>
            <w:left w:val="none" w:sz="0" w:space="0" w:color="auto"/>
            <w:bottom w:val="none" w:sz="0" w:space="0" w:color="auto"/>
            <w:right w:val="none" w:sz="0" w:space="0" w:color="auto"/>
          </w:divBdr>
        </w:div>
        <w:div w:id="364528292">
          <w:marLeft w:val="360"/>
          <w:marRight w:val="0"/>
          <w:marTop w:val="134"/>
          <w:marBottom w:val="0"/>
          <w:divBdr>
            <w:top w:val="none" w:sz="0" w:space="0" w:color="auto"/>
            <w:left w:val="none" w:sz="0" w:space="0" w:color="auto"/>
            <w:bottom w:val="none" w:sz="0" w:space="0" w:color="auto"/>
            <w:right w:val="none" w:sz="0" w:space="0" w:color="auto"/>
          </w:divBdr>
        </w:div>
        <w:div w:id="370033850">
          <w:marLeft w:val="821"/>
          <w:marRight w:val="0"/>
          <w:marTop w:val="86"/>
          <w:marBottom w:val="0"/>
          <w:divBdr>
            <w:top w:val="none" w:sz="0" w:space="0" w:color="auto"/>
            <w:left w:val="none" w:sz="0" w:space="0" w:color="auto"/>
            <w:bottom w:val="none" w:sz="0" w:space="0" w:color="auto"/>
            <w:right w:val="none" w:sz="0" w:space="0" w:color="auto"/>
          </w:divBdr>
        </w:div>
        <w:div w:id="404495159">
          <w:marLeft w:val="360"/>
          <w:marRight w:val="0"/>
          <w:marTop w:val="134"/>
          <w:marBottom w:val="0"/>
          <w:divBdr>
            <w:top w:val="none" w:sz="0" w:space="0" w:color="auto"/>
            <w:left w:val="none" w:sz="0" w:space="0" w:color="auto"/>
            <w:bottom w:val="none" w:sz="0" w:space="0" w:color="auto"/>
            <w:right w:val="none" w:sz="0" w:space="0" w:color="auto"/>
          </w:divBdr>
        </w:div>
        <w:div w:id="405810717">
          <w:marLeft w:val="821"/>
          <w:marRight w:val="0"/>
          <w:marTop w:val="67"/>
          <w:marBottom w:val="0"/>
          <w:divBdr>
            <w:top w:val="none" w:sz="0" w:space="0" w:color="auto"/>
            <w:left w:val="none" w:sz="0" w:space="0" w:color="auto"/>
            <w:bottom w:val="none" w:sz="0" w:space="0" w:color="auto"/>
            <w:right w:val="none" w:sz="0" w:space="0" w:color="auto"/>
          </w:divBdr>
        </w:div>
        <w:div w:id="408964918">
          <w:marLeft w:val="821"/>
          <w:marRight w:val="0"/>
          <w:marTop w:val="115"/>
          <w:marBottom w:val="0"/>
          <w:divBdr>
            <w:top w:val="none" w:sz="0" w:space="0" w:color="auto"/>
            <w:left w:val="none" w:sz="0" w:space="0" w:color="auto"/>
            <w:bottom w:val="none" w:sz="0" w:space="0" w:color="auto"/>
            <w:right w:val="none" w:sz="0" w:space="0" w:color="auto"/>
          </w:divBdr>
        </w:div>
        <w:div w:id="419329216">
          <w:marLeft w:val="821"/>
          <w:marRight w:val="0"/>
          <w:marTop w:val="115"/>
          <w:marBottom w:val="0"/>
          <w:divBdr>
            <w:top w:val="none" w:sz="0" w:space="0" w:color="auto"/>
            <w:left w:val="none" w:sz="0" w:space="0" w:color="auto"/>
            <w:bottom w:val="none" w:sz="0" w:space="0" w:color="auto"/>
            <w:right w:val="none" w:sz="0" w:space="0" w:color="auto"/>
          </w:divBdr>
        </w:div>
        <w:div w:id="423840922">
          <w:marLeft w:val="360"/>
          <w:marRight w:val="0"/>
          <w:marTop w:val="134"/>
          <w:marBottom w:val="0"/>
          <w:divBdr>
            <w:top w:val="none" w:sz="0" w:space="0" w:color="auto"/>
            <w:left w:val="none" w:sz="0" w:space="0" w:color="auto"/>
            <w:bottom w:val="none" w:sz="0" w:space="0" w:color="auto"/>
            <w:right w:val="none" w:sz="0" w:space="0" w:color="auto"/>
          </w:divBdr>
        </w:div>
        <w:div w:id="434982026">
          <w:marLeft w:val="821"/>
          <w:marRight w:val="0"/>
          <w:marTop w:val="115"/>
          <w:marBottom w:val="0"/>
          <w:divBdr>
            <w:top w:val="none" w:sz="0" w:space="0" w:color="auto"/>
            <w:left w:val="none" w:sz="0" w:space="0" w:color="auto"/>
            <w:bottom w:val="none" w:sz="0" w:space="0" w:color="auto"/>
            <w:right w:val="none" w:sz="0" w:space="0" w:color="auto"/>
          </w:divBdr>
        </w:div>
        <w:div w:id="435370501">
          <w:marLeft w:val="821"/>
          <w:marRight w:val="0"/>
          <w:marTop w:val="96"/>
          <w:marBottom w:val="0"/>
          <w:divBdr>
            <w:top w:val="none" w:sz="0" w:space="0" w:color="auto"/>
            <w:left w:val="none" w:sz="0" w:space="0" w:color="auto"/>
            <w:bottom w:val="none" w:sz="0" w:space="0" w:color="auto"/>
            <w:right w:val="none" w:sz="0" w:space="0" w:color="auto"/>
          </w:divBdr>
        </w:div>
        <w:div w:id="463499095">
          <w:marLeft w:val="821"/>
          <w:marRight w:val="0"/>
          <w:marTop w:val="115"/>
          <w:marBottom w:val="0"/>
          <w:divBdr>
            <w:top w:val="none" w:sz="0" w:space="0" w:color="auto"/>
            <w:left w:val="none" w:sz="0" w:space="0" w:color="auto"/>
            <w:bottom w:val="none" w:sz="0" w:space="0" w:color="auto"/>
            <w:right w:val="none" w:sz="0" w:space="0" w:color="auto"/>
          </w:divBdr>
        </w:div>
        <w:div w:id="468673081">
          <w:marLeft w:val="1080"/>
          <w:marRight w:val="0"/>
          <w:marTop w:val="96"/>
          <w:marBottom w:val="0"/>
          <w:divBdr>
            <w:top w:val="none" w:sz="0" w:space="0" w:color="auto"/>
            <w:left w:val="none" w:sz="0" w:space="0" w:color="auto"/>
            <w:bottom w:val="none" w:sz="0" w:space="0" w:color="auto"/>
            <w:right w:val="none" w:sz="0" w:space="0" w:color="auto"/>
          </w:divBdr>
        </w:div>
        <w:div w:id="470290388">
          <w:marLeft w:val="360"/>
          <w:marRight w:val="0"/>
          <w:marTop w:val="134"/>
          <w:marBottom w:val="0"/>
          <w:divBdr>
            <w:top w:val="none" w:sz="0" w:space="0" w:color="auto"/>
            <w:left w:val="none" w:sz="0" w:space="0" w:color="auto"/>
            <w:bottom w:val="none" w:sz="0" w:space="0" w:color="auto"/>
            <w:right w:val="none" w:sz="0" w:space="0" w:color="auto"/>
          </w:divBdr>
        </w:div>
        <w:div w:id="470513094">
          <w:marLeft w:val="806"/>
          <w:marRight w:val="0"/>
          <w:marTop w:val="134"/>
          <w:marBottom w:val="0"/>
          <w:divBdr>
            <w:top w:val="none" w:sz="0" w:space="0" w:color="auto"/>
            <w:left w:val="none" w:sz="0" w:space="0" w:color="auto"/>
            <w:bottom w:val="none" w:sz="0" w:space="0" w:color="auto"/>
            <w:right w:val="none" w:sz="0" w:space="0" w:color="auto"/>
          </w:divBdr>
        </w:div>
        <w:div w:id="474030906">
          <w:marLeft w:val="1267"/>
          <w:marRight w:val="0"/>
          <w:marTop w:val="115"/>
          <w:marBottom w:val="0"/>
          <w:divBdr>
            <w:top w:val="none" w:sz="0" w:space="0" w:color="auto"/>
            <w:left w:val="none" w:sz="0" w:space="0" w:color="auto"/>
            <w:bottom w:val="none" w:sz="0" w:space="0" w:color="auto"/>
            <w:right w:val="none" w:sz="0" w:space="0" w:color="auto"/>
          </w:divBdr>
        </w:div>
        <w:div w:id="481116603">
          <w:marLeft w:val="1080"/>
          <w:marRight w:val="0"/>
          <w:marTop w:val="67"/>
          <w:marBottom w:val="0"/>
          <w:divBdr>
            <w:top w:val="none" w:sz="0" w:space="0" w:color="auto"/>
            <w:left w:val="none" w:sz="0" w:space="0" w:color="auto"/>
            <w:bottom w:val="none" w:sz="0" w:space="0" w:color="auto"/>
            <w:right w:val="none" w:sz="0" w:space="0" w:color="auto"/>
          </w:divBdr>
        </w:div>
        <w:div w:id="483425636">
          <w:marLeft w:val="360"/>
          <w:marRight w:val="0"/>
          <w:marTop w:val="134"/>
          <w:marBottom w:val="0"/>
          <w:divBdr>
            <w:top w:val="none" w:sz="0" w:space="0" w:color="auto"/>
            <w:left w:val="none" w:sz="0" w:space="0" w:color="auto"/>
            <w:bottom w:val="none" w:sz="0" w:space="0" w:color="auto"/>
            <w:right w:val="none" w:sz="0" w:space="0" w:color="auto"/>
          </w:divBdr>
        </w:div>
        <w:div w:id="495220657">
          <w:marLeft w:val="821"/>
          <w:marRight w:val="0"/>
          <w:marTop w:val="96"/>
          <w:marBottom w:val="0"/>
          <w:divBdr>
            <w:top w:val="none" w:sz="0" w:space="0" w:color="auto"/>
            <w:left w:val="none" w:sz="0" w:space="0" w:color="auto"/>
            <w:bottom w:val="none" w:sz="0" w:space="0" w:color="auto"/>
            <w:right w:val="none" w:sz="0" w:space="0" w:color="auto"/>
          </w:divBdr>
        </w:div>
        <w:div w:id="502550344">
          <w:marLeft w:val="821"/>
          <w:marRight w:val="0"/>
          <w:marTop w:val="96"/>
          <w:marBottom w:val="0"/>
          <w:divBdr>
            <w:top w:val="none" w:sz="0" w:space="0" w:color="auto"/>
            <w:left w:val="none" w:sz="0" w:space="0" w:color="auto"/>
            <w:bottom w:val="none" w:sz="0" w:space="0" w:color="auto"/>
            <w:right w:val="none" w:sz="0" w:space="0" w:color="auto"/>
          </w:divBdr>
        </w:div>
        <w:div w:id="502940098">
          <w:marLeft w:val="821"/>
          <w:marRight w:val="0"/>
          <w:marTop w:val="86"/>
          <w:marBottom w:val="0"/>
          <w:divBdr>
            <w:top w:val="none" w:sz="0" w:space="0" w:color="auto"/>
            <w:left w:val="none" w:sz="0" w:space="0" w:color="auto"/>
            <w:bottom w:val="none" w:sz="0" w:space="0" w:color="auto"/>
            <w:right w:val="none" w:sz="0" w:space="0" w:color="auto"/>
          </w:divBdr>
        </w:div>
        <w:div w:id="521822753">
          <w:marLeft w:val="360"/>
          <w:marRight w:val="0"/>
          <w:marTop w:val="115"/>
          <w:marBottom w:val="0"/>
          <w:divBdr>
            <w:top w:val="none" w:sz="0" w:space="0" w:color="auto"/>
            <w:left w:val="none" w:sz="0" w:space="0" w:color="auto"/>
            <w:bottom w:val="none" w:sz="0" w:space="0" w:color="auto"/>
            <w:right w:val="none" w:sz="0" w:space="0" w:color="auto"/>
          </w:divBdr>
        </w:div>
        <w:div w:id="545411305">
          <w:marLeft w:val="1267"/>
          <w:marRight w:val="0"/>
          <w:marTop w:val="115"/>
          <w:marBottom w:val="0"/>
          <w:divBdr>
            <w:top w:val="none" w:sz="0" w:space="0" w:color="auto"/>
            <w:left w:val="none" w:sz="0" w:space="0" w:color="auto"/>
            <w:bottom w:val="none" w:sz="0" w:space="0" w:color="auto"/>
            <w:right w:val="none" w:sz="0" w:space="0" w:color="auto"/>
          </w:divBdr>
        </w:div>
        <w:div w:id="552348756">
          <w:marLeft w:val="821"/>
          <w:marRight w:val="0"/>
          <w:marTop w:val="96"/>
          <w:marBottom w:val="0"/>
          <w:divBdr>
            <w:top w:val="none" w:sz="0" w:space="0" w:color="auto"/>
            <w:left w:val="none" w:sz="0" w:space="0" w:color="auto"/>
            <w:bottom w:val="none" w:sz="0" w:space="0" w:color="auto"/>
            <w:right w:val="none" w:sz="0" w:space="0" w:color="auto"/>
          </w:divBdr>
        </w:div>
        <w:div w:id="557591025">
          <w:marLeft w:val="1080"/>
          <w:marRight w:val="0"/>
          <w:marTop w:val="77"/>
          <w:marBottom w:val="0"/>
          <w:divBdr>
            <w:top w:val="none" w:sz="0" w:space="0" w:color="auto"/>
            <w:left w:val="none" w:sz="0" w:space="0" w:color="auto"/>
            <w:bottom w:val="none" w:sz="0" w:space="0" w:color="auto"/>
            <w:right w:val="none" w:sz="0" w:space="0" w:color="auto"/>
          </w:divBdr>
        </w:div>
        <w:div w:id="564754664">
          <w:marLeft w:val="360"/>
          <w:marRight w:val="0"/>
          <w:marTop w:val="134"/>
          <w:marBottom w:val="0"/>
          <w:divBdr>
            <w:top w:val="none" w:sz="0" w:space="0" w:color="auto"/>
            <w:left w:val="none" w:sz="0" w:space="0" w:color="auto"/>
            <w:bottom w:val="none" w:sz="0" w:space="0" w:color="auto"/>
            <w:right w:val="none" w:sz="0" w:space="0" w:color="auto"/>
          </w:divBdr>
        </w:div>
        <w:div w:id="570578293">
          <w:marLeft w:val="360"/>
          <w:marRight w:val="0"/>
          <w:marTop w:val="134"/>
          <w:marBottom w:val="0"/>
          <w:divBdr>
            <w:top w:val="none" w:sz="0" w:space="0" w:color="auto"/>
            <w:left w:val="none" w:sz="0" w:space="0" w:color="auto"/>
            <w:bottom w:val="none" w:sz="0" w:space="0" w:color="auto"/>
            <w:right w:val="none" w:sz="0" w:space="0" w:color="auto"/>
          </w:divBdr>
        </w:div>
        <w:div w:id="571891793">
          <w:marLeft w:val="821"/>
          <w:marRight w:val="0"/>
          <w:marTop w:val="96"/>
          <w:marBottom w:val="0"/>
          <w:divBdr>
            <w:top w:val="none" w:sz="0" w:space="0" w:color="auto"/>
            <w:left w:val="none" w:sz="0" w:space="0" w:color="auto"/>
            <w:bottom w:val="none" w:sz="0" w:space="0" w:color="auto"/>
            <w:right w:val="none" w:sz="0" w:space="0" w:color="auto"/>
          </w:divBdr>
        </w:div>
        <w:div w:id="577910017">
          <w:marLeft w:val="360"/>
          <w:marRight w:val="0"/>
          <w:marTop w:val="134"/>
          <w:marBottom w:val="0"/>
          <w:divBdr>
            <w:top w:val="none" w:sz="0" w:space="0" w:color="auto"/>
            <w:left w:val="none" w:sz="0" w:space="0" w:color="auto"/>
            <w:bottom w:val="none" w:sz="0" w:space="0" w:color="auto"/>
            <w:right w:val="none" w:sz="0" w:space="0" w:color="auto"/>
          </w:divBdr>
        </w:div>
        <w:div w:id="585186141">
          <w:marLeft w:val="1080"/>
          <w:marRight w:val="0"/>
          <w:marTop w:val="77"/>
          <w:marBottom w:val="0"/>
          <w:divBdr>
            <w:top w:val="none" w:sz="0" w:space="0" w:color="auto"/>
            <w:left w:val="none" w:sz="0" w:space="0" w:color="auto"/>
            <w:bottom w:val="none" w:sz="0" w:space="0" w:color="auto"/>
            <w:right w:val="none" w:sz="0" w:space="0" w:color="auto"/>
          </w:divBdr>
        </w:div>
        <w:div w:id="596254297">
          <w:marLeft w:val="821"/>
          <w:marRight w:val="0"/>
          <w:marTop w:val="115"/>
          <w:marBottom w:val="0"/>
          <w:divBdr>
            <w:top w:val="none" w:sz="0" w:space="0" w:color="auto"/>
            <w:left w:val="none" w:sz="0" w:space="0" w:color="auto"/>
            <w:bottom w:val="none" w:sz="0" w:space="0" w:color="auto"/>
            <w:right w:val="none" w:sz="0" w:space="0" w:color="auto"/>
          </w:divBdr>
        </w:div>
        <w:div w:id="620187707">
          <w:marLeft w:val="360"/>
          <w:marRight w:val="0"/>
          <w:marTop w:val="134"/>
          <w:marBottom w:val="0"/>
          <w:divBdr>
            <w:top w:val="none" w:sz="0" w:space="0" w:color="auto"/>
            <w:left w:val="none" w:sz="0" w:space="0" w:color="auto"/>
            <w:bottom w:val="none" w:sz="0" w:space="0" w:color="auto"/>
            <w:right w:val="none" w:sz="0" w:space="0" w:color="auto"/>
          </w:divBdr>
        </w:div>
        <w:div w:id="665936813">
          <w:marLeft w:val="1080"/>
          <w:marRight w:val="0"/>
          <w:marTop w:val="86"/>
          <w:marBottom w:val="0"/>
          <w:divBdr>
            <w:top w:val="none" w:sz="0" w:space="0" w:color="auto"/>
            <w:left w:val="none" w:sz="0" w:space="0" w:color="auto"/>
            <w:bottom w:val="none" w:sz="0" w:space="0" w:color="auto"/>
            <w:right w:val="none" w:sz="0" w:space="0" w:color="auto"/>
          </w:divBdr>
        </w:div>
        <w:div w:id="677931597">
          <w:marLeft w:val="360"/>
          <w:marRight w:val="0"/>
          <w:marTop w:val="154"/>
          <w:marBottom w:val="0"/>
          <w:divBdr>
            <w:top w:val="none" w:sz="0" w:space="0" w:color="auto"/>
            <w:left w:val="none" w:sz="0" w:space="0" w:color="auto"/>
            <w:bottom w:val="none" w:sz="0" w:space="0" w:color="auto"/>
            <w:right w:val="none" w:sz="0" w:space="0" w:color="auto"/>
          </w:divBdr>
        </w:div>
        <w:div w:id="731393643">
          <w:marLeft w:val="360"/>
          <w:marRight w:val="0"/>
          <w:marTop w:val="77"/>
          <w:marBottom w:val="0"/>
          <w:divBdr>
            <w:top w:val="none" w:sz="0" w:space="0" w:color="auto"/>
            <w:left w:val="none" w:sz="0" w:space="0" w:color="auto"/>
            <w:bottom w:val="none" w:sz="0" w:space="0" w:color="auto"/>
            <w:right w:val="none" w:sz="0" w:space="0" w:color="auto"/>
          </w:divBdr>
        </w:div>
        <w:div w:id="747265425">
          <w:marLeft w:val="360"/>
          <w:marRight w:val="0"/>
          <w:marTop w:val="134"/>
          <w:marBottom w:val="0"/>
          <w:divBdr>
            <w:top w:val="none" w:sz="0" w:space="0" w:color="auto"/>
            <w:left w:val="none" w:sz="0" w:space="0" w:color="auto"/>
            <w:bottom w:val="none" w:sz="0" w:space="0" w:color="auto"/>
            <w:right w:val="none" w:sz="0" w:space="0" w:color="auto"/>
          </w:divBdr>
        </w:div>
        <w:div w:id="756097336">
          <w:marLeft w:val="821"/>
          <w:marRight w:val="0"/>
          <w:marTop w:val="67"/>
          <w:marBottom w:val="0"/>
          <w:divBdr>
            <w:top w:val="none" w:sz="0" w:space="0" w:color="auto"/>
            <w:left w:val="none" w:sz="0" w:space="0" w:color="auto"/>
            <w:bottom w:val="none" w:sz="0" w:space="0" w:color="auto"/>
            <w:right w:val="none" w:sz="0" w:space="0" w:color="auto"/>
          </w:divBdr>
        </w:div>
        <w:div w:id="758060602">
          <w:marLeft w:val="1080"/>
          <w:marRight w:val="0"/>
          <w:marTop w:val="77"/>
          <w:marBottom w:val="0"/>
          <w:divBdr>
            <w:top w:val="none" w:sz="0" w:space="0" w:color="auto"/>
            <w:left w:val="none" w:sz="0" w:space="0" w:color="auto"/>
            <w:bottom w:val="none" w:sz="0" w:space="0" w:color="auto"/>
            <w:right w:val="none" w:sz="0" w:space="0" w:color="auto"/>
          </w:divBdr>
        </w:div>
        <w:div w:id="761877208">
          <w:marLeft w:val="821"/>
          <w:marRight w:val="0"/>
          <w:marTop w:val="86"/>
          <w:marBottom w:val="0"/>
          <w:divBdr>
            <w:top w:val="none" w:sz="0" w:space="0" w:color="auto"/>
            <w:left w:val="none" w:sz="0" w:space="0" w:color="auto"/>
            <w:bottom w:val="none" w:sz="0" w:space="0" w:color="auto"/>
            <w:right w:val="none" w:sz="0" w:space="0" w:color="auto"/>
          </w:divBdr>
        </w:div>
        <w:div w:id="763958877">
          <w:marLeft w:val="821"/>
          <w:marRight w:val="0"/>
          <w:marTop w:val="96"/>
          <w:marBottom w:val="0"/>
          <w:divBdr>
            <w:top w:val="none" w:sz="0" w:space="0" w:color="auto"/>
            <w:left w:val="none" w:sz="0" w:space="0" w:color="auto"/>
            <w:bottom w:val="none" w:sz="0" w:space="0" w:color="auto"/>
            <w:right w:val="none" w:sz="0" w:space="0" w:color="auto"/>
          </w:divBdr>
        </w:div>
        <w:div w:id="767576359">
          <w:marLeft w:val="821"/>
          <w:marRight w:val="0"/>
          <w:marTop w:val="86"/>
          <w:marBottom w:val="0"/>
          <w:divBdr>
            <w:top w:val="none" w:sz="0" w:space="0" w:color="auto"/>
            <w:left w:val="none" w:sz="0" w:space="0" w:color="auto"/>
            <w:bottom w:val="none" w:sz="0" w:space="0" w:color="auto"/>
            <w:right w:val="none" w:sz="0" w:space="0" w:color="auto"/>
          </w:divBdr>
        </w:div>
        <w:div w:id="775295644">
          <w:marLeft w:val="821"/>
          <w:marRight w:val="0"/>
          <w:marTop w:val="115"/>
          <w:marBottom w:val="0"/>
          <w:divBdr>
            <w:top w:val="none" w:sz="0" w:space="0" w:color="auto"/>
            <w:left w:val="none" w:sz="0" w:space="0" w:color="auto"/>
            <w:bottom w:val="none" w:sz="0" w:space="0" w:color="auto"/>
            <w:right w:val="none" w:sz="0" w:space="0" w:color="auto"/>
          </w:divBdr>
        </w:div>
        <w:div w:id="800658311">
          <w:marLeft w:val="360"/>
          <w:marRight w:val="0"/>
          <w:marTop w:val="154"/>
          <w:marBottom w:val="0"/>
          <w:divBdr>
            <w:top w:val="none" w:sz="0" w:space="0" w:color="auto"/>
            <w:left w:val="none" w:sz="0" w:space="0" w:color="auto"/>
            <w:bottom w:val="none" w:sz="0" w:space="0" w:color="auto"/>
            <w:right w:val="none" w:sz="0" w:space="0" w:color="auto"/>
          </w:divBdr>
        </w:div>
        <w:div w:id="808326360">
          <w:marLeft w:val="821"/>
          <w:marRight w:val="0"/>
          <w:marTop w:val="67"/>
          <w:marBottom w:val="0"/>
          <w:divBdr>
            <w:top w:val="none" w:sz="0" w:space="0" w:color="auto"/>
            <w:left w:val="none" w:sz="0" w:space="0" w:color="auto"/>
            <w:bottom w:val="none" w:sz="0" w:space="0" w:color="auto"/>
            <w:right w:val="none" w:sz="0" w:space="0" w:color="auto"/>
          </w:divBdr>
        </w:div>
        <w:div w:id="852500315">
          <w:marLeft w:val="821"/>
          <w:marRight w:val="0"/>
          <w:marTop w:val="115"/>
          <w:marBottom w:val="0"/>
          <w:divBdr>
            <w:top w:val="none" w:sz="0" w:space="0" w:color="auto"/>
            <w:left w:val="none" w:sz="0" w:space="0" w:color="auto"/>
            <w:bottom w:val="none" w:sz="0" w:space="0" w:color="auto"/>
            <w:right w:val="none" w:sz="0" w:space="0" w:color="auto"/>
          </w:divBdr>
        </w:div>
        <w:div w:id="893349817">
          <w:marLeft w:val="360"/>
          <w:marRight w:val="0"/>
          <w:marTop w:val="134"/>
          <w:marBottom w:val="0"/>
          <w:divBdr>
            <w:top w:val="none" w:sz="0" w:space="0" w:color="auto"/>
            <w:left w:val="none" w:sz="0" w:space="0" w:color="auto"/>
            <w:bottom w:val="none" w:sz="0" w:space="0" w:color="auto"/>
            <w:right w:val="none" w:sz="0" w:space="0" w:color="auto"/>
          </w:divBdr>
        </w:div>
        <w:div w:id="913204264">
          <w:marLeft w:val="821"/>
          <w:marRight w:val="0"/>
          <w:marTop w:val="96"/>
          <w:marBottom w:val="0"/>
          <w:divBdr>
            <w:top w:val="none" w:sz="0" w:space="0" w:color="auto"/>
            <w:left w:val="none" w:sz="0" w:space="0" w:color="auto"/>
            <w:bottom w:val="none" w:sz="0" w:space="0" w:color="auto"/>
            <w:right w:val="none" w:sz="0" w:space="0" w:color="auto"/>
          </w:divBdr>
        </w:div>
        <w:div w:id="924802259">
          <w:marLeft w:val="821"/>
          <w:marRight w:val="0"/>
          <w:marTop w:val="96"/>
          <w:marBottom w:val="0"/>
          <w:divBdr>
            <w:top w:val="none" w:sz="0" w:space="0" w:color="auto"/>
            <w:left w:val="none" w:sz="0" w:space="0" w:color="auto"/>
            <w:bottom w:val="none" w:sz="0" w:space="0" w:color="auto"/>
            <w:right w:val="none" w:sz="0" w:space="0" w:color="auto"/>
          </w:divBdr>
        </w:div>
        <w:div w:id="938100801">
          <w:marLeft w:val="1080"/>
          <w:marRight w:val="0"/>
          <w:marTop w:val="86"/>
          <w:marBottom w:val="0"/>
          <w:divBdr>
            <w:top w:val="none" w:sz="0" w:space="0" w:color="auto"/>
            <w:left w:val="none" w:sz="0" w:space="0" w:color="auto"/>
            <w:bottom w:val="none" w:sz="0" w:space="0" w:color="auto"/>
            <w:right w:val="none" w:sz="0" w:space="0" w:color="auto"/>
          </w:divBdr>
        </w:div>
        <w:div w:id="965627164">
          <w:marLeft w:val="360"/>
          <w:marRight w:val="0"/>
          <w:marTop w:val="134"/>
          <w:marBottom w:val="0"/>
          <w:divBdr>
            <w:top w:val="none" w:sz="0" w:space="0" w:color="auto"/>
            <w:left w:val="none" w:sz="0" w:space="0" w:color="auto"/>
            <w:bottom w:val="none" w:sz="0" w:space="0" w:color="auto"/>
            <w:right w:val="none" w:sz="0" w:space="0" w:color="auto"/>
          </w:divBdr>
        </w:div>
        <w:div w:id="1035621467">
          <w:marLeft w:val="360"/>
          <w:marRight w:val="0"/>
          <w:marTop w:val="115"/>
          <w:marBottom w:val="0"/>
          <w:divBdr>
            <w:top w:val="none" w:sz="0" w:space="0" w:color="auto"/>
            <w:left w:val="none" w:sz="0" w:space="0" w:color="auto"/>
            <w:bottom w:val="none" w:sz="0" w:space="0" w:color="auto"/>
            <w:right w:val="none" w:sz="0" w:space="0" w:color="auto"/>
          </w:divBdr>
        </w:div>
        <w:div w:id="1066683051">
          <w:marLeft w:val="821"/>
          <w:marRight w:val="0"/>
          <w:marTop w:val="115"/>
          <w:marBottom w:val="0"/>
          <w:divBdr>
            <w:top w:val="none" w:sz="0" w:space="0" w:color="auto"/>
            <w:left w:val="none" w:sz="0" w:space="0" w:color="auto"/>
            <w:bottom w:val="none" w:sz="0" w:space="0" w:color="auto"/>
            <w:right w:val="none" w:sz="0" w:space="0" w:color="auto"/>
          </w:divBdr>
        </w:div>
        <w:div w:id="1077702608">
          <w:marLeft w:val="360"/>
          <w:marRight w:val="0"/>
          <w:marTop w:val="154"/>
          <w:marBottom w:val="0"/>
          <w:divBdr>
            <w:top w:val="none" w:sz="0" w:space="0" w:color="auto"/>
            <w:left w:val="none" w:sz="0" w:space="0" w:color="auto"/>
            <w:bottom w:val="none" w:sz="0" w:space="0" w:color="auto"/>
            <w:right w:val="none" w:sz="0" w:space="0" w:color="auto"/>
          </w:divBdr>
        </w:div>
        <w:div w:id="1088886466">
          <w:marLeft w:val="821"/>
          <w:marRight w:val="0"/>
          <w:marTop w:val="96"/>
          <w:marBottom w:val="0"/>
          <w:divBdr>
            <w:top w:val="none" w:sz="0" w:space="0" w:color="auto"/>
            <w:left w:val="none" w:sz="0" w:space="0" w:color="auto"/>
            <w:bottom w:val="none" w:sz="0" w:space="0" w:color="auto"/>
            <w:right w:val="none" w:sz="0" w:space="0" w:color="auto"/>
          </w:divBdr>
        </w:div>
        <w:div w:id="1129669675">
          <w:marLeft w:val="821"/>
          <w:marRight w:val="0"/>
          <w:marTop w:val="96"/>
          <w:marBottom w:val="0"/>
          <w:divBdr>
            <w:top w:val="none" w:sz="0" w:space="0" w:color="auto"/>
            <w:left w:val="none" w:sz="0" w:space="0" w:color="auto"/>
            <w:bottom w:val="none" w:sz="0" w:space="0" w:color="auto"/>
            <w:right w:val="none" w:sz="0" w:space="0" w:color="auto"/>
          </w:divBdr>
        </w:div>
        <w:div w:id="1130628000">
          <w:marLeft w:val="360"/>
          <w:marRight w:val="0"/>
          <w:marTop w:val="115"/>
          <w:marBottom w:val="0"/>
          <w:divBdr>
            <w:top w:val="none" w:sz="0" w:space="0" w:color="auto"/>
            <w:left w:val="none" w:sz="0" w:space="0" w:color="auto"/>
            <w:bottom w:val="none" w:sz="0" w:space="0" w:color="auto"/>
            <w:right w:val="none" w:sz="0" w:space="0" w:color="auto"/>
          </w:divBdr>
        </w:div>
        <w:div w:id="1135101788">
          <w:marLeft w:val="1080"/>
          <w:marRight w:val="0"/>
          <w:marTop w:val="77"/>
          <w:marBottom w:val="0"/>
          <w:divBdr>
            <w:top w:val="none" w:sz="0" w:space="0" w:color="auto"/>
            <w:left w:val="none" w:sz="0" w:space="0" w:color="auto"/>
            <w:bottom w:val="none" w:sz="0" w:space="0" w:color="auto"/>
            <w:right w:val="none" w:sz="0" w:space="0" w:color="auto"/>
          </w:divBdr>
        </w:div>
        <w:div w:id="1138448652">
          <w:marLeft w:val="360"/>
          <w:marRight w:val="0"/>
          <w:marTop w:val="134"/>
          <w:marBottom w:val="0"/>
          <w:divBdr>
            <w:top w:val="none" w:sz="0" w:space="0" w:color="auto"/>
            <w:left w:val="none" w:sz="0" w:space="0" w:color="auto"/>
            <w:bottom w:val="none" w:sz="0" w:space="0" w:color="auto"/>
            <w:right w:val="none" w:sz="0" w:space="0" w:color="auto"/>
          </w:divBdr>
        </w:div>
        <w:div w:id="1154418604">
          <w:marLeft w:val="1080"/>
          <w:marRight w:val="0"/>
          <w:marTop w:val="86"/>
          <w:marBottom w:val="0"/>
          <w:divBdr>
            <w:top w:val="none" w:sz="0" w:space="0" w:color="auto"/>
            <w:left w:val="none" w:sz="0" w:space="0" w:color="auto"/>
            <w:bottom w:val="none" w:sz="0" w:space="0" w:color="auto"/>
            <w:right w:val="none" w:sz="0" w:space="0" w:color="auto"/>
          </w:divBdr>
        </w:div>
        <w:div w:id="1205829328">
          <w:marLeft w:val="360"/>
          <w:marRight w:val="0"/>
          <w:marTop w:val="77"/>
          <w:marBottom w:val="0"/>
          <w:divBdr>
            <w:top w:val="none" w:sz="0" w:space="0" w:color="auto"/>
            <w:left w:val="none" w:sz="0" w:space="0" w:color="auto"/>
            <w:bottom w:val="none" w:sz="0" w:space="0" w:color="auto"/>
            <w:right w:val="none" w:sz="0" w:space="0" w:color="auto"/>
          </w:divBdr>
        </w:div>
        <w:div w:id="1222405851">
          <w:marLeft w:val="360"/>
          <w:marRight w:val="0"/>
          <w:marTop w:val="106"/>
          <w:marBottom w:val="0"/>
          <w:divBdr>
            <w:top w:val="none" w:sz="0" w:space="0" w:color="auto"/>
            <w:left w:val="none" w:sz="0" w:space="0" w:color="auto"/>
            <w:bottom w:val="none" w:sz="0" w:space="0" w:color="auto"/>
            <w:right w:val="none" w:sz="0" w:space="0" w:color="auto"/>
          </w:divBdr>
        </w:div>
        <w:div w:id="1238054836">
          <w:marLeft w:val="821"/>
          <w:marRight w:val="0"/>
          <w:marTop w:val="67"/>
          <w:marBottom w:val="0"/>
          <w:divBdr>
            <w:top w:val="none" w:sz="0" w:space="0" w:color="auto"/>
            <w:left w:val="none" w:sz="0" w:space="0" w:color="auto"/>
            <w:bottom w:val="none" w:sz="0" w:space="0" w:color="auto"/>
            <w:right w:val="none" w:sz="0" w:space="0" w:color="auto"/>
          </w:divBdr>
        </w:div>
        <w:div w:id="1245803517">
          <w:marLeft w:val="360"/>
          <w:marRight w:val="0"/>
          <w:marTop w:val="86"/>
          <w:marBottom w:val="0"/>
          <w:divBdr>
            <w:top w:val="none" w:sz="0" w:space="0" w:color="auto"/>
            <w:left w:val="none" w:sz="0" w:space="0" w:color="auto"/>
            <w:bottom w:val="none" w:sz="0" w:space="0" w:color="auto"/>
            <w:right w:val="none" w:sz="0" w:space="0" w:color="auto"/>
          </w:divBdr>
        </w:div>
        <w:div w:id="1279525516">
          <w:marLeft w:val="1080"/>
          <w:marRight w:val="0"/>
          <w:marTop w:val="96"/>
          <w:marBottom w:val="0"/>
          <w:divBdr>
            <w:top w:val="none" w:sz="0" w:space="0" w:color="auto"/>
            <w:left w:val="none" w:sz="0" w:space="0" w:color="auto"/>
            <w:bottom w:val="none" w:sz="0" w:space="0" w:color="auto"/>
            <w:right w:val="none" w:sz="0" w:space="0" w:color="auto"/>
          </w:divBdr>
        </w:div>
        <w:div w:id="1325206618">
          <w:marLeft w:val="360"/>
          <w:marRight w:val="0"/>
          <w:marTop w:val="134"/>
          <w:marBottom w:val="0"/>
          <w:divBdr>
            <w:top w:val="none" w:sz="0" w:space="0" w:color="auto"/>
            <w:left w:val="none" w:sz="0" w:space="0" w:color="auto"/>
            <w:bottom w:val="none" w:sz="0" w:space="0" w:color="auto"/>
            <w:right w:val="none" w:sz="0" w:space="0" w:color="auto"/>
          </w:divBdr>
        </w:div>
        <w:div w:id="1340036777">
          <w:marLeft w:val="1080"/>
          <w:marRight w:val="0"/>
          <w:marTop w:val="86"/>
          <w:marBottom w:val="0"/>
          <w:divBdr>
            <w:top w:val="none" w:sz="0" w:space="0" w:color="auto"/>
            <w:left w:val="none" w:sz="0" w:space="0" w:color="auto"/>
            <w:bottom w:val="none" w:sz="0" w:space="0" w:color="auto"/>
            <w:right w:val="none" w:sz="0" w:space="0" w:color="auto"/>
          </w:divBdr>
        </w:div>
        <w:div w:id="1340230264">
          <w:marLeft w:val="360"/>
          <w:marRight w:val="0"/>
          <w:marTop w:val="134"/>
          <w:marBottom w:val="0"/>
          <w:divBdr>
            <w:top w:val="none" w:sz="0" w:space="0" w:color="auto"/>
            <w:left w:val="none" w:sz="0" w:space="0" w:color="auto"/>
            <w:bottom w:val="none" w:sz="0" w:space="0" w:color="auto"/>
            <w:right w:val="none" w:sz="0" w:space="0" w:color="auto"/>
          </w:divBdr>
        </w:div>
        <w:div w:id="1386567792">
          <w:marLeft w:val="360"/>
          <w:marRight w:val="0"/>
          <w:marTop w:val="77"/>
          <w:marBottom w:val="0"/>
          <w:divBdr>
            <w:top w:val="none" w:sz="0" w:space="0" w:color="auto"/>
            <w:left w:val="none" w:sz="0" w:space="0" w:color="auto"/>
            <w:bottom w:val="none" w:sz="0" w:space="0" w:color="auto"/>
            <w:right w:val="none" w:sz="0" w:space="0" w:color="auto"/>
          </w:divBdr>
        </w:div>
        <w:div w:id="1406951438">
          <w:marLeft w:val="821"/>
          <w:marRight w:val="0"/>
          <w:marTop w:val="86"/>
          <w:marBottom w:val="0"/>
          <w:divBdr>
            <w:top w:val="none" w:sz="0" w:space="0" w:color="auto"/>
            <w:left w:val="none" w:sz="0" w:space="0" w:color="auto"/>
            <w:bottom w:val="none" w:sz="0" w:space="0" w:color="auto"/>
            <w:right w:val="none" w:sz="0" w:space="0" w:color="auto"/>
          </w:divBdr>
        </w:div>
        <w:div w:id="1417164365">
          <w:marLeft w:val="821"/>
          <w:marRight w:val="0"/>
          <w:marTop w:val="96"/>
          <w:marBottom w:val="0"/>
          <w:divBdr>
            <w:top w:val="none" w:sz="0" w:space="0" w:color="auto"/>
            <w:left w:val="none" w:sz="0" w:space="0" w:color="auto"/>
            <w:bottom w:val="none" w:sz="0" w:space="0" w:color="auto"/>
            <w:right w:val="none" w:sz="0" w:space="0" w:color="auto"/>
          </w:divBdr>
        </w:div>
        <w:div w:id="1422675164">
          <w:marLeft w:val="360"/>
          <w:marRight w:val="0"/>
          <w:marTop w:val="115"/>
          <w:marBottom w:val="0"/>
          <w:divBdr>
            <w:top w:val="none" w:sz="0" w:space="0" w:color="auto"/>
            <w:left w:val="none" w:sz="0" w:space="0" w:color="auto"/>
            <w:bottom w:val="none" w:sz="0" w:space="0" w:color="auto"/>
            <w:right w:val="none" w:sz="0" w:space="0" w:color="auto"/>
          </w:divBdr>
        </w:div>
        <w:div w:id="1443956785">
          <w:marLeft w:val="821"/>
          <w:marRight w:val="0"/>
          <w:marTop w:val="96"/>
          <w:marBottom w:val="0"/>
          <w:divBdr>
            <w:top w:val="none" w:sz="0" w:space="0" w:color="auto"/>
            <w:left w:val="none" w:sz="0" w:space="0" w:color="auto"/>
            <w:bottom w:val="none" w:sz="0" w:space="0" w:color="auto"/>
            <w:right w:val="none" w:sz="0" w:space="0" w:color="auto"/>
          </w:divBdr>
        </w:div>
        <w:div w:id="1510215954">
          <w:marLeft w:val="360"/>
          <w:marRight w:val="0"/>
          <w:marTop w:val="134"/>
          <w:marBottom w:val="0"/>
          <w:divBdr>
            <w:top w:val="none" w:sz="0" w:space="0" w:color="auto"/>
            <w:left w:val="none" w:sz="0" w:space="0" w:color="auto"/>
            <w:bottom w:val="none" w:sz="0" w:space="0" w:color="auto"/>
            <w:right w:val="none" w:sz="0" w:space="0" w:color="auto"/>
          </w:divBdr>
        </w:div>
        <w:div w:id="1577015267">
          <w:marLeft w:val="821"/>
          <w:marRight w:val="0"/>
          <w:marTop w:val="115"/>
          <w:marBottom w:val="0"/>
          <w:divBdr>
            <w:top w:val="none" w:sz="0" w:space="0" w:color="auto"/>
            <w:left w:val="none" w:sz="0" w:space="0" w:color="auto"/>
            <w:bottom w:val="none" w:sz="0" w:space="0" w:color="auto"/>
            <w:right w:val="none" w:sz="0" w:space="0" w:color="auto"/>
          </w:divBdr>
        </w:div>
        <w:div w:id="1592811708">
          <w:marLeft w:val="360"/>
          <w:marRight w:val="0"/>
          <w:marTop w:val="134"/>
          <w:marBottom w:val="0"/>
          <w:divBdr>
            <w:top w:val="none" w:sz="0" w:space="0" w:color="auto"/>
            <w:left w:val="none" w:sz="0" w:space="0" w:color="auto"/>
            <w:bottom w:val="none" w:sz="0" w:space="0" w:color="auto"/>
            <w:right w:val="none" w:sz="0" w:space="0" w:color="auto"/>
          </w:divBdr>
        </w:div>
        <w:div w:id="1597053803">
          <w:marLeft w:val="821"/>
          <w:marRight w:val="0"/>
          <w:marTop w:val="96"/>
          <w:marBottom w:val="0"/>
          <w:divBdr>
            <w:top w:val="none" w:sz="0" w:space="0" w:color="auto"/>
            <w:left w:val="none" w:sz="0" w:space="0" w:color="auto"/>
            <w:bottom w:val="none" w:sz="0" w:space="0" w:color="auto"/>
            <w:right w:val="none" w:sz="0" w:space="0" w:color="auto"/>
          </w:divBdr>
        </w:div>
        <w:div w:id="1607039616">
          <w:marLeft w:val="360"/>
          <w:marRight w:val="0"/>
          <w:marTop w:val="134"/>
          <w:marBottom w:val="0"/>
          <w:divBdr>
            <w:top w:val="none" w:sz="0" w:space="0" w:color="auto"/>
            <w:left w:val="none" w:sz="0" w:space="0" w:color="auto"/>
            <w:bottom w:val="none" w:sz="0" w:space="0" w:color="auto"/>
            <w:right w:val="none" w:sz="0" w:space="0" w:color="auto"/>
          </w:divBdr>
        </w:div>
        <w:div w:id="1611744093">
          <w:marLeft w:val="360"/>
          <w:marRight w:val="0"/>
          <w:marTop w:val="134"/>
          <w:marBottom w:val="0"/>
          <w:divBdr>
            <w:top w:val="none" w:sz="0" w:space="0" w:color="auto"/>
            <w:left w:val="none" w:sz="0" w:space="0" w:color="auto"/>
            <w:bottom w:val="none" w:sz="0" w:space="0" w:color="auto"/>
            <w:right w:val="none" w:sz="0" w:space="0" w:color="auto"/>
          </w:divBdr>
        </w:div>
        <w:div w:id="1619875091">
          <w:marLeft w:val="360"/>
          <w:marRight w:val="0"/>
          <w:marTop w:val="134"/>
          <w:marBottom w:val="0"/>
          <w:divBdr>
            <w:top w:val="none" w:sz="0" w:space="0" w:color="auto"/>
            <w:left w:val="none" w:sz="0" w:space="0" w:color="auto"/>
            <w:bottom w:val="none" w:sz="0" w:space="0" w:color="auto"/>
            <w:right w:val="none" w:sz="0" w:space="0" w:color="auto"/>
          </w:divBdr>
        </w:div>
        <w:div w:id="1622613593">
          <w:marLeft w:val="806"/>
          <w:marRight w:val="0"/>
          <w:marTop w:val="134"/>
          <w:marBottom w:val="0"/>
          <w:divBdr>
            <w:top w:val="none" w:sz="0" w:space="0" w:color="auto"/>
            <w:left w:val="none" w:sz="0" w:space="0" w:color="auto"/>
            <w:bottom w:val="none" w:sz="0" w:space="0" w:color="auto"/>
            <w:right w:val="none" w:sz="0" w:space="0" w:color="auto"/>
          </w:divBdr>
        </w:div>
        <w:div w:id="1626807740">
          <w:marLeft w:val="821"/>
          <w:marRight w:val="0"/>
          <w:marTop w:val="134"/>
          <w:marBottom w:val="0"/>
          <w:divBdr>
            <w:top w:val="none" w:sz="0" w:space="0" w:color="auto"/>
            <w:left w:val="none" w:sz="0" w:space="0" w:color="auto"/>
            <w:bottom w:val="none" w:sz="0" w:space="0" w:color="auto"/>
            <w:right w:val="none" w:sz="0" w:space="0" w:color="auto"/>
          </w:divBdr>
        </w:div>
        <w:div w:id="1626963836">
          <w:marLeft w:val="821"/>
          <w:marRight w:val="0"/>
          <w:marTop w:val="115"/>
          <w:marBottom w:val="0"/>
          <w:divBdr>
            <w:top w:val="none" w:sz="0" w:space="0" w:color="auto"/>
            <w:left w:val="none" w:sz="0" w:space="0" w:color="auto"/>
            <w:bottom w:val="none" w:sz="0" w:space="0" w:color="auto"/>
            <w:right w:val="none" w:sz="0" w:space="0" w:color="auto"/>
          </w:divBdr>
        </w:div>
        <w:div w:id="1636983933">
          <w:marLeft w:val="360"/>
          <w:marRight w:val="0"/>
          <w:marTop w:val="115"/>
          <w:marBottom w:val="0"/>
          <w:divBdr>
            <w:top w:val="none" w:sz="0" w:space="0" w:color="auto"/>
            <w:left w:val="none" w:sz="0" w:space="0" w:color="auto"/>
            <w:bottom w:val="none" w:sz="0" w:space="0" w:color="auto"/>
            <w:right w:val="none" w:sz="0" w:space="0" w:color="auto"/>
          </w:divBdr>
        </w:div>
        <w:div w:id="1665736940">
          <w:marLeft w:val="821"/>
          <w:marRight w:val="0"/>
          <w:marTop w:val="86"/>
          <w:marBottom w:val="0"/>
          <w:divBdr>
            <w:top w:val="none" w:sz="0" w:space="0" w:color="auto"/>
            <w:left w:val="none" w:sz="0" w:space="0" w:color="auto"/>
            <w:bottom w:val="none" w:sz="0" w:space="0" w:color="auto"/>
            <w:right w:val="none" w:sz="0" w:space="0" w:color="auto"/>
          </w:divBdr>
        </w:div>
        <w:div w:id="1688368033">
          <w:marLeft w:val="1080"/>
          <w:marRight w:val="0"/>
          <w:marTop w:val="96"/>
          <w:marBottom w:val="0"/>
          <w:divBdr>
            <w:top w:val="none" w:sz="0" w:space="0" w:color="auto"/>
            <w:left w:val="none" w:sz="0" w:space="0" w:color="auto"/>
            <w:bottom w:val="none" w:sz="0" w:space="0" w:color="auto"/>
            <w:right w:val="none" w:sz="0" w:space="0" w:color="auto"/>
          </w:divBdr>
        </w:div>
        <w:div w:id="1715274723">
          <w:marLeft w:val="821"/>
          <w:marRight w:val="0"/>
          <w:marTop w:val="96"/>
          <w:marBottom w:val="0"/>
          <w:divBdr>
            <w:top w:val="none" w:sz="0" w:space="0" w:color="auto"/>
            <w:left w:val="none" w:sz="0" w:space="0" w:color="auto"/>
            <w:bottom w:val="none" w:sz="0" w:space="0" w:color="auto"/>
            <w:right w:val="none" w:sz="0" w:space="0" w:color="auto"/>
          </w:divBdr>
        </w:div>
        <w:div w:id="1718313696">
          <w:marLeft w:val="1267"/>
          <w:marRight w:val="0"/>
          <w:marTop w:val="115"/>
          <w:marBottom w:val="0"/>
          <w:divBdr>
            <w:top w:val="none" w:sz="0" w:space="0" w:color="auto"/>
            <w:left w:val="none" w:sz="0" w:space="0" w:color="auto"/>
            <w:bottom w:val="none" w:sz="0" w:space="0" w:color="auto"/>
            <w:right w:val="none" w:sz="0" w:space="0" w:color="auto"/>
          </w:divBdr>
        </w:div>
        <w:div w:id="1721053026">
          <w:marLeft w:val="1080"/>
          <w:marRight w:val="0"/>
          <w:marTop w:val="86"/>
          <w:marBottom w:val="0"/>
          <w:divBdr>
            <w:top w:val="none" w:sz="0" w:space="0" w:color="auto"/>
            <w:left w:val="none" w:sz="0" w:space="0" w:color="auto"/>
            <w:bottom w:val="none" w:sz="0" w:space="0" w:color="auto"/>
            <w:right w:val="none" w:sz="0" w:space="0" w:color="auto"/>
          </w:divBdr>
        </w:div>
        <w:div w:id="1721592198">
          <w:marLeft w:val="360"/>
          <w:marRight w:val="0"/>
          <w:marTop w:val="115"/>
          <w:marBottom w:val="0"/>
          <w:divBdr>
            <w:top w:val="none" w:sz="0" w:space="0" w:color="auto"/>
            <w:left w:val="none" w:sz="0" w:space="0" w:color="auto"/>
            <w:bottom w:val="none" w:sz="0" w:space="0" w:color="auto"/>
            <w:right w:val="none" w:sz="0" w:space="0" w:color="auto"/>
          </w:divBdr>
        </w:div>
        <w:div w:id="1728530790">
          <w:marLeft w:val="1080"/>
          <w:marRight w:val="0"/>
          <w:marTop w:val="67"/>
          <w:marBottom w:val="0"/>
          <w:divBdr>
            <w:top w:val="none" w:sz="0" w:space="0" w:color="auto"/>
            <w:left w:val="none" w:sz="0" w:space="0" w:color="auto"/>
            <w:bottom w:val="none" w:sz="0" w:space="0" w:color="auto"/>
            <w:right w:val="none" w:sz="0" w:space="0" w:color="auto"/>
          </w:divBdr>
        </w:div>
        <w:div w:id="1738631550">
          <w:marLeft w:val="821"/>
          <w:marRight w:val="0"/>
          <w:marTop w:val="96"/>
          <w:marBottom w:val="0"/>
          <w:divBdr>
            <w:top w:val="none" w:sz="0" w:space="0" w:color="auto"/>
            <w:left w:val="none" w:sz="0" w:space="0" w:color="auto"/>
            <w:bottom w:val="none" w:sz="0" w:space="0" w:color="auto"/>
            <w:right w:val="none" w:sz="0" w:space="0" w:color="auto"/>
          </w:divBdr>
        </w:div>
        <w:div w:id="1747729226">
          <w:marLeft w:val="1080"/>
          <w:marRight w:val="0"/>
          <w:marTop w:val="67"/>
          <w:marBottom w:val="0"/>
          <w:divBdr>
            <w:top w:val="none" w:sz="0" w:space="0" w:color="auto"/>
            <w:left w:val="none" w:sz="0" w:space="0" w:color="auto"/>
            <w:bottom w:val="none" w:sz="0" w:space="0" w:color="auto"/>
            <w:right w:val="none" w:sz="0" w:space="0" w:color="auto"/>
          </w:divBdr>
        </w:div>
        <w:div w:id="1749421212">
          <w:marLeft w:val="1267"/>
          <w:marRight w:val="0"/>
          <w:marTop w:val="115"/>
          <w:marBottom w:val="0"/>
          <w:divBdr>
            <w:top w:val="none" w:sz="0" w:space="0" w:color="auto"/>
            <w:left w:val="none" w:sz="0" w:space="0" w:color="auto"/>
            <w:bottom w:val="none" w:sz="0" w:space="0" w:color="auto"/>
            <w:right w:val="none" w:sz="0" w:space="0" w:color="auto"/>
          </w:divBdr>
        </w:div>
        <w:div w:id="1752006208">
          <w:marLeft w:val="821"/>
          <w:marRight w:val="0"/>
          <w:marTop w:val="115"/>
          <w:marBottom w:val="0"/>
          <w:divBdr>
            <w:top w:val="none" w:sz="0" w:space="0" w:color="auto"/>
            <w:left w:val="none" w:sz="0" w:space="0" w:color="auto"/>
            <w:bottom w:val="none" w:sz="0" w:space="0" w:color="auto"/>
            <w:right w:val="none" w:sz="0" w:space="0" w:color="auto"/>
          </w:divBdr>
        </w:div>
        <w:div w:id="1754551609">
          <w:marLeft w:val="360"/>
          <w:marRight w:val="0"/>
          <w:marTop w:val="77"/>
          <w:marBottom w:val="0"/>
          <w:divBdr>
            <w:top w:val="none" w:sz="0" w:space="0" w:color="auto"/>
            <w:left w:val="none" w:sz="0" w:space="0" w:color="auto"/>
            <w:bottom w:val="none" w:sz="0" w:space="0" w:color="auto"/>
            <w:right w:val="none" w:sz="0" w:space="0" w:color="auto"/>
          </w:divBdr>
        </w:div>
        <w:div w:id="1766153257">
          <w:marLeft w:val="821"/>
          <w:marRight w:val="0"/>
          <w:marTop w:val="96"/>
          <w:marBottom w:val="0"/>
          <w:divBdr>
            <w:top w:val="none" w:sz="0" w:space="0" w:color="auto"/>
            <w:left w:val="none" w:sz="0" w:space="0" w:color="auto"/>
            <w:bottom w:val="none" w:sz="0" w:space="0" w:color="auto"/>
            <w:right w:val="none" w:sz="0" w:space="0" w:color="auto"/>
          </w:divBdr>
        </w:div>
        <w:div w:id="1770276864">
          <w:marLeft w:val="360"/>
          <w:marRight w:val="0"/>
          <w:marTop w:val="134"/>
          <w:marBottom w:val="0"/>
          <w:divBdr>
            <w:top w:val="none" w:sz="0" w:space="0" w:color="auto"/>
            <w:left w:val="none" w:sz="0" w:space="0" w:color="auto"/>
            <w:bottom w:val="none" w:sz="0" w:space="0" w:color="auto"/>
            <w:right w:val="none" w:sz="0" w:space="0" w:color="auto"/>
          </w:divBdr>
        </w:div>
        <w:div w:id="1778913402">
          <w:marLeft w:val="1080"/>
          <w:marRight w:val="0"/>
          <w:marTop w:val="86"/>
          <w:marBottom w:val="0"/>
          <w:divBdr>
            <w:top w:val="none" w:sz="0" w:space="0" w:color="auto"/>
            <w:left w:val="none" w:sz="0" w:space="0" w:color="auto"/>
            <w:bottom w:val="none" w:sz="0" w:space="0" w:color="auto"/>
            <w:right w:val="none" w:sz="0" w:space="0" w:color="auto"/>
          </w:divBdr>
        </w:div>
        <w:div w:id="1794984835">
          <w:marLeft w:val="821"/>
          <w:marRight w:val="0"/>
          <w:marTop w:val="115"/>
          <w:marBottom w:val="0"/>
          <w:divBdr>
            <w:top w:val="none" w:sz="0" w:space="0" w:color="auto"/>
            <w:left w:val="none" w:sz="0" w:space="0" w:color="auto"/>
            <w:bottom w:val="none" w:sz="0" w:space="0" w:color="auto"/>
            <w:right w:val="none" w:sz="0" w:space="0" w:color="auto"/>
          </w:divBdr>
        </w:div>
        <w:div w:id="1797021923">
          <w:marLeft w:val="806"/>
          <w:marRight w:val="0"/>
          <w:marTop w:val="134"/>
          <w:marBottom w:val="0"/>
          <w:divBdr>
            <w:top w:val="none" w:sz="0" w:space="0" w:color="auto"/>
            <w:left w:val="none" w:sz="0" w:space="0" w:color="auto"/>
            <w:bottom w:val="none" w:sz="0" w:space="0" w:color="auto"/>
            <w:right w:val="none" w:sz="0" w:space="0" w:color="auto"/>
          </w:divBdr>
        </w:div>
        <w:div w:id="1799299596">
          <w:marLeft w:val="360"/>
          <w:marRight w:val="0"/>
          <w:marTop w:val="134"/>
          <w:marBottom w:val="0"/>
          <w:divBdr>
            <w:top w:val="none" w:sz="0" w:space="0" w:color="auto"/>
            <w:left w:val="none" w:sz="0" w:space="0" w:color="auto"/>
            <w:bottom w:val="none" w:sz="0" w:space="0" w:color="auto"/>
            <w:right w:val="none" w:sz="0" w:space="0" w:color="auto"/>
          </w:divBdr>
        </w:div>
        <w:div w:id="1800104387">
          <w:marLeft w:val="360"/>
          <w:marRight w:val="0"/>
          <w:marTop w:val="115"/>
          <w:marBottom w:val="0"/>
          <w:divBdr>
            <w:top w:val="none" w:sz="0" w:space="0" w:color="auto"/>
            <w:left w:val="none" w:sz="0" w:space="0" w:color="auto"/>
            <w:bottom w:val="none" w:sz="0" w:space="0" w:color="auto"/>
            <w:right w:val="none" w:sz="0" w:space="0" w:color="auto"/>
          </w:divBdr>
        </w:div>
        <w:div w:id="1835293237">
          <w:marLeft w:val="1080"/>
          <w:marRight w:val="0"/>
          <w:marTop w:val="86"/>
          <w:marBottom w:val="0"/>
          <w:divBdr>
            <w:top w:val="none" w:sz="0" w:space="0" w:color="auto"/>
            <w:left w:val="none" w:sz="0" w:space="0" w:color="auto"/>
            <w:bottom w:val="none" w:sz="0" w:space="0" w:color="auto"/>
            <w:right w:val="none" w:sz="0" w:space="0" w:color="auto"/>
          </w:divBdr>
        </w:div>
        <w:div w:id="1838107310">
          <w:marLeft w:val="1267"/>
          <w:marRight w:val="0"/>
          <w:marTop w:val="115"/>
          <w:marBottom w:val="0"/>
          <w:divBdr>
            <w:top w:val="none" w:sz="0" w:space="0" w:color="auto"/>
            <w:left w:val="none" w:sz="0" w:space="0" w:color="auto"/>
            <w:bottom w:val="none" w:sz="0" w:space="0" w:color="auto"/>
            <w:right w:val="none" w:sz="0" w:space="0" w:color="auto"/>
          </w:divBdr>
        </w:div>
        <w:div w:id="1848523430">
          <w:marLeft w:val="821"/>
          <w:marRight w:val="0"/>
          <w:marTop w:val="115"/>
          <w:marBottom w:val="0"/>
          <w:divBdr>
            <w:top w:val="none" w:sz="0" w:space="0" w:color="auto"/>
            <w:left w:val="none" w:sz="0" w:space="0" w:color="auto"/>
            <w:bottom w:val="none" w:sz="0" w:space="0" w:color="auto"/>
            <w:right w:val="none" w:sz="0" w:space="0" w:color="auto"/>
          </w:divBdr>
        </w:div>
        <w:div w:id="1857116221">
          <w:marLeft w:val="1080"/>
          <w:marRight w:val="0"/>
          <w:marTop w:val="96"/>
          <w:marBottom w:val="0"/>
          <w:divBdr>
            <w:top w:val="none" w:sz="0" w:space="0" w:color="auto"/>
            <w:left w:val="none" w:sz="0" w:space="0" w:color="auto"/>
            <w:bottom w:val="none" w:sz="0" w:space="0" w:color="auto"/>
            <w:right w:val="none" w:sz="0" w:space="0" w:color="auto"/>
          </w:divBdr>
        </w:div>
        <w:div w:id="1866334233">
          <w:marLeft w:val="360"/>
          <w:marRight w:val="0"/>
          <w:marTop w:val="134"/>
          <w:marBottom w:val="0"/>
          <w:divBdr>
            <w:top w:val="none" w:sz="0" w:space="0" w:color="auto"/>
            <w:left w:val="none" w:sz="0" w:space="0" w:color="auto"/>
            <w:bottom w:val="none" w:sz="0" w:space="0" w:color="auto"/>
            <w:right w:val="none" w:sz="0" w:space="0" w:color="auto"/>
          </w:divBdr>
        </w:div>
        <w:div w:id="1891963576">
          <w:marLeft w:val="1267"/>
          <w:marRight w:val="0"/>
          <w:marTop w:val="115"/>
          <w:marBottom w:val="0"/>
          <w:divBdr>
            <w:top w:val="none" w:sz="0" w:space="0" w:color="auto"/>
            <w:left w:val="none" w:sz="0" w:space="0" w:color="auto"/>
            <w:bottom w:val="none" w:sz="0" w:space="0" w:color="auto"/>
            <w:right w:val="none" w:sz="0" w:space="0" w:color="auto"/>
          </w:divBdr>
        </w:div>
        <w:div w:id="1903444702">
          <w:marLeft w:val="821"/>
          <w:marRight w:val="0"/>
          <w:marTop w:val="134"/>
          <w:marBottom w:val="0"/>
          <w:divBdr>
            <w:top w:val="none" w:sz="0" w:space="0" w:color="auto"/>
            <w:left w:val="none" w:sz="0" w:space="0" w:color="auto"/>
            <w:bottom w:val="none" w:sz="0" w:space="0" w:color="auto"/>
            <w:right w:val="none" w:sz="0" w:space="0" w:color="auto"/>
          </w:divBdr>
        </w:div>
        <w:div w:id="1906524734">
          <w:marLeft w:val="821"/>
          <w:marRight w:val="0"/>
          <w:marTop w:val="115"/>
          <w:marBottom w:val="0"/>
          <w:divBdr>
            <w:top w:val="none" w:sz="0" w:space="0" w:color="auto"/>
            <w:left w:val="none" w:sz="0" w:space="0" w:color="auto"/>
            <w:bottom w:val="none" w:sz="0" w:space="0" w:color="auto"/>
            <w:right w:val="none" w:sz="0" w:space="0" w:color="auto"/>
          </w:divBdr>
        </w:div>
        <w:div w:id="1908952097">
          <w:marLeft w:val="360"/>
          <w:marRight w:val="0"/>
          <w:marTop w:val="134"/>
          <w:marBottom w:val="0"/>
          <w:divBdr>
            <w:top w:val="none" w:sz="0" w:space="0" w:color="auto"/>
            <w:left w:val="none" w:sz="0" w:space="0" w:color="auto"/>
            <w:bottom w:val="none" w:sz="0" w:space="0" w:color="auto"/>
            <w:right w:val="none" w:sz="0" w:space="0" w:color="auto"/>
          </w:divBdr>
        </w:div>
        <w:div w:id="1922256006">
          <w:marLeft w:val="360"/>
          <w:marRight w:val="0"/>
          <w:marTop w:val="134"/>
          <w:marBottom w:val="0"/>
          <w:divBdr>
            <w:top w:val="none" w:sz="0" w:space="0" w:color="auto"/>
            <w:left w:val="none" w:sz="0" w:space="0" w:color="auto"/>
            <w:bottom w:val="none" w:sz="0" w:space="0" w:color="auto"/>
            <w:right w:val="none" w:sz="0" w:space="0" w:color="auto"/>
          </w:divBdr>
        </w:div>
        <w:div w:id="1924946729">
          <w:marLeft w:val="821"/>
          <w:marRight w:val="0"/>
          <w:marTop w:val="67"/>
          <w:marBottom w:val="0"/>
          <w:divBdr>
            <w:top w:val="none" w:sz="0" w:space="0" w:color="auto"/>
            <w:left w:val="none" w:sz="0" w:space="0" w:color="auto"/>
            <w:bottom w:val="none" w:sz="0" w:space="0" w:color="auto"/>
            <w:right w:val="none" w:sz="0" w:space="0" w:color="auto"/>
          </w:divBdr>
        </w:div>
        <w:div w:id="1945191706">
          <w:marLeft w:val="360"/>
          <w:marRight w:val="0"/>
          <w:marTop w:val="154"/>
          <w:marBottom w:val="0"/>
          <w:divBdr>
            <w:top w:val="none" w:sz="0" w:space="0" w:color="auto"/>
            <w:left w:val="none" w:sz="0" w:space="0" w:color="auto"/>
            <w:bottom w:val="none" w:sz="0" w:space="0" w:color="auto"/>
            <w:right w:val="none" w:sz="0" w:space="0" w:color="auto"/>
          </w:divBdr>
        </w:div>
        <w:div w:id="1949700183">
          <w:marLeft w:val="821"/>
          <w:marRight w:val="0"/>
          <w:marTop w:val="115"/>
          <w:marBottom w:val="0"/>
          <w:divBdr>
            <w:top w:val="none" w:sz="0" w:space="0" w:color="auto"/>
            <w:left w:val="none" w:sz="0" w:space="0" w:color="auto"/>
            <w:bottom w:val="none" w:sz="0" w:space="0" w:color="auto"/>
            <w:right w:val="none" w:sz="0" w:space="0" w:color="auto"/>
          </w:divBdr>
        </w:div>
        <w:div w:id="1952739830">
          <w:marLeft w:val="360"/>
          <w:marRight w:val="0"/>
          <w:marTop w:val="96"/>
          <w:marBottom w:val="0"/>
          <w:divBdr>
            <w:top w:val="none" w:sz="0" w:space="0" w:color="auto"/>
            <w:left w:val="none" w:sz="0" w:space="0" w:color="auto"/>
            <w:bottom w:val="none" w:sz="0" w:space="0" w:color="auto"/>
            <w:right w:val="none" w:sz="0" w:space="0" w:color="auto"/>
          </w:divBdr>
        </w:div>
        <w:div w:id="1966354346">
          <w:marLeft w:val="1080"/>
          <w:marRight w:val="0"/>
          <w:marTop w:val="86"/>
          <w:marBottom w:val="0"/>
          <w:divBdr>
            <w:top w:val="none" w:sz="0" w:space="0" w:color="auto"/>
            <w:left w:val="none" w:sz="0" w:space="0" w:color="auto"/>
            <w:bottom w:val="none" w:sz="0" w:space="0" w:color="auto"/>
            <w:right w:val="none" w:sz="0" w:space="0" w:color="auto"/>
          </w:divBdr>
        </w:div>
        <w:div w:id="1980987720">
          <w:marLeft w:val="360"/>
          <w:marRight w:val="0"/>
          <w:marTop w:val="77"/>
          <w:marBottom w:val="0"/>
          <w:divBdr>
            <w:top w:val="none" w:sz="0" w:space="0" w:color="auto"/>
            <w:left w:val="none" w:sz="0" w:space="0" w:color="auto"/>
            <w:bottom w:val="none" w:sz="0" w:space="0" w:color="auto"/>
            <w:right w:val="none" w:sz="0" w:space="0" w:color="auto"/>
          </w:divBdr>
        </w:div>
        <w:div w:id="1988587225">
          <w:marLeft w:val="806"/>
          <w:marRight w:val="0"/>
          <w:marTop w:val="134"/>
          <w:marBottom w:val="0"/>
          <w:divBdr>
            <w:top w:val="none" w:sz="0" w:space="0" w:color="auto"/>
            <w:left w:val="none" w:sz="0" w:space="0" w:color="auto"/>
            <w:bottom w:val="none" w:sz="0" w:space="0" w:color="auto"/>
            <w:right w:val="none" w:sz="0" w:space="0" w:color="auto"/>
          </w:divBdr>
        </w:div>
        <w:div w:id="2003072936">
          <w:marLeft w:val="821"/>
          <w:marRight w:val="0"/>
          <w:marTop w:val="96"/>
          <w:marBottom w:val="0"/>
          <w:divBdr>
            <w:top w:val="none" w:sz="0" w:space="0" w:color="auto"/>
            <w:left w:val="none" w:sz="0" w:space="0" w:color="auto"/>
            <w:bottom w:val="none" w:sz="0" w:space="0" w:color="auto"/>
            <w:right w:val="none" w:sz="0" w:space="0" w:color="auto"/>
          </w:divBdr>
        </w:div>
        <w:div w:id="2003461985">
          <w:marLeft w:val="360"/>
          <w:marRight w:val="0"/>
          <w:marTop w:val="134"/>
          <w:marBottom w:val="0"/>
          <w:divBdr>
            <w:top w:val="none" w:sz="0" w:space="0" w:color="auto"/>
            <w:left w:val="none" w:sz="0" w:space="0" w:color="auto"/>
            <w:bottom w:val="none" w:sz="0" w:space="0" w:color="auto"/>
            <w:right w:val="none" w:sz="0" w:space="0" w:color="auto"/>
          </w:divBdr>
        </w:div>
        <w:div w:id="2024436394">
          <w:marLeft w:val="360"/>
          <w:marRight w:val="0"/>
          <w:marTop w:val="134"/>
          <w:marBottom w:val="0"/>
          <w:divBdr>
            <w:top w:val="none" w:sz="0" w:space="0" w:color="auto"/>
            <w:left w:val="none" w:sz="0" w:space="0" w:color="auto"/>
            <w:bottom w:val="none" w:sz="0" w:space="0" w:color="auto"/>
            <w:right w:val="none" w:sz="0" w:space="0" w:color="auto"/>
          </w:divBdr>
        </w:div>
        <w:div w:id="2034962525">
          <w:marLeft w:val="360"/>
          <w:marRight w:val="0"/>
          <w:marTop w:val="77"/>
          <w:marBottom w:val="0"/>
          <w:divBdr>
            <w:top w:val="none" w:sz="0" w:space="0" w:color="auto"/>
            <w:left w:val="none" w:sz="0" w:space="0" w:color="auto"/>
            <w:bottom w:val="none" w:sz="0" w:space="0" w:color="auto"/>
            <w:right w:val="none" w:sz="0" w:space="0" w:color="auto"/>
          </w:divBdr>
        </w:div>
        <w:div w:id="2054037158">
          <w:marLeft w:val="1080"/>
          <w:marRight w:val="0"/>
          <w:marTop w:val="86"/>
          <w:marBottom w:val="0"/>
          <w:divBdr>
            <w:top w:val="none" w:sz="0" w:space="0" w:color="auto"/>
            <w:left w:val="none" w:sz="0" w:space="0" w:color="auto"/>
            <w:bottom w:val="none" w:sz="0" w:space="0" w:color="auto"/>
            <w:right w:val="none" w:sz="0" w:space="0" w:color="auto"/>
          </w:divBdr>
        </w:div>
        <w:div w:id="2060280989">
          <w:marLeft w:val="360"/>
          <w:marRight w:val="0"/>
          <w:marTop w:val="134"/>
          <w:marBottom w:val="0"/>
          <w:divBdr>
            <w:top w:val="none" w:sz="0" w:space="0" w:color="auto"/>
            <w:left w:val="none" w:sz="0" w:space="0" w:color="auto"/>
            <w:bottom w:val="none" w:sz="0" w:space="0" w:color="auto"/>
            <w:right w:val="none" w:sz="0" w:space="0" w:color="auto"/>
          </w:divBdr>
        </w:div>
        <w:div w:id="2061589673">
          <w:marLeft w:val="821"/>
          <w:marRight w:val="0"/>
          <w:marTop w:val="115"/>
          <w:marBottom w:val="0"/>
          <w:divBdr>
            <w:top w:val="none" w:sz="0" w:space="0" w:color="auto"/>
            <w:left w:val="none" w:sz="0" w:space="0" w:color="auto"/>
            <w:bottom w:val="none" w:sz="0" w:space="0" w:color="auto"/>
            <w:right w:val="none" w:sz="0" w:space="0" w:color="auto"/>
          </w:divBdr>
        </w:div>
        <w:div w:id="2105151561">
          <w:marLeft w:val="821"/>
          <w:marRight w:val="0"/>
          <w:marTop w:val="96"/>
          <w:marBottom w:val="0"/>
          <w:divBdr>
            <w:top w:val="none" w:sz="0" w:space="0" w:color="auto"/>
            <w:left w:val="none" w:sz="0" w:space="0" w:color="auto"/>
            <w:bottom w:val="none" w:sz="0" w:space="0" w:color="auto"/>
            <w:right w:val="none" w:sz="0" w:space="0" w:color="auto"/>
          </w:divBdr>
        </w:div>
        <w:div w:id="2109155241">
          <w:marLeft w:val="360"/>
          <w:marRight w:val="0"/>
          <w:marTop w:val="115"/>
          <w:marBottom w:val="0"/>
          <w:divBdr>
            <w:top w:val="none" w:sz="0" w:space="0" w:color="auto"/>
            <w:left w:val="none" w:sz="0" w:space="0" w:color="auto"/>
            <w:bottom w:val="none" w:sz="0" w:space="0" w:color="auto"/>
            <w:right w:val="none" w:sz="0" w:space="0" w:color="auto"/>
          </w:divBdr>
        </w:div>
        <w:div w:id="2136100829">
          <w:marLeft w:val="821"/>
          <w:marRight w:val="0"/>
          <w:marTop w:val="86"/>
          <w:marBottom w:val="0"/>
          <w:divBdr>
            <w:top w:val="none" w:sz="0" w:space="0" w:color="auto"/>
            <w:left w:val="none" w:sz="0" w:space="0" w:color="auto"/>
            <w:bottom w:val="none" w:sz="0" w:space="0" w:color="auto"/>
            <w:right w:val="none" w:sz="0" w:space="0" w:color="auto"/>
          </w:divBdr>
        </w:div>
      </w:divsChild>
    </w:div>
    <w:div w:id="231357114">
      <w:bodyDiv w:val="1"/>
      <w:marLeft w:val="0"/>
      <w:marRight w:val="0"/>
      <w:marTop w:val="0"/>
      <w:marBottom w:val="0"/>
      <w:divBdr>
        <w:top w:val="none" w:sz="0" w:space="0" w:color="auto"/>
        <w:left w:val="none" w:sz="0" w:space="0" w:color="auto"/>
        <w:bottom w:val="none" w:sz="0" w:space="0" w:color="auto"/>
        <w:right w:val="none" w:sz="0" w:space="0" w:color="auto"/>
      </w:divBdr>
    </w:div>
    <w:div w:id="1023484103">
      <w:bodyDiv w:val="1"/>
      <w:marLeft w:val="0"/>
      <w:marRight w:val="0"/>
      <w:marTop w:val="0"/>
      <w:marBottom w:val="0"/>
      <w:divBdr>
        <w:top w:val="none" w:sz="0" w:space="0" w:color="auto"/>
        <w:left w:val="none" w:sz="0" w:space="0" w:color="auto"/>
        <w:bottom w:val="none" w:sz="0" w:space="0" w:color="auto"/>
        <w:right w:val="none" w:sz="0" w:space="0" w:color="auto"/>
      </w:divBdr>
    </w:div>
    <w:div w:id="1092239769">
      <w:bodyDiv w:val="1"/>
      <w:marLeft w:val="0"/>
      <w:marRight w:val="0"/>
      <w:marTop w:val="0"/>
      <w:marBottom w:val="0"/>
      <w:divBdr>
        <w:top w:val="none" w:sz="0" w:space="0" w:color="auto"/>
        <w:left w:val="none" w:sz="0" w:space="0" w:color="auto"/>
        <w:bottom w:val="none" w:sz="0" w:space="0" w:color="auto"/>
        <w:right w:val="none" w:sz="0" w:space="0" w:color="auto"/>
      </w:divBdr>
    </w:div>
    <w:div w:id="1202278754">
      <w:bodyDiv w:val="1"/>
      <w:marLeft w:val="0"/>
      <w:marRight w:val="0"/>
      <w:marTop w:val="0"/>
      <w:marBottom w:val="0"/>
      <w:divBdr>
        <w:top w:val="none" w:sz="0" w:space="0" w:color="auto"/>
        <w:left w:val="none" w:sz="0" w:space="0" w:color="auto"/>
        <w:bottom w:val="none" w:sz="0" w:space="0" w:color="auto"/>
        <w:right w:val="none" w:sz="0" w:space="0" w:color="auto"/>
      </w:divBdr>
    </w:div>
    <w:div w:id="1331525098">
      <w:bodyDiv w:val="1"/>
      <w:marLeft w:val="0"/>
      <w:marRight w:val="0"/>
      <w:marTop w:val="0"/>
      <w:marBottom w:val="0"/>
      <w:divBdr>
        <w:top w:val="none" w:sz="0" w:space="0" w:color="auto"/>
        <w:left w:val="none" w:sz="0" w:space="0" w:color="auto"/>
        <w:bottom w:val="none" w:sz="0" w:space="0" w:color="auto"/>
        <w:right w:val="none" w:sz="0" w:space="0" w:color="auto"/>
      </w:divBdr>
    </w:div>
    <w:div w:id="1440368634">
      <w:bodyDiv w:val="1"/>
      <w:marLeft w:val="0"/>
      <w:marRight w:val="0"/>
      <w:marTop w:val="0"/>
      <w:marBottom w:val="0"/>
      <w:divBdr>
        <w:top w:val="none" w:sz="0" w:space="0" w:color="auto"/>
        <w:left w:val="none" w:sz="0" w:space="0" w:color="auto"/>
        <w:bottom w:val="none" w:sz="0" w:space="0" w:color="auto"/>
        <w:right w:val="none" w:sz="0" w:space="0" w:color="auto"/>
      </w:divBdr>
    </w:div>
    <w:div w:id="1507817639">
      <w:bodyDiv w:val="1"/>
      <w:marLeft w:val="0"/>
      <w:marRight w:val="0"/>
      <w:marTop w:val="0"/>
      <w:marBottom w:val="0"/>
      <w:divBdr>
        <w:top w:val="none" w:sz="0" w:space="0" w:color="auto"/>
        <w:left w:val="none" w:sz="0" w:space="0" w:color="auto"/>
        <w:bottom w:val="none" w:sz="0" w:space="0" w:color="auto"/>
        <w:right w:val="none" w:sz="0" w:space="0" w:color="auto"/>
      </w:divBdr>
      <w:divsChild>
        <w:div w:id="1663243159">
          <w:marLeft w:val="360"/>
          <w:marRight w:val="0"/>
          <w:marTop w:val="115"/>
          <w:marBottom w:val="0"/>
          <w:divBdr>
            <w:top w:val="none" w:sz="0" w:space="0" w:color="auto"/>
            <w:left w:val="none" w:sz="0" w:space="0" w:color="auto"/>
            <w:bottom w:val="none" w:sz="0" w:space="0" w:color="auto"/>
            <w:right w:val="none" w:sz="0" w:space="0" w:color="auto"/>
          </w:divBdr>
        </w:div>
        <w:div w:id="809059678">
          <w:marLeft w:val="821"/>
          <w:marRight w:val="0"/>
          <w:marTop w:val="96"/>
          <w:marBottom w:val="0"/>
          <w:divBdr>
            <w:top w:val="none" w:sz="0" w:space="0" w:color="auto"/>
            <w:left w:val="none" w:sz="0" w:space="0" w:color="auto"/>
            <w:bottom w:val="none" w:sz="0" w:space="0" w:color="auto"/>
            <w:right w:val="none" w:sz="0" w:space="0" w:color="auto"/>
          </w:divBdr>
        </w:div>
        <w:div w:id="1429430018">
          <w:marLeft w:val="821"/>
          <w:marRight w:val="0"/>
          <w:marTop w:val="96"/>
          <w:marBottom w:val="0"/>
          <w:divBdr>
            <w:top w:val="none" w:sz="0" w:space="0" w:color="auto"/>
            <w:left w:val="none" w:sz="0" w:space="0" w:color="auto"/>
            <w:bottom w:val="none" w:sz="0" w:space="0" w:color="auto"/>
            <w:right w:val="none" w:sz="0" w:space="0" w:color="auto"/>
          </w:divBdr>
        </w:div>
        <w:div w:id="866141121">
          <w:marLeft w:val="360"/>
          <w:marRight w:val="0"/>
          <w:marTop w:val="115"/>
          <w:marBottom w:val="0"/>
          <w:divBdr>
            <w:top w:val="none" w:sz="0" w:space="0" w:color="auto"/>
            <w:left w:val="none" w:sz="0" w:space="0" w:color="auto"/>
            <w:bottom w:val="none" w:sz="0" w:space="0" w:color="auto"/>
            <w:right w:val="none" w:sz="0" w:space="0" w:color="auto"/>
          </w:divBdr>
        </w:div>
      </w:divsChild>
    </w:div>
    <w:div w:id="1684551917">
      <w:bodyDiv w:val="1"/>
      <w:marLeft w:val="0"/>
      <w:marRight w:val="0"/>
      <w:marTop w:val="0"/>
      <w:marBottom w:val="0"/>
      <w:divBdr>
        <w:top w:val="none" w:sz="0" w:space="0" w:color="auto"/>
        <w:left w:val="none" w:sz="0" w:space="0" w:color="auto"/>
        <w:bottom w:val="none" w:sz="0" w:space="0" w:color="auto"/>
        <w:right w:val="none" w:sz="0" w:space="0" w:color="auto"/>
      </w:divBdr>
    </w:div>
    <w:div w:id="1736901427">
      <w:bodyDiv w:val="1"/>
      <w:marLeft w:val="0"/>
      <w:marRight w:val="0"/>
      <w:marTop w:val="0"/>
      <w:marBottom w:val="0"/>
      <w:divBdr>
        <w:top w:val="none" w:sz="0" w:space="0" w:color="auto"/>
        <w:left w:val="none" w:sz="0" w:space="0" w:color="auto"/>
        <w:bottom w:val="none" w:sz="0" w:space="0" w:color="auto"/>
        <w:right w:val="none" w:sz="0" w:space="0" w:color="auto"/>
      </w:divBdr>
    </w:div>
    <w:div w:id="1938102394">
      <w:bodyDiv w:val="1"/>
      <w:marLeft w:val="0"/>
      <w:marRight w:val="0"/>
      <w:marTop w:val="0"/>
      <w:marBottom w:val="0"/>
      <w:divBdr>
        <w:top w:val="none" w:sz="0" w:space="0" w:color="auto"/>
        <w:left w:val="none" w:sz="0" w:space="0" w:color="auto"/>
        <w:bottom w:val="none" w:sz="0" w:space="0" w:color="auto"/>
        <w:right w:val="none" w:sz="0" w:space="0" w:color="auto"/>
      </w:divBdr>
    </w:div>
    <w:div w:id="2034185156">
      <w:bodyDiv w:val="1"/>
      <w:marLeft w:val="0"/>
      <w:marRight w:val="0"/>
      <w:marTop w:val="0"/>
      <w:marBottom w:val="0"/>
      <w:divBdr>
        <w:top w:val="none" w:sz="0" w:space="0" w:color="auto"/>
        <w:left w:val="none" w:sz="0" w:space="0" w:color="auto"/>
        <w:bottom w:val="none" w:sz="0" w:space="0" w:color="auto"/>
        <w:right w:val="none" w:sz="0" w:space="0" w:color="auto"/>
      </w:divBdr>
    </w:div>
    <w:div w:id="2137215771">
      <w:bodyDiv w:val="1"/>
      <w:marLeft w:val="0"/>
      <w:marRight w:val="0"/>
      <w:marTop w:val="0"/>
      <w:marBottom w:val="0"/>
      <w:divBdr>
        <w:top w:val="none" w:sz="0" w:space="0" w:color="auto"/>
        <w:left w:val="none" w:sz="0" w:space="0" w:color="auto"/>
        <w:bottom w:val="none" w:sz="0" w:space="0" w:color="auto"/>
        <w:right w:val="none" w:sz="0" w:space="0" w:color="auto"/>
      </w:divBdr>
    </w:div>
    <w:div w:id="21426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D0676-0B3A-4A10-B534-7EA2BACF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43327</Words>
  <Characters>246964</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 Makgetla</dc:creator>
  <cp:lastModifiedBy>Janet Wilhelm</cp:lastModifiedBy>
  <cp:revision>13</cp:revision>
  <cp:lastPrinted>2017-04-14T11:47:00Z</cp:lastPrinted>
  <dcterms:created xsi:type="dcterms:W3CDTF">2017-04-14T11:22:00Z</dcterms:created>
  <dcterms:modified xsi:type="dcterms:W3CDTF">2020-03-21T12:06:00Z</dcterms:modified>
</cp:coreProperties>
</file>